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7E833" w14:textId="77777777" w:rsidR="001B5BB8" w:rsidRPr="00920B7F" w:rsidRDefault="001B5BB8" w:rsidP="001B5BB8">
      <w:pPr>
        <w:adjustRightInd w:val="0"/>
        <w:snapToGrid w:val="0"/>
        <w:spacing w:line="360" w:lineRule="auto"/>
        <w:rPr>
          <w:rFonts w:ascii="Times New Roman" w:hAnsi="Times New Roman" w:cs="Times New Roman"/>
          <w:sz w:val="24"/>
          <w:szCs w:val="24"/>
        </w:rPr>
      </w:pPr>
      <w:r w:rsidRPr="00920B7F">
        <w:rPr>
          <w:rFonts w:ascii="Times New Roman" w:hAnsi="Times New Roman" w:cs="Times New Roman"/>
          <w:b/>
          <w:bCs/>
          <w:sz w:val="24"/>
          <w:szCs w:val="24"/>
        </w:rPr>
        <w:t>Suppleme</w:t>
      </w:r>
      <w:bookmarkStart w:id="0" w:name="_GoBack"/>
      <w:bookmarkEnd w:id="0"/>
      <w:r w:rsidRPr="00920B7F">
        <w:rPr>
          <w:rFonts w:ascii="Times New Roman" w:hAnsi="Times New Roman" w:cs="Times New Roman"/>
          <w:b/>
          <w:bCs/>
          <w:sz w:val="24"/>
          <w:szCs w:val="24"/>
        </w:rPr>
        <w:t>ntary Figure 1.</w:t>
      </w:r>
      <w:r w:rsidRPr="00920B7F">
        <w:rPr>
          <w:rFonts w:ascii="Times New Roman" w:hAnsi="Times New Roman" w:cs="Times New Roman"/>
          <w:sz w:val="24"/>
          <w:szCs w:val="24"/>
        </w:rPr>
        <w:t xml:space="preserve"> ROC curves of the four biomarkers in the training set, including (A) FHL2, (B) HPCAL1, (C) RNF182, and (D) SLAIN1.</w:t>
      </w:r>
    </w:p>
    <w:p w14:paraId="5FC3C744" w14:textId="77777777" w:rsidR="001B5BB8" w:rsidRPr="00920B7F" w:rsidRDefault="001B5BB8" w:rsidP="001B5BB8">
      <w:pPr>
        <w:adjustRightInd w:val="0"/>
        <w:snapToGrid w:val="0"/>
        <w:spacing w:line="360" w:lineRule="auto"/>
        <w:rPr>
          <w:rFonts w:ascii="Times New Roman" w:hAnsi="Times New Roman" w:cs="Times New Roman"/>
          <w:sz w:val="24"/>
          <w:szCs w:val="24"/>
        </w:rPr>
      </w:pPr>
      <w:r w:rsidRPr="00920B7F">
        <w:rPr>
          <w:rFonts w:ascii="Times New Roman" w:hAnsi="Times New Roman" w:cs="Times New Roman"/>
          <w:b/>
          <w:bCs/>
          <w:sz w:val="24"/>
          <w:szCs w:val="24"/>
        </w:rPr>
        <w:t>Supplementary Figure 2.</w:t>
      </w:r>
      <w:r w:rsidRPr="00920B7F">
        <w:rPr>
          <w:rFonts w:ascii="Times New Roman" w:hAnsi="Times New Roman" w:cs="Times New Roman"/>
        </w:rPr>
        <w:t xml:space="preserve"> </w:t>
      </w:r>
      <w:r w:rsidRPr="00920B7F">
        <w:rPr>
          <w:rFonts w:ascii="Times New Roman" w:hAnsi="Times New Roman" w:cs="Times New Roman"/>
          <w:sz w:val="24"/>
          <w:szCs w:val="24"/>
        </w:rPr>
        <w:t>Evaluation of the effectiveness of the four biomarkers in the test set. ROC curves of (A) FHL2, (B) HPCAL1, (C) RNF182, and (D) SLAIN1.</w:t>
      </w:r>
    </w:p>
    <w:p w14:paraId="74C05444" w14:textId="77777777" w:rsidR="001B5BB8" w:rsidRPr="00920B7F" w:rsidRDefault="001B5BB8" w:rsidP="001B5BB8">
      <w:pPr>
        <w:adjustRightInd w:val="0"/>
        <w:snapToGrid w:val="0"/>
        <w:spacing w:line="360" w:lineRule="auto"/>
        <w:rPr>
          <w:rFonts w:ascii="Times New Roman" w:hAnsi="Times New Roman" w:cs="Times New Roman"/>
          <w:sz w:val="24"/>
          <w:szCs w:val="24"/>
        </w:rPr>
      </w:pPr>
      <w:r w:rsidRPr="00920B7F">
        <w:rPr>
          <w:rFonts w:ascii="Times New Roman" w:hAnsi="Times New Roman" w:cs="Times New Roman"/>
          <w:b/>
          <w:bCs/>
          <w:sz w:val="24"/>
          <w:szCs w:val="24"/>
        </w:rPr>
        <w:t>Supplementary Figure 3.</w:t>
      </w:r>
      <w:r w:rsidRPr="00920B7F">
        <w:rPr>
          <w:rFonts w:ascii="Times New Roman" w:hAnsi="Times New Roman" w:cs="Times New Roman"/>
        </w:rPr>
        <w:t xml:space="preserve"> </w:t>
      </w:r>
      <w:r w:rsidRPr="00920B7F">
        <w:rPr>
          <w:rFonts w:ascii="Times New Roman" w:hAnsi="Times New Roman" w:cs="Times New Roman"/>
          <w:sz w:val="24"/>
          <w:szCs w:val="24"/>
        </w:rPr>
        <w:t>Visualization of immune cells infiltration in idiopathic pulmonary fibrosis and normal samples.</w:t>
      </w:r>
      <w:r w:rsidRPr="00920B7F">
        <w:rPr>
          <w:rFonts w:ascii="Times New Roman" w:hAnsi="Times New Roman" w:cs="Times New Roman"/>
          <w:b/>
          <w:bCs/>
          <w:sz w:val="24"/>
          <w:szCs w:val="24"/>
        </w:rPr>
        <w:t xml:space="preserve"> </w:t>
      </w:r>
      <w:r w:rsidRPr="00920B7F">
        <w:rPr>
          <w:rFonts w:ascii="Times New Roman" w:hAnsi="Times New Roman" w:cs="Times New Roman"/>
          <w:sz w:val="24"/>
          <w:szCs w:val="24"/>
        </w:rPr>
        <w:t>(A)</w:t>
      </w:r>
      <w:r w:rsidRPr="00920B7F">
        <w:rPr>
          <w:rFonts w:ascii="Times New Roman" w:hAnsi="Times New Roman" w:cs="Times New Roman"/>
        </w:rPr>
        <w:t xml:space="preserve"> </w:t>
      </w:r>
      <w:r w:rsidRPr="00920B7F">
        <w:rPr>
          <w:rFonts w:ascii="Times New Roman" w:hAnsi="Times New Roman" w:cs="Times New Roman"/>
          <w:sz w:val="24"/>
          <w:szCs w:val="24"/>
        </w:rPr>
        <w:t>The proportion of infiltrating immune cells in idiopathic pulmonary fibrosis and normal samples. (B) Correlation heatmap of 22 types of immune cells. (C)</w:t>
      </w:r>
      <w:r w:rsidRPr="00920B7F">
        <w:rPr>
          <w:rFonts w:ascii="Times New Roman" w:hAnsi="Times New Roman" w:cs="Times New Roman"/>
        </w:rPr>
        <w:t xml:space="preserve"> </w:t>
      </w:r>
      <w:r w:rsidRPr="00920B7F">
        <w:rPr>
          <w:rFonts w:ascii="Times New Roman" w:hAnsi="Times New Roman" w:cs="Times New Roman"/>
          <w:sz w:val="24"/>
          <w:szCs w:val="24"/>
        </w:rPr>
        <w:t>Violin diagram of the proportion of 22 types of immune cells.</w:t>
      </w:r>
    </w:p>
    <w:p w14:paraId="116DA95F" w14:textId="77777777" w:rsidR="001B5BB8" w:rsidRPr="009223DE" w:rsidRDefault="001B5BB8" w:rsidP="001B5BB8">
      <w:pPr>
        <w:adjustRightInd w:val="0"/>
        <w:snapToGrid w:val="0"/>
        <w:spacing w:line="360" w:lineRule="auto"/>
        <w:rPr>
          <w:rFonts w:ascii="Times New Roman" w:hAnsi="Times New Roman" w:cs="Times New Roman"/>
          <w:sz w:val="24"/>
          <w:szCs w:val="24"/>
        </w:rPr>
      </w:pPr>
      <w:r w:rsidRPr="00920B7F">
        <w:rPr>
          <w:rFonts w:ascii="Times New Roman" w:hAnsi="Times New Roman" w:cs="Times New Roman"/>
          <w:b/>
          <w:bCs/>
          <w:sz w:val="24"/>
          <w:szCs w:val="24"/>
        </w:rPr>
        <w:t>Supplementary Figure 4.</w:t>
      </w:r>
      <w:r w:rsidRPr="00920B7F">
        <w:rPr>
          <w:rFonts w:ascii="Times New Roman" w:hAnsi="Times New Roman" w:cs="Times New Roman"/>
          <w:sz w:val="24"/>
          <w:szCs w:val="24"/>
        </w:rPr>
        <w:t xml:space="preserve"> Correlations between FHL2 and nine infiltrating immune cells in idiopathic pulmonary fibrosis, including (A) Macrophages M0, (B) Mast cells resting, (C) Monocytes, (D) Neutrophils, (E) NK cells resting, (F) Plasma cell, (G) T cells CD4 memory resting, (H) T cells CD4 naïve, (I) T cells follicular helper, and (J) T cells regulatory.</w:t>
      </w:r>
    </w:p>
    <w:p w14:paraId="7B4D5E82" w14:textId="77777777" w:rsidR="0072611B" w:rsidRPr="001B5BB8" w:rsidRDefault="0072611B"/>
    <w:sectPr w:rsidR="0072611B" w:rsidRPr="001B5BB8" w:rsidSect="00995996">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B180A3" w14:textId="77777777" w:rsidR="002A3506" w:rsidRDefault="002A3506" w:rsidP="001B5BB8">
      <w:r>
        <w:separator/>
      </w:r>
    </w:p>
  </w:endnote>
  <w:endnote w:type="continuationSeparator" w:id="0">
    <w:p w14:paraId="11559712" w14:textId="77777777" w:rsidR="002A3506" w:rsidRDefault="002A3506" w:rsidP="001B5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D16C31" w14:textId="77777777" w:rsidR="002A3506" w:rsidRDefault="002A3506" w:rsidP="001B5BB8">
      <w:r>
        <w:separator/>
      </w:r>
    </w:p>
  </w:footnote>
  <w:footnote w:type="continuationSeparator" w:id="0">
    <w:p w14:paraId="71D99383" w14:textId="77777777" w:rsidR="002A3506" w:rsidRDefault="002A3506" w:rsidP="001B5B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2E5522"/>
    <w:rsid w:val="00052617"/>
    <w:rsid w:val="001B5BB8"/>
    <w:rsid w:val="002078C5"/>
    <w:rsid w:val="002A3506"/>
    <w:rsid w:val="002E5522"/>
    <w:rsid w:val="00304A9A"/>
    <w:rsid w:val="00500BA6"/>
    <w:rsid w:val="006A1482"/>
    <w:rsid w:val="0072611B"/>
    <w:rsid w:val="00920B7F"/>
    <w:rsid w:val="00995996"/>
    <w:rsid w:val="00C453DF"/>
    <w:rsid w:val="00DF1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0732E77-13B2-4E86-8B31-46E52F7F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BB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BB8"/>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B5BB8"/>
    <w:rPr>
      <w:sz w:val="18"/>
      <w:szCs w:val="18"/>
    </w:rPr>
  </w:style>
  <w:style w:type="paragraph" w:styleId="Footer">
    <w:name w:val="footer"/>
    <w:basedOn w:val="Normal"/>
    <w:link w:val="FooterChar"/>
    <w:uiPriority w:val="99"/>
    <w:unhideWhenUsed/>
    <w:rsid w:val="001B5BB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B5BB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148</Words>
  <Characters>850</Characters>
  <Application>Microsoft Office Word</Application>
  <DocSecurity>0</DocSecurity>
  <Lines>7</Lines>
  <Paragraphs>1</Paragraphs>
  <ScaleCrop>false</ScaleCrop>
  <Company/>
  <LinksUpToDate>false</LinksUpToDate>
  <CharactersWithSpaces>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zenan wu</dc:creator>
  <cp:keywords/>
  <dc:description/>
  <cp:lastModifiedBy>Kiruthika S.</cp:lastModifiedBy>
  <cp:revision>5</cp:revision>
  <dcterms:created xsi:type="dcterms:W3CDTF">2023-07-27T16:47:00Z</dcterms:created>
  <dcterms:modified xsi:type="dcterms:W3CDTF">2023-09-29T02:23:00Z</dcterms:modified>
</cp:coreProperties>
</file>