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D4FEC" w14:textId="77777777" w:rsidR="00FA42F3" w:rsidRDefault="00FA42F3" w:rsidP="00FA42F3">
      <w:pPr>
        <w:pStyle w:val="Heading1"/>
        <w:rPr>
          <w:lang w:val="en-US"/>
        </w:rPr>
      </w:pPr>
      <w:bookmarkStart w:id="0" w:name="_GoBack"/>
      <w:r>
        <w:rPr>
          <w:lang w:val="en-US"/>
        </w:rPr>
        <w:t>Supplemental Material</w:t>
      </w:r>
    </w:p>
    <w:p w14:paraId="41F00A6B" w14:textId="77777777" w:rsidR="00FA42F3" w:rsidRDefault="00FA42F3" w:rsidP="00FA42F3">
      <w:pPr>
        <w:rPr>
          <w:lang w:val="en-US"/>
        </w:rPr>
      </w:pPr>
    </w:p>
    <w:p w14:paraId="30CC841D" w14:textId="77777777" w:rsidR="00FA42F3" w:rsidRPr="00A57F8F" w:rsidRDefault="00FA42F3" w:rsidP="00FA42F3">
      <w:pPr>
        <w:pStyle w:val="Heading1"/>
        <w:rPr>
          <w:i/>
          <w:lang w:val="en-US"/>
        </w:rPr>
      </w:pPr>
      <w:r w:rsidRPr="00A57F8F">
        <w:rPr>
          <w:i/>
          <w:lang w:val="en-US"/>
        </w:rPr>
        <w:t>Title: Effects of NMDA-receptor blockade by ketamine on mentalizing and its neural correlates in humans – a randomized control trial</w:t>
      </w:r>
    </w:p>
    <w:p w14:paraId="30F50CD3" w14:textId="77777777" w:rsidR="00FA42F3" w:rsidRPr="00F11211" w:rsidRDefault="00FA42F3" w:rsidP="00FA42F3">
      <w:pPr>
        <w:spacing w:line="360" w:lineRule="auto"/>
        <w:rPr>
          <w:lang w:val="en-US"/>
        </w:rPr>
      </w:pPr>
    </w:p>
    <w:p w14:paraId="43F9CEA6" w14:textId="77777777" w:rsidR="00FA42F3" w:rsidRPr="006313F9" w:rsidRDefault="00FA42F3" w:rsidP="00FA42F3">
      <w:pPr>
        <w:spacing w:line="360" w:lineRule="auto"/>
      </w:pPr>
      <w:r w:rsidRPr="006313F9">
        <w:t>Sven Wasserthal (1), Mirko Lehmann (2), Claudia Neumann (3), Achilles Delis (3), Alexandra Philipsen (</w:t>
      </w:r>
      <w:r>
        <w:t>4</w:t>
      </w:r>
      <w:r w:rsidRPr="006313F9">
        <w:t>), René Hurlemann (</w:t>
      </w:r>
      <w:r>
        <w:t>5</w:t>
      </w:r>
      <w:r w:rsidRPr="006313F9">
        <w:t>), Ulrich Ettinger (2), Johannes Schultz (</w:t>
      </w:r>
      <w:r>
        <w:t>6,7</w:t>
      </w:r>
      <w:r w:rsidRPr="006313F9">
        <w:t>)</w:t>
      </w:r>
    </w:p>
    <w:p w14:paraId="61798188" w14:textId="77777777" w:rsidR="00FA42F3" w:rsidRPr="006313F9" w:rsidRDefault="00FA42F3" w:rsidP="00FA42F3"/>
    <w:p w14:paraId="0D6B2656" w14:textId="77777777" w:rsidR="00FA42F3" w:rsidRPr="00143144" w:rsidRDefault="00FA42F3" w:rsidP="00FA42F3">
      <w:pPr>
        <w:spacing w:line="360" w:lineRule="auto"/>
        <w:rPr>
          <w:lang w:val="en-US"/>
        </w:rPr>
      </w:pPr>
      <w:r w:rsidRPr="00143144">
        <w:rPr>
          <w:lang w:val="en-US"/>
        </w:rPr>
        <w:t>(1</w:t>
      </w:r>
      <w:r>
        <w:rPr>
          <w:lang w:val="en-GB"/>
        </w:rPr>
        <w:t xml:space="preserve">) </w:t>
      </w:r>
      <w:r w:rsidRPr="00143144">
        <w:rPr>
          <w:lang w:val="en-GB"/>
        </w:rPr>
        <w:t>Division of Medical Psychology,</w:t>
      </w:r>
      <w:r>
        <w:rPr>
          <w:lang w:val="en-GB"/>
        </w:rPr>
        <w:t xml:space="preserve"> Department of Psychiatry and Psychotherapy,</w:t>
      </w:r>
      <w:r w:rsidRPr="00143144">
        <w:rPr>
          <w:lang w:val="en-GB"/>
        </w:rPr>
        <w:t xml:space="preserve"> University</w:t>
      </w:r>
      <w:r>
        <w:rPr>
          <w:lang w:val="en-GB"/>
        </w:rPr>
        <w:t xml:space="preserve"> Hospital</w:t>
      </w:r>
      <w:r w:rsidRPr="00143144">
        <w:rPr>
          <w:lang w:val="en-GB"/>
        </w:rPr>
        <w:t xml:space="preserve"> of Bonn, Bonn, Germany</w:t>
      </w:r>
      <w:r w:rsidRPr="00143144">
        <w:rPr>
          <w:lang w:val="en-US"/>
        </w:rPr>
        <w:t xml:space="preserve"> </w:t>
      </w:r>
    </w:p>
    <w:p w14:paraId="62AA623E" w14:textId="77777777" w:rsidR="00FA42F3" w:rsidRDefault="00FA42F3" w:rsidP="00FA42F3">
      <w:pPr>
        <w:spacing w:line="360" w:lineRule="auto"/>
        <w:jc w:val="both"/>
        <w:rPr>
          <w:lang w:val="en-GB"/>
        </w:rPr>
      </w:pPr>
      <w:r>
        <w:rPr>
          <w:lang w:val="en-US"/>
        </w:rPr>
        <w:t xml:space="preserve">(2) </w:t>
      </w:r>
      <w:r w:rsidRPr="00E30473">
        <w:rPr>
          <w:lang w:val="en-GB"/>
        </w:rPr>
        <w:t>Department of Psychology, University of Bonn, Bonn, Germa</w:t>
      </w:r>
      <w:r>
        <w:rPr>
          <w:lang w:val="en-GB"/>
        </w:rPr>
        <w:t>ny</w:t>
      </w:r>
    </w:p>
    <w:p w14:paraId="3D87DCC9" w14:textId="77777777" w:rsidR="00FA42F3" w:rsidRDefault="00FA42F3" w:rsidP="00FA42F3">
      <w:pPr>
        <w:spacing w:line="360" w:lineRule="auto"/>
        <w:jc w:val="both"/>
        <w:rPr>
          <w:lang w:val="en-US"/>
        </w:rPr>
      </w:pPr>
      <w:r>
        <w:rPr>
          <w:lang w:val="en-US"/>
        </w:rPr>
        <w:t xml:space="preserve">(3) </w:t>
      </w:r>
      <w:r w:rsidRPr="009A2FCD">
        <w:rPr>
          <w:lang w:val="en-GB"/>
        </w:rPr>
        <w:t>Department of Anaesthesiology and Intensive Care Medicine, University Hospital Bonn</w:t>
      </w:r>
    </w:p>
    <w:p w14:paraId="202DD2F4" w14:textId="77777777" w:rsidR="00FA42F3" w:rsidRDefault="00FA42F3" w:rsidP="00FA42F3">
      <w:pPr>
        <w:spacing w:line="360" w:lineRule="auto"/>
        <w:jc w:val="both"/>
        <w:rPr>
          <w:lang w:val="en-US"/>
        </w:rPr>
      </w:pPr>
      <w:r>
        <w:rPr>
          <w:lang w:val="en-US"/>
        </w:rPr>
        <w:t xml:space="preserve">(4) </w:t>
      </w:r>
      <w:r>
        <w:rPr>
          <w:lang w:val="en-GB"/>
        </w:rPr>
        <w:t>Department of Psychiatry and Psychotherapy,</w:t>
      </w:r>
      <w:r w:rsidRPr="00143144">
        <w:rPr>
          <w:lang w:val="en-GB"/>
        </w:rPr>
        <w:t xml:space="preserve"> University</w:t>
      </w:r>
      <w:r>
        <w:rPr>
          <w:lang w:val="en-GB"/>
        </w:rPr>
        <w:t xml:space="preserve"> Hospital</w:t>
      </w:r>
      <w:r w:rsidRPr="00143144">
        <w:rPr>
          <w:lang w:val="en-GB"/>
        </w:rPr>
        <w:t xml:space="preserve"> of Bonn, Bonn, Germany</w:t>
      </w:r>
    </w:p>
    <w:p w14:paraId="19029C81" w14:textId="77777777" w:rsidR="00FA42F3" w:rsidRPr="00260B99" w:rsidRDefault="00FA42F3" w:rsidP="00FA42F3">
      <w:pPr>
        <w:spacing w:line="360" w:lineRule="auto"/>
        <w:jc w:val="both"/>
        <w:rPr>
          <w:lang w:val="en-US"/>
        </w:rPr>
      </w:pPr>
      <w:r>
        <w:rPr>
          <w:lang w:val="en-US"/>
        </w:rPr>
        <w:t xml:space="preserve">(5) </w:t>
      </w:r>
      <w:r w:rsidRPr="00260B99">
        <w:rPr>
          <w:lang w:val="en-GB"/>
        </w:rPr>
        <w:t>Dep</w:t>
      </w:r>
      <w:r>
        <w:rPr>
          <w:lang w:val="en-GB"/>
        </w:rPr>
        <w:t>artment</w:t>
      </w:r>
      <w:r w:rsidRPr="00260B99">
        <w:rPr>
          <w:lang w:val="en-GB"/>
        </w:rPr>
        <w:t xml:space="preserve"> of Psychiatry, School of Medicine &amp; Health Sciences, University of Oldenburg, Oldenburg, Germany</w:t>
      </w:r>
    </w:p>
    <w:p w14:paraId="143ACDBE" w14:textId="77777777" w:rsidR="00FA42F3" w:rsidRDefault="00FA42F3" w:rsidP="00FA42F3">
      <w:pPr>
        <w:spacing w:line="360" w:lineRule="auto"/>
        <w:jc w:val="both"/>
        <w:rPr>
          <w:lang w:val="en-GB"/>
        </w:rPr>
      </w:pPr>
      <w:r>
        <w:rPr>
          <w:lang w:val="en-US"/>
        </w:rPr>
        <w:t xml:space="preserve">(6) </w:t>
      </w:r>
      <w:r w:rsidRPr="00E30473">
        <w:rPr>
          <w:lang w:val="en-GB"/>
        </w:rPr>
        <w:t>Center for Economics and Neuroscience, University of Bonn, Bonn, Germany</w:t>
      </w:r>
    </w:p>
    <w:p w14:paraId="2EF3B370" w14:textId="77777777" w:rsidR="00FA42F3" w:rsidRPr="00A57F8F" w:rsidRDefault="00FA42F3" w:rsidP="00FA42F3">
      <w:pPr>
        <w:spacing w:line="360" w:lineRule="auto"/>
        <w:jc w:val="both"/>
        <w:rPr>
          <w:lang w:val="en-GB"/>
        </w:rPr>
      </w:pPr>
      <w:r>
        <w:rPr>
          <w:lang w:val="en-GB"/>
        </w:rPr>
        <w:t>(7) Institute for Experimental Epileptology and Cognition Research, Medical Faculty,</w:t>
      </w:r>
      <w:r w:rsidRPr="007E2CD9">
        <w:rPr>
          <w:lang w:val="en-GB"/>
        </w:rPr>
        <w:t xml:space="preserve"> </w:t>
      </w:r>
      <w:r w:rsidRPr="00E30473">
        <w:rPr>
          <w:lang w:val="en-GB"/>
        </w:rPr>
        <w:t>University of Bonn, Bonn, Germany</w:t>
      </w:r>
    </w:p>
    <w:p w14:paraId="5637991E" w14:textId="77777777" w:rsidR="00FA42F3" w:rsidRDefault="00FA42F3" w:rsidP="00FA42F3">
      <w:pPr>
        <w:rPr>
          <w:lang w:val="en-US"/>
        </w:rPr>
      </w:pPr>
    </w:p>
    <w:p w14:paraId="2DF9EE0A" w14:textId="77777777" w:rsidR="00FA42F3" w:rsidRDefault="00FA42F3" w:rsidP="00FA42F3">
      <w:pPr>
        <w:rPr>
          <w:lang w:val="en-US"/>
        </w:rPr>
      </w:pPr>
    </w:p>
    <w:p w14:paraId="682DBCD0" w14:textId="77777777" w:rsidR="00FA42F3" w:rsidRDefault="00FA42F3" w:rsidP="00FA42F3">
      <w:pPr>
        <w:rPr>
          <w:lang w:val="en-US"/>
        </w:rPr>
      </w:pPr>
    </w:p>
    <w:p w14:paraId="3DB166D5" w14:textId="77777777" w:rsidR="00FA42F3" w:rsidRDefault="00FA42F3" w:rsidP="00FA42F3">
      <w:pPr>
        <w:rPr>
          <w:lang w:val="en-US"/>
        </w:rPr>
      </w:pPr>
    </w:p>
    <w:p w14:paraId="59C2C91A" w14:textId="77777777" w:rsidR="00FA42F3" w:rsidRDefault="00FA42F3" w:rsidP="00FA42F3">
      <w:pPr>
        <w:rPr>
          <w:lang w:val="en-US"/>
        </w:rPr>
      </w:pPr>
    </w:p>
    <w:p w14:paraId="20A9CE7A" w14:textId="77777777" w:rsidR="00FA42F3" w:rsidRDefault="00FA42F3" w:rsidP="00FA42F3">
      <w:pPr>
        <w:rPr>
          <w:lang w:val="en-US"/>
        </w:rPr>
      </w:pPr>
    </w:p>
    <w:p w14:paraId="2D62E49B" w14:textId="77777777" w:rsidR="00FA42F3" w:rsidRDefault="00FA42F3" w:rsidP="00FA42F3">
      <w:pPr>
        <w:rPr>
          <w:lang w:val="en-US"/>
        </w:rPr>
      </w:pPr>
    </w:p>
    <w:p w14:paraId="45E8D052" w14:textId="77777777" w:rsidR="00FA42F3" w:rsidRDefault="00FA42F3" w:rsidP="00FA42F3">
      <w:pPr>
        <w:rPr>
          <w:lang w:val="en-US"/>
        </w:rPr>
      </w:pPr>
    </w:p>
    <w:p w14:paraId="0F8CB49B" w14:textId="77777777" w:rsidR="00FA42F3" w:rsidRDefault="00FA42F3" w:rsidP="00FA42F3">
      <w:pPr>
        <w:rPr>
          <w:lang w:val="en-US"/>
        </w:rPr>
      </w:pPr>
    </w:p>
    <w:p w14:paraId="23F9577B" w14:textId="77777777" w:rsidR="00FA42F3" w:rsidRDefault="00FA42F3" w:rsidP="00FA42F3">
      <w:pPr>
        <w:rPr>
          <w:lang w:val="en-US"/>
        </w:rPr>
      </w:pPr>
    </w:p>
    <w:p w14:paraId="2F9DD3DD" w14:textId="77777777" w:rsidR="00FA42F3" w:rsidRDefault="00FA42F3" w:rsidP="00FA42F3">
      <w:pPr>
        <w:rPr>
          <w:lang w:val="en-US"/>
        </w:rPr>
      </w:pPr>
    </w:p>
    <w:p w14:paraId="54D59861" w14:textId="77777777" w:rsidR="00FA42F3" w:rsidRDefault="00FA42F3" w:rsidP="00FA42F3">
      <w:pPr>
        <w:pStyle w:val="Heading2"/>
        <w:rPr>
          <w:lang w:val="en-US"/>
        </w:rPr>
      </w:pPr>
      <w:bookmarkStart w:id="1" w:name="_Hlk100838843"/>
      <w:r>
        <w:rPr>
          <w:lang w:val="en-US"/>
        </w:rPr>
        <w:lastRenderedPageBreak/>
        <w:t>Adapted MASC:</w:t>
      </w:r>
    </w:p>
    <w:p w14:paraId="2143ABF0" w14:textId="77777777" w:rsidR="00FA42F3" w:rsidRPr="00131D7C" w:rsidRDefault="00FA42F3" w:rsidP="00FA42F3">
      <w:pPr>
        <w:rPr>
          <w:lang w:val="en-US"/>
        </w:rPr>
      </w:pPr>
    </w:p>
    <w:p w14:paraId="3FD884A6" w14:textId="26D8B1BD" w:rsidR="00AA1B18" w:rsidRPr="007D043D" w:rsidRDefault="00FA42F3" w:rsidP="00FA42F3">
      <w:pPr>
        <w:spacing w:line="360" w:lineRule="auto"/>
        <w:jc w:val="both"/>
        <w:rPr>
          <w:rFonts w:eastAsia="Times New Roman" w:cstheme="minorHAnsi"/>
          <w:color w:val="000000" w:themeColor="text1"/>
          <w:lang w:val="en-US" w:eastAsia="de-DE"/>
        </w:rPr>
      </w:pPr>
      <w:r w:rsidRPr="007D043D">
        <w:rPr>
          <w:color w:val="000000" w:themeColor="text1"/>
          <w:lang w:val="en-US"/>
        </w:rPr>
        <w:t xml:space="preserve">A detailed description of the original procedure can be found in Dziobek et al. </w:t>
      </w:r>
      <w:r w:rsidR="000F56B8">
        <w:rPr>
          <w:noProof/>
          <w:color w:val="000000" w:themeColor="text1"/>
          <w:lang w:val="en-US"/>
        </w:rPr>
        <w:t>[1]</w:t>
      </w:r>
      <w:r w:rsidRPr="007D043D">
        <w:rPr>
          <w:color w:val="000000" w:themeColor="text1"/>
          <w:lang w:val="en-US"/>
        </w:rPr>
        <w:t>. In the present experiment, we adapted this task in the following two ways: (1) we split up scenes longer than 30 seconds into shorter clips to avoid evoking task-related BOLD responses in frequency bands in which low-frequency MRI signal noise is commonly found (</w:t>
      </w:r>
      <w:hyperlink r:id="rId6" w:anchor="Signal-processing" w:history="1">
        <w:r w:rsidRPr="007D043D">
          <w:rPr>
            <w:rStyle w:val="Hyperlink"/>
            <w:color w:val="000000" w:themeColor="text1"/>
            <w:lang w:val="en-US"/>
          </w:rPr>
          <w:t>https://imaging.mrc-cbu.cam.ac.uk/imaging/DesignEfficiency#Signal-processing</w:t>
        </w:r>
      </w:hyperlink>
      <w:r w:rsidRPr="007D043D">
        <w:rPr>
          <w:color w:val="000000" w:themeColor="text1"/>
          <w:lang w:val="en-US"/>
        </w:rPr>
        <w:t xml:space="preserve">); and (2) we added non-social control questions about the physical surroundings of the actors in the video to allow contrasting BOLD signal evoked by social and non-social cognition (e.g., “What was the color of the curtain?”). In our version of this experiment, there were 54 scenes and 27 social and physical questions. The social questions were selected from the original MASC set </w:t>
      </w:r>
      <w:r w:rsidR="000F56B8">
        <w:rPr>
          <w:noProof/>
          <w:color w:val="000000" w:themeColor="text1"/>
          <w:lang w:val="en-US"/>
        </w:rPr>
        <w:t>[1,2]</w:t>
      </w:r>
      <w:r w:rsidRPr="007D043D">
        <w:rPr>
          <w:color w:val="000000" w:themeColor="text1"/>
          <w:lang w:val="en-US"/>
        </w:rPr>
        <w:t>. The physical questions were created by us and inserted into the 11 newly created splits between scenes; the remaining 16 were used to replace randomly selected social questions. Video clips lasted about 10 seconds on average; the total duration of the video clips was 541 seconds; the order of scenes and questions was identical for all participants. Each of the 54 scenes constituted one trial,</w:t>
      </w:r>
      <w:r>
        <w:rPr>
          <w:color w:val="000000" w:themeColor="text1"/>
          <w:lang w:val="en-US"/>
        </w:rPr>
        <w:t xml:space="preserve"> due to the comprehensive nature of the presented findings,</w:t>
      </w:r>
      <w:r w:rsidRPr="007D043D">
        <w:rPr>
          <w:color w:val="000000" w:themeColor="text1"/>
          <w:lang w:val="en-US"/>
        </w:rPr>
        <w:t xml:space="preserve"> confidence rating data are not further discussed in the present manuscript. Written instructions were given before entering the scanner and repeated onscreen in the scanner prior to MRI data acquisition. </w:t>
      </w:r>
      <w:r w:rsidRPr="007D043D">
        <w:rPr>
          <w:rFonts w:eastAsia="Times New Roman" w:cstheme="minorHAnsi"/>
          <w:color w:val="000000" w:themeColor="text1"/>
          <w:lang w:val="en-US" w:eastAsia="de-DE"/>
        </w:rPr>
        <w:t xml:space="preserve">The task was presented and responses were collected using the software Presentation (Version 18.1, Build 02.01.15; NeuroBehavioral Systems Inc., Berkeley, CA, USA). Participants held </w:t>
      </w:r>
      <w:r>
        <w:rPr>
          <w:rFonts w:eastAsia="Times New Roman" w:cstheme="minorHAnsi"/>
          <w:color w:val="000000" w:themeColor="text1"/>
          <w:lang w:val="en-US" w:eastAsia="de-DE"/>
        </w:rPr>
        <w:t>“Re</w:t>
      </w:r>
      <w:r w:rsidR="007F5505">
        <w:rPr>
          <w:rFonts w:eastAsia="Times New Roman" w:cstheme="minorHAnsi"/>
          <w:color w:val="000000" w:themeColor="text1"/>
          <w:lang w:val="en-US" w:eastAsia="de-DE"/>
        </w:rPr>
        <w:t>s</w:t>
      </w:r>
      <w:r>
        <w:rPr>
          <w:rFonts w:eastAsia="Times New Roman" w:cstheme="minorHAnsi"/>
          <w:color w:val="000000" w:themeColor="text1"/>
          <w:lang w:val="en-US" w:eastAsia="de-DE"/>
        </w:rPr>
        <w:t>ponseGrip Hardware”</w:t>
      </w:r>
      <w:r w:rsidRPr="007D043D">
        <w:rPr>
          <w:rFonts w:eastAsia="Times New Roman" w:cstheme="minorHAnsi"/>
          <w:color w:val="000000" w:themeColor="text1"/>
          <w:lang w:val="en-US" w:eastAsia="de-DE"/>
        </w:rPr>
        <w:t xml:space="preserve"> (NordicNeuroLab AS, Bergen, Norway) in each hand that allowed for a button press with either thumb or index finger. The index finger buttons were used to select an answer, pressing either thumb button locked the answer and triggered the next stimulus.</w:t>
      </w:r>
    </w:p>
    <w:bookmarkEnd w:id="1"/>
    <w:p w14:paraId="613624F9" w14:textId="2F54A041" w:rsidR="00B5278D" w:rsidRDefault="00B5278D" w:rsidP="00FA42F3">
      <w:pPr>
        <w:rPr>
          <w:lang w:val="en-US"/>
        </w:rPr>
      </w:pPr>
    </w:p>
    <w:p w14:paraId="5C94A3D2" w14:textId="77777777" w:rsidR="00B5278D" w:rsidRDefault="00B5278D">
      <w:pPr>
        <w:rPr>
          <w:lang w:val="en-US"/>
        </w:rPr>
      </w:pPr>
      <w:r>
        <w:rPr>
          <w:lang w:val="en-US"/>
        </w:rPr>
        <w:br w:type="page"/>
      </w:r>
    </w:p>
    <w:p w14:paraId="52805D34" w14:textId="77777777" w:rsidR="00B5278D" w:rsidRDefault="00B5278D" w:rsidP="00B5278D">
      <w:pPr>
        <w:keepNext/>
      </w:pPr>
      <w:r>
        <w:rPr>
          <w:noProof/>
          <w:lang w:val="en-IN" w:eastAsia="en-IN"/>
        </w:rPr>
        <w:drawing>
          <wp:inline distT="0" distB="0" distL="0" distR="0" wp14:anchorId="4D64307F" wp14:editId="30F2B1E9">
            <wp:extent cx="3219433" cy="4073236"/>
            <wp:effectExtent l="0" t="0" r="635" b="3810"/>
            <wp:docPr id="18724734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7945" cy="4084005"/>
                    </a:xfrm>
                    <a:prstGeom prst="rect">
                      <a:avLst/>
                    </a:prstGeom>
                    <a:noFill/>
                    <a:ln>
                      <a:noFill/>
                    </a:ln>
                  </pic:spPr>
                </pic:pic>
              </a:graphicData>
            </a:graphic>
          </wp:inline>
        </w:drawing>
      </w:r>
    </w:p>
    <w:p w14:paraId="21185A9E" w14:textId="77777777" w:rsidR="00AA1B18" w:rsidRDefault="00B5278D" w:rsidP="00153139">
      <w:pPr>
        <w:pStyle w:val="Caption"/>
        <w:rPr>
          <w:i w:val="0"/>
          <w:lang w:val="en-US"/>
        </w:rPr>
      </w:pPr>
      <w:r w:rsidRPr="00B5278D">
        <w:rPr>
          <w:lang w:val="en-US"/>
        </w:rPr>
        <w:t xml:space="preserve">Figure </w:t>
      </w:r>
      <w:r>
        <w:fldChar w:fldCharType="begin"/>
      </w:r>
      <w:r w:rsidRPr="00B5278D">
        <w:rPr>
          <w:lang w:val="en-US"/>
        </w:rPr>
        <w:instrText xml:space="preserve"> SEQ Figure \* ARABIC </w:instrText>
      </w:r>
      <w:r>
        <w:fldChar w:fldCharType="separate"/>
      </w:r>
      <w:r w:rsidRPr="00B5278D">
        <w:rPr>
          <w:noProof/>
          <w:lang w:val="en-US"/>
        </w:rPr>
        <w:t>1</w:t>
      </w:r>
      <w:r>
        <w:fldChar w:fldCharType="end"/>
      </w:r>
      <w:r w:rsidRPr="00B5278D">
        <w:rPr>
          <w:lang w:val="en-US"/>
        </w:rPr>
        <w:t xml:space="preserve">: </w:t>
      </w:r>
      <w:r w:rsidRPr="00EF4F20">
        <w:rPr>
          <w:i w:val="0"/>
          <w:lang w:val="en-US"/>
        </w:rPr>
        <w:t>Comparison between activation</w:t>
      </w:r>
      <w:r w:rsidR="00EF4F20" w:rsidRPr="00EF4F20">
        <w:rPr>
          <w:i w:val="0"/>
          <w:lang w:val="en-US"/>
        </w:rPr>
        <w:t xml:space="preserve"> (A) during the question phase of the MASC</w:t>
      </w:r>
      <w:r w:rsidRPr="00EF4F20">
        <w:rPr>
          <w:i w:val="0"/>
          <w:lang w:val="en-US"/>
        </w:rPr>
        <w:t xml:space="preserve"> </w:t>
      </w:r>
      <w:r w:rsidR="00EF4F20" w:rsidRPr="00EF4F20">
        <w:rPr>
          <w:i w:val="0"/>
          <w:lang w:val="en-US"/>
        </w:rPr>
        <w:t>in</w:t>
      </w:r>
      <w:r w:rsidRPr="00EF4F20">
        <w:rPr>
          <w:i w:val="0"/>
          <w:lang w:val="en-US"/>
        </w:rPr>
        <w:t xml:space="preserve"> participants </w:t>
      </w:r>
      <w:r w:rsidR="00EF4F20" w:rsidRPr="00EF4F20">
        <w:rPr>
          <w:i w:val="0"/>
          <w:lang w:val="en-US"/>
        </w:rPr>
        <w:t>of</w:t>
      </w:r>
      <w:r w:rsidRPr="00EF4F20">
        <w:rPr>
          <w:i w:val="0"/>
          <w:lang w:val="en-US"/>
        </w:rPr>
        <w:t xml:space="preserve"> the placebo-group</w:t>
      </w:r>
      <w:r w:rsidR="00EF4F20" w:rsidRPr="00EF4F20">
        <w:rPr>
          <w:i w:val="0"/>
          <w:lang w:val="en-US"/>
        </w:rPr>
        <w:t xml:space="preserve"> and (B) an activation map showing regions active during various mentalizing tasks obtained from neurosynth.org.</w:t>
      </w:r>
      <w:r w:rsidRPr="00EF4F20">
        <w:rPr>
          <w:i w:val="0"/>
          <w:lang w:val="en-US"/>
        </w:rPr>
        <w:t xml:space="preserve"> </w:t>
      </w:r>
    </w:p>
    <w:p w14:paraId="4D4CBBC1" w14:textId="77777777" w:rsidR="00AA1B18" w:rsidRDefault="00AA1B18" w:rsidP="00153139">
      <w:pPr>
        <w:pStyle w:val="Caption"/>
        <w:rPr>
          <w:i w:val="0"/>
          <w:lang w:val="en-US"/>
        </w:rPr>
      </w:pPr>
    </w:p>
    <w:p w14:paraId="1BBB489A" w14:textId="273CEC77" w:rsidR="00AA1B18" w:rsidRDefault="00AA1B18" w:rsidP="00A53217">
      <w:pPr>
        <w:pStyle w:val="Heading2"/>
        <w:rPr>
          <w:lang w:val="en-US"/>
        </w:rPr>
      </w:pPr>
      <w:r w:rsidRPr="00AA1B18">
        <w:rPr>
          <w:lang w:val="en-US"/>
        </w:rPr>
        <w:t>Correlations PANSS x Mentalizing:</w:t>
      </w:r>
    </w:p>
    <w:p w14:paraId="5EA7C217" w14:textId="77777777" w:rsidR="00A53217" w:rsidRPr="00A53217" w:rsidRDefault="00A53217" w:rsidP="00A53217">
      <w:pPr>
        <w:rPr>
          <w:lang w:val="en-US"/>
        </w:rPr>
      </w:pPr>
    </w:p>
    <w:p w14:paraId="193CF6AC" w14:textId="79AC900E" w:rsidR="00543B1E" w:rsidRPr="00543B1E" w:rsidRDefault="00543B1E" w:rsidP="00543B1E">
      <w:pPr>
        <w:pStyle w:val="Caption"/>
        <w:keepNext/>
        <w:rPr>
          <w:lang w:val="en-US"/>
        </w:rPr>
      </w:pPr>
      <w:r w:rsidRPr="00543B1E">
        <w:rPr>
          <w:lang w:val="en-US"/>
        </w:rPr>
        <w:t xml:space="preserve">Table </w:t>
      </w:r>
      <w:r>
        <w:fldChar w:fldCharType="begin"/>
      </w:r>
      <w:r w:rsidRPr="00543B1E">
        <w:rPr>
          <w:lang w:val="en-US"/>
        </w:rPr>
        <w:instrText xml:space="preserve"> SEQ Table \* ARABIC </w:instrText>
      </w:r>
      <w:r>
        <w:fldChar w:fldCharType="separate"/>
      </w:r>
      <w:r w:rsidRPr="00543B1E">
        <w:rPr>
          <w:noProof/>
          <w:lang w:val="en-US"/>
        </w:rPr>
        <w:t>1</w:t>
      </w:r>
      <w:r>
        <w:fldChar w:fldCharType="end"/>
      </w:r>
      <w:r w:rsidRPr="00543B1E">
        <w:rPr>
          <w:lang w:val="en-US"/>
        </w:rPr>
        <w:t>. Pearson-Correlations between single PANSS scales and mentalizing in the ketamine-group</w:t>
      </w:r>
      <w:r>
        <w:rPr>
          <w:lang w:val="en-US"/>
        </w:rPr>
        <w:t>.</w:t>
      </w:r>
      <w:r w:rsidR="00A53217">
        <w:rPr>
          <w:lang w:val="en-US"/>
        </w:rPr>
        <w:t xml:space="preserve"> Critical p-value was p(crit) = .01 after Bonferroni-correction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268"/>
        <w:gridCol w:w="2404"/>
      </w:tblGrid>
      <w:tr w:rsidR="00AA1B18" w14:paraId="7173A412" w14:textId="77777777" w:rsidTr="00543B1E">
        <w:tc>
          <w:tcPr>
            <w:tcW w:w="4390" w:type="dxa"/>
            <w:tcBorders>
              <w:top w:val="single" w:sz="8" w:space="0" w:color="auto"/>
              <w:bottom w:val="single" w:sz="4" w:space="0" w:color="auto"/>
            </w:tcBorders>
          </w:tcPr>
          <w:p w14:paraId="5DFBBCE7" w14:textId="6684EDA6" w:rsidR="00AA1B18" w:rsidRDefault="00AA1B18" w:rsidP="00153139">
            <w:pPr>
              <w:pStyle w:val="Caption"/>
              <w:rPr>
                <w:i w:val="0"/>
                <w:iCs w:val="0"/>
                <w:color w:val="auto"/>
                <w:sz w:val="22"/>
                <w:szCs w:val="22"/>
                <w:lang w:val="en-US"/>
              </w:rPr>
            </w:pPr>
            <w:r>
              <w:rPr>
                <w:i w:val="0"/>
                <w:iCs w:val="0"/>
                <w:color w:val="auto"/>
                <w:sz w:val="22"/>
                <w:szCs w:val="22"/>
                <w:lang w:val="en-US"/>
              </w:rPr>
              <w:t>Condition</w:t>
            </w:r>
          </w:p>
        </w:tc>
        <w:tc>
          <w:tcPr>
            <w:tcW w:w="2268" w:type="dxa"/>
            <w:tcBorders>
              <w:top w:val="single" w:sz="8" w:space="0" w:color="auto"/>
              <w:bottom w:val="single" w:sz="4" w:space="0" w:color="auto"/>
            </w:tcBorders>
          </w:tcPr>
          <w:p w14:paraId="1D8AC7F5" w14:textId="0A5D1215" w:rsidR="00AA1B18" w:rsidRDefault="00AA1B18" w:rsidP="00AA1B18">
            <w:pPr>
              <w:pStyle w:val="Caption"/>
              <w:jc w:val="center"/>
              <w:rPr>
                <w:i w:val="0"/>
                <w:iCs w:val="0"/>
                <w:color w:val="auto"/>
                <w:sz w:val="22"/>
                <w:szCs w:val="22"/>
                <w:lang w:val="en-US"/>
              </w:rPr>
            </w:pPr>
            <w:r>
              <w:rPr>
                <w:i w:val="0"/>
                <w:iCs w:val="0"/>
                <w:color w:val="auto"/>
                <w:sz w:val="22"/>
                <w:szCs w:val="22"/>
                <w:lang w:val="en-US"/>
              </w:rPr>
              <w:t>r</w:t>
            </w:r>
          </w:p>
        </w:tc>
        <w:tc>
          <w:tcPr>
            <w:tcW w:w="2404" w:type="dxa"/>
            <w:tcBorders>
              <w:top w:val="single" w:sz="8" w:space="0" w:color="auto"/>
              <w:bottom w:val="single" w:sz="4" w:space="0" w:color="auto"/>
            </w:tcBorders>
          </w:tcPr>
          <w:p w14:paraId="7025B3E7" w14:textId="43F6BFD4" w:rsidR="00AA1B18" w:rsidRDefault="00AA1B18" w:rsidP="00AA1B18">
            <w:pPr>
              <w:pStyle w:val="Caption"/>
              <w:jc w:val="center"/>
              <w:rPr>
                <w:i w:val="0"/>
                <w:iCs w:val="0"/>
                <w:color w:val="auto"/>
                <w:sz w:val="22"/>
                <w:szCs w:val="22"/>
                <w:lang w:val="en-US"/>
              </w:rPr>
            </w:pPr>
            <w:r>
              <w:rPr>
                <w:i w:val="0"/>
                <w:iCs w:val="0"/>
                <w:color w:val="auto"/>
                <w:sz w:val="22"/>
                <w:szCs w:val="22"/>
                <w:lang w:val="en-US"/>
              </w:rPr>
              <w:t>p (corr.)</w:t>
            </w:r>
          </w:p>
        </w:tc>
      </w:tr>
      <w:tr w:rsidR="00AA1B18" w14:paraId="775768CD" w14:textId="77777777" w:rsidTr="00AA1B18">
        <w:tc>
          <w:tcPr>
            <w:tcW w:w="4390" w:type="dxa"/>
            <w:tcBorders>
              <w:top w:val="single" w:sz="4" w:space="0" w:color="auto"/>
            </w:tcBorders>
          </w:tcPr>
          <w:p w14:paraId="7C6A29D1" w14:textId="44B9C632" w:rsidR="00AA1B18" w:rsidRDefault="00AA1B18" w:rsidP="00153139">
            <w:pPr>
              <w:pStyle w:val="Caption"/>
              <w:rPr>
                <w:i w:val="0"/>
                <w:iCs w:val="0"/>
                <w:color w:val="auto"/>
                <w:sz w:val="22"/>
                <w:szCs w:val="22"/>
                <w:lang w:val="en-US"/>
              </w:rPr>
            </w:pPr>
            <w:r>
              <w:rPr>
                <w:i w:val="0"/>
                <w:iCs w:val="0"/>
                <w:color w:val="auto"/>
                <w:sz w:val="22"/>
                <w:szCs w:val="22"/>
                <w:lang w:val="en-US"/>
              </w:rPr>
              <w:t>Mentalizing x PANSS Positive</w:t>
            </w:r>
          </w:p>
        </w:tc>
        <w:tc>
          <w:tcPr>
            <w:tcW w:w="2268" w:type="dxa"/>
            <w:tcBorders>
              <w:top w:val="single" w:sz="4" w:space="0" w:color="auto"/>
            </w:tcBorders>
          </w:tcPr>
          <w:p w14:paraId="0FD32AB1" w14:textId="15091054" w:rsidR="00AA1B18" w:rsidRDefault="00AA1B18" w:rsidP="00AA1B18">
            <w:pPr>
              <w:pStyle w:val="Caption"/>
              <w:jc w:val="center"/>
              <w:rPr>
                <w:i w:val="0"/>
                <w:iCs w:val="0"/>
                <w:color w:val="auto"/>
                <w:sz w:val="22"/>
                <w:szCs w:val="22"/>
                <w:lang w:val="en-US"/>
              </w:rPr>
            </w:pPr>
            <w:r>
              <w:rPr>
                <w:i w:val="0"/>
                <w:iCs w:val="0"/>
                <w:color w:val="auto"/>
                <w:sz w:val="22"/>
                <w:szCs w:val="22"/>
                <w:lang w:val="en-US"/>
              </w:rPr>
              <w:t>.157</w:t>
            </w:r>
          </w:p>
        </w:tc>
        <w:tc>
          <w:tcPr>
            <w:tcW w:w="2404" w:type="dxa"/>
            <w:tcBorders>
              <w:top w:val="single" w:sz="4" w:space="0" w:color="auto"/>
            </w:tcBorders>
          </w:tcPr>
          <w:p w14:paraId="33199434" w14:textId="4AE47425" w:rsidR="00AA1B18" w:rsidRDefault="00AA1B18" w:rsidP="00AA1B18">
            <w:pPr>
              <w:pStyle w:val="Caption"/>
              <w:jc w:val="center"/>
              <w:rPr>
                <w:i w:val="0"/>
                <w:iCs w:val="0"/>
                <w:color w:val="auto"/>
                <w:sz w:val="22"/>
                <w:szCs w:val="22"/>
                <w:lang w:val="en-US"/>
              </w:rPr>
            </w:pPr>
            <w:r>
              <w:rPr>
                <w:i w:val="0"/>
                <w:iCs w:val="0"/>
                <w:color w:val="auto"/>
                <w:sz w:val="22"/>
                <w:szCs w:val="22"/>
                <w:lang w:val="en-US"/>
              </w:rPr>
              <w:t>.426</w:t>
            </w:r>
          </w:p>
        </w:tc>
      </w:tr>
      <w:tr w:rsidR="00AA1B18" w14:paraId="2B9E2D7F" w14:textId="77777777" w:rsidTr="00AA1B18">
        <w:tc>
          <w:tcPr>
            <w:tcW w:w="4390" w:type="dxa"/>
          </w:tcPr>
          <w:p w14:paraId="6F5C7F79" w14:textId="31C705C6" w:rsidR="00AA1B18" w:rsidRDefault="00AA1B18" w:rsidP="00153139">
            <w:pPr>
              <w:pStyle w:val="Caption"/>
              <w:rPr>
                <w:i w:val="0"/>
                <w:iCs w:val="0"/>
                <w:color w:val="auto"/>
                <w:sz w:val="22"/>
                <w:szCs w:val="22"/>
                <w:lang w:val="en-US"/>
              </w:rPr>
            </w:pPr>
            <w:r>
              <w:rPr>
                <w:i w:val="0"/>
                <w:iCs w:val="0"/>
                <w:color w:val="auto"/>
                <w:sz w:val="22"/>
                <w:szCs w:val="22"/>
                <w:lang w:val="en-US"/>
              </w:rPr>
              <w:t>Mentalizing x PANSS Cognitive Disorganization</w:t>
            </w:r>
          </w:p>
        </w:tc>
        <w:tc>
          <w:tcPr>
            <w:tcW w:w="2268" w:type="dxa"/>
          </w:tcPr>
          <w:p w14:paraId="4A9340AA" w14:textId="34D60502" w:rsidR="00AA1B18" w:rsidRDefault="00AA1B18" w:rsidP="00AA1B18">
            <w:pPr>
              <w:pStyle w:val="Caption"/>
              <w:jc w:val="center"/>
              <w:rPr>
                <w:i w:val="0"/>
                <w:iCs w:val="0"/>
                <w:color w:val="auto"/>
                <w:sz w:val="22"/>
                <w:szCs w:val="22"/>
                <w:lang w:val="en-US"/>
              </w:rPr>
            </w:pPr>
            <w:r>
              <w:rPr>
                <w:i w:val="0"/>
                <w:iCs w:val="0"/>
                <w:color w:val="auto"/>
                <w:sz w:val="22"/>
                <w:szCs w:val="22"/>
                <w:lang w:val="en-US"/>
              </w:rPr>
              <w:t>.140</w:t>
            </w:r>
          </w:p>
        </w:tc>
        <w:tc>
          <w:tcPr>
            <w:tcW w:w="2404" w:type="dxa"/>
          </w:tcPr>
          <w:p w14:paraId="0E248F67" w14:textId="11DB88DF" w:rsidR="00AA1B18" w:rsidRPr="00AA1B18" w:rsidRDefault="00AA1B18" w:rsidP="00AA1B18">
            <w:pPr>
              <w:pStyle w:val="Caption"/>
              <w:jc w:val="center"/>
              <w:rPr>
                <w:i w:val="0"/>
                <w:iCs w:val="0"/>
                <w:color w:val="auto"/>
                <w:sz w:val="22"/>
                <w:szCs w:val="22"/>
                <w:lang w:val="en-US"/>
              </w:rPr>
            </w:pPr>
            <w:r>
              <w:rPr>
                <w:i w:val="0"/>
                <w:iCs w:val="0"/>
                <w:color w:val="auto"/>
                <w:sz w:val="22"/>
                <w:szCs w:val="22"/>
                <w:lang w:val="en-US"/>
              </w:rPr>
              <w:t>.477</w:t>
            </w:r>
          </w:p>
        </w:tc>
      </w:tr>
      <w:tr w:rsidR="00AA1B18" w14:paraId="263C52E4" w14:textId="77777777" w:rsidTr="00AA1B18">
        <w:tc>
          <w:tcPr>
            <w:tcW w:w="4390" w:type="dxa"/>
          </w:tcPr>
          <w:p w14:paraId="6E443B20" w14:textId="514E2698" w:rsidR="00AA1B18" w:rsidRDefault="00AA1B18" w:rsidP="00153139">
            <w:pPr>
              <w:pStyle w:val="Caption"/>
              <w:rPr>
                <w:i w:val="0"/>
                <w:iCs w:val="0"/>
                <w:color w:val="auto"/>
                <w:sz w:val="22"/>
                <w:szCs w:val="22"/>
                <w:lang w:val="en-US"/>
              </w:rPr>
            </w:pPr>
            <w:r>
              <w:rPr>
                <w:i w:val="0"/>
                <w:iCs w:val="0"/>
                <w:color w:val="auto"/>
                <w:sz w:val="22"/>
                <w:szCs w:val="22"/>
                <w:lang w:val="en-US"/>
              </w:rPr>
              <w:t>Mentalizing x PANSS Hostility</w:t>
            </w:r>
          </w:p>
        </w:tc>
        <w:tc>
          <w:tcPr>
            <w:tcW w:w="2268" w:type="dxa"/>
          </w:tcPr>
          <w:p w14:paraId="4A9D1A3C" w14:textId="4A922B0C" w:rsidR="00AA1B18" w:rsidRDefault="00AA1B18" w:rsidP="00AA1B18">
            <w:pPr>
              <w:pStyle w:val="Caption"/>
              <w:jc w:val="center"/>
              <w:rPr>
                <w:i w:val="0"/>
                <w:iCs w:val="0"/>
                <w:color w:val="auto"/>
                <w:sz w:val="22"/>
                <w:szCs w:val="22"/>
                <w:lang w:val="en-US"/>
              </w:rPr>
            </w:pPr>
            <w:r>
              <w:rPr>
                <w:i w:val="0"/>
                <w:iCs w:val="0"/>
                <w:color w:val="auto"/>
                <w:sz w:val="22"/>
                <w:szCs w:val="22"/>
                <w:lang w:val="en-US"/>
              </w:rPr>
              <w:t>-.052</w:t>
            </w:r>
          </w:p>
        </w:tc>
        <w:tc>
          <w:tcPr>
            <w:tcW w:w="2404" w:type="dxa"/>
          </w:tcPr>
          <w:p w14:paraId="080440F3" w14:textId="1C4CC7DE" w:rsidR="00AA1B18" w:rsidRDefault="00AA1B18" w:rsidP="00AA1B18">
            <w:pPr>
              <w:pStyle w:val="Caption"/>
              <w:jc w:val="center"/>
              <w:rPr>
                <w:i w:val="0"/>
                <w:iCs w:val="0"/>
                <w:color w:val="auto"/>
                <w:sz w:val="22"/>
                <w:szCs w:val="22"/>
                <w:lang w:val="en-US"/>
              </w:rPr>
            </w:pPr>
            <w:r>
              <w:rPr>
                <w:i w:val="0"/>
                <w:iCs w:val="0"/>
                <w:color w:val="auto"/>
                <w:sz w:val="22"/>
                <w:szCs w:val="22"/>
                <w:lang w:val="en-US"/>
              </w:rPr>
              <w:t>.794</w:t>
            </w:r>
          </w:p>
        </w:tc>
      </w:tr>
      <w:tr w:rsidR="00AA1B18" w14:paraId="10DB83C3" w14:textId="77777777" w:rsidTr="00543B1E">
        <w:tc>
          <w:tcPr>
            <w:tcW w:w="4390" w:type="dxa"/>
          </w:tcPr>
          <w:p w14:paraId="7344B989" w14:textId="4E623A7C" w:rsidR="00AA1B18" w:rsidRDefault="00AA1B18" w:rsidP="00153139">
            <w:pPr>
              <w:pStyle w:val="Caption"/>
              <w:rPr>
                <w:i w:val="0"/>
                <w:iCs w:val="0"/>
                <w:color w:val="auto"/>
                <w:sz w:val="22"/>
                <w:szCs w:val="22"/>
                <w:lang w:val="en-US"/>
              </w:rPr>
            </w:pPr>
            <w:r>
              <w:rPr>
                <w:i w:val="0"/>
                <w:iCs w:val="0"/>
                <w:color w:val="auto"/>
                <w:sz w:val="22"/>
                <w:szCs w:val="22"/>
                <w:lang w:val="en-US"/>
              </w:rPr>
              <w:t>Mentalizing x PANSS Negative</w:t>
            </w:r>
          </w:p>
        </w:tc>
        <w:tc>
          <w:tcPr>
            <w:tcW w:w="2268" w:type="dxa"/>
          </w:tcPr>
          <w:p w14:paraId="2E8EAC44" w14:textId="1BEF41FB" w:rsidR="00AA1B18" w:rsidRDefault="00AA1B18" w:rsidP="00AA1B18">
            <w:pPr>
              <w:pStyle w:val="Caption"/>
              <w:jc w:val="center"/>
              <w:rPr>
                <w:i w:val="0"/>
                <w:iCs w:val="0"/>
                <w:color w:val="auto"/>
                <w:sz w:val="22"/>
                <w:szCs w:val="22"/>
                <w:lang w:val="en-US"/>
              </w:rPr>
            </w:pPr>
            <w:r>
              <w:rPr>
                <w:i w:val="0"/>
                <w:iCs w:val="0"/>
                <w:color w:val="auto"/>
                <w:sz w:val="22"/>
                <w:szCs w:val="22"/>
                <w:lang w:val="en-US"/>
              </w:rPr>
              <w:t>-.284</w:t>
            </w:r>
          </w:p>
        </w:tc>
        <w:tc>
          <w:tcPr>
            <w:tcW w:w="2404" w:type="dxa"/>
          </w:tcPr>
          <w:p w14:paraId="32736AF8" w14:textId="7F16B653" w:rsidR="00AA1B18" w:rsidRDefault="00AA1B18" w:rsidP="00AA1B18">
            <w:pPr>
              <w:pStyle w:val="Caption"/>
              <w:jc w:val="center"/>
              <w:rPr>
                <w:i w:val="0"/>
                <w:iCs w:val="0"/>
                <w:color w:val="auto"/>
                <w:sz w:val="22"/>
                <w:szCs w:val="22"/>
                <w:lang w:val="en-US"/>
              </w:rPr>
            </w:pPr>
            <w:r>
              <w:rPr>
                <w:i w:val="0"/>
                <w:iCs w:val="0"/>
                <w:color w:val="auto"/>
                <w:sz w:val="22"/>
                <w:szCs w:val="22"/>
                <w:lang w:val="en-US"/>
              </w:rPr>
              <w:t>.143</w:t>
            </w:r>
          </w:p>
        </w:tc>
      </w:tr>
      <w:tr w:rsidR="00AA1B18" w14:paraId="13976A1F" w14:textId="77777777" w:rsidTr="00543B1E">
        <w:tc>
          <w:tcPr>
            <w:tcW w:w="4390" w:type="dxa"/>
            <w:tcBorders>
              <w:bottom w:val="single" w:sz="8" w:space="0" w:color="auto"/>
            </w:tcBorders>
          </w:tcPr>
          <w:p w14:paraId="505A973F" w14:textId="29D7E27B" w:rsidR="00AA1B18" w:rsidRDefault="00AA1B18" w:rsidP="00153139">
            <w:pPr>
              <w:pStyle w:val="Caption"/>
              <w:rPr>
                <w:i w:val="0"/>
                <w:iCs w:val="0"/>
                <w:color w:val="auto"/>
                <w:sz w:val="22"/>
                <w:szCs w:val="22"/>
                <w:lang w:val="en-US"/>
              </w:rPr>
            </w:pPr>
            <w:r>
              <w:rPr>
                <w:i w:val="0"/>
                <w:iCs w:val="0"/>
                <w:color w:val="auto"/>
                <w:sz w:val="22"/>
                <w:szCs w:val="22"/>
                <w:lang w:val="en-US"/>
              </w:rPr>
              <w:t>Mentalizing x PANSS Depression Anxiety</w:t>
            </w:r>
          </w:p>
        </w:tc>
        <w:tc>
          <w:tcPr>
            <w:tcW w:w="2268" w:type="dxa"/>
            <w:tcBorders>
              <w:bottom w:val="single" w:sz="8" w:space="0" w:color="auto"/>
            </w:tcBorders>
          </w:tcPr>
          <w:p w14:paraId="3E6929B3" w14:textId="5A14E2F7" w:rsidR="00AA1B18" w:rsidRDefault="00AA1B18" w:rsidP="00AA1B18">
            <w:pPr>
              <w:pStyle w:val="Caption"/>
              <w:jc w:val="center"/>
              <w:rPr>
                <w:i w:val="0"/>
                <w:iCs w:val="0"/>
                <w:color w:val="auto"/>
                <w:sz w:val="22"/>
                <w:szCs w:val="22"/>
                <w:lang w:val="en-US"/>
              </w:rPr>
            </w:pPr>
            <w:r>
              <w:rPr>
                <w:i w:val="0"/>
                <w:iCs w:val="0"/>
                <w:color w:val="auto"/>
                <w:sz w:val="22"/>
                <w:szCs w:val="22"/>
                <w:lang w:val="en-US"/>
              </w:rPr>
              <w:t>.084</w:t>
            </w:r>
          </w:p>
        </w:tc>
        <w:tc>
          <w:tcPr>
            <w:tcW w:w="2404" w:type="dxa"/>
            <w:tcBorders>
              <w:bottom w:val="single" w:sz="8" w:space="0" w:color="auto"/>
            </w:tcBorders>
          </w:tcPr>
          <w:p w14:paraId="63717B63" w14:textId="700D85DE" w:rsidR="00AA1B18" w:rsidRDefault="00AA1B18" w:rsidP="00AA1B18">
            <w:pPr>
              <w:pStyle w:val="Caption"/>
              <w:jc w:val="center"/>
              <w:rPr>
                <w:i w:val="0"/>
                <w:iCs w:val="0"/>
                <w:color w:val="auto"/>
                <w:sz w:val="22"/>
                <w:szCs w:val="22"/>
                <w:lang w:val="en-US"/>
              </w:rPr>
            </w:pPr>
            <w:r>
              <w:rPr>
                <w:i w:val="0"/>
                <w:iCs w:val="0"/>
                <w:color w:val="auto"/>
                <w:sz w:val="22"/>
                <w:szCs w:val="22"/>
                <w:lang w:val="en-US"/>
              </w:rPr>
              <w:t>.672</w:t>
            </w:r>
          </w:p>
        </w:tc>
      </w:tr>
    </w:tbl>
    <w:p w14:paraId="1C01CFDF" w14:textId="77777777" w:rsidR="00543B1E" w:rsidRDefault="00543B1E" w:rsidP="00153139">
      <w:pPr>
        <w:pStyle w:val="Caption"/>
        <w:rPr>
          <w:lang w:val="en-US"/>
        </w:rPr>
      </w:pPr>
    </w:p>
    <w:p w14:paraId="4B7155B9" w14:textId="0E90200A" w:rsidR="00B5278D" w:rsidRPr="00AA1B18" w:rsidRDefault="00A53217" w:rsidP="00A53217">
      <w:pPr>
        <w:pStyle w:val="Caption"/>
        <w:spacing w:line="360" w:lineRule="auto"/>
        <w:jc w:val="both"/>
        <w:rPr>
          <w:i w:val="0"/>
          <w:iCs w:val="0"/>
          <w:color w:val="auto"/>
          <w:sz w:val="22"/>
          <w:szCs w:val="22"/>
          <w:lang w:val="en-US"/>
        </w:rPr>
      </w:pPr>
      <w:r w:rsidRPr="00A53217">
        <w:rPr>
          <w:i w:val="0"/>
          <w:iCs w:val="0"/>
          <w:color w:val="auto"/>
          <w:sz w:val="22"/>
          <w:szCs w:val="22"/>
          <w:lang w:val="en-US"/>
        </w:rPr>
        <w:t xml:space="preserve">Since </w:t>
      </w:r>
      <w:r>
        <w:rPr>
          <w:i w:val="0"/>
          <w:iCs w:val="0"/>
          <w:color w:val="auto"/>
          <w:sz w:val="22"/>
          <w:szCs w:val="22"/>
          <w:lang w:val="en-US"/>
        </w:rPr>
        <w:t xml:space="preserve">mentalizing is generally thought to be impacted by the severity of negative symptoms in schizophrenia, we added this brief analysis to show whether there is a significant correlation between these variables in our analysis. Table 1 shows that none of the PANSS dimensions correlate significantly </w:t>
      </w:r>
      <w:r w:rsidR="00D822BC" w:rsidRPr="00D822BC">
        <w:rPr>
          <w:i w:val="0"/>
          <w:iCs w:val="0"/>
          <w:color w:val="auto"/>
          <w:sz w:val="22"/>
          <w:szCs w:val="22"/>
          <w:lang w:val="en-US"/>
        </w:rPr>
        <w:t>(critical p-value corrected for multiple corrections p</w:t>
      </w:r>
      <w:r w:rsidR="00D822BC" w:rsidRPr="00D822BC">
        <w:rPr>
          <w:i w:val="0"/>
          <w:iCs w:val="0"/>
          <w:color w:val="auto"/>
          <w:sz w:val="22"/>
          <w:szCs w:val="22"/>
          <w:vertAlign w:val="subscript"/>
          <w:lang w:val="en-US"/>
        </w:rPr>
        <w:t xml:space="preserve">(crit) </w:t>
      </w:r>
      <w:r w:rsidR="00D822BC" w:rsidRPr="00D822BC">
        <w:rPr>
          <w:i w:val="0"/>
          <w:iCs w:val="0"/>
          <w:color w:val="auto"/>
          <w:sz w:val="22"/>
          <w:szCs w:val="22"/>
          <w:lang w:val="en-US"/>
        </w:rPr>
        <w:t>= .01)</w:t>
      </w:r>
      <w:r w:rsidR="00D822BC" w:rsidRPr="00D822BC">
        <w:rPr>
          <w:color w:val="auto"/>
          <w:sz w:val="22"/>
          <w:szCs w:val="22"/>
          <w:lang w:val="en-US"/>
        </w:rPr>
        <w:t xml:space="preserve"> </w:t>
      </w:r>
      <w:r>
        <w:rPr>
          <w:i w:val="0"/>
          <w:iCs w:val="0"/>
          <w:color w:val="auto"/>
          <w:sz w:val="22"/>
          <w:szCs w:val="22"/>
          <w:lang w:val="en-US"/>
        </w:rPr>
        <w:t xml:space="preserve">with mentalizing. However, the strongest correlation within this analysis was between mentalizing and the PANSS negative scale (r = -.284), which is in accord with the literature. However, since we did not design our study to analyze multiple correlations, these results should be viewed with caution. </w:t>
      </w:r>
      <w:r w:rsidR="00B5278D" w:rsidRPr="00AA1B18">
        <w:rPr>
          <w:lang w:val="en-US"/>
        </w:rPr>
        <w:br w:type="page"/>
      </w:r>
    </w:p>
    <w:p w14:paraId="1984DB9A" w14:textId="77777777" w:rsidR="00FA42F3" w:rsidRPr="00AA1B18" w:rsidRDefault="00FA42F3" w:rsidP="00FA42F3">
      <w:pPr>
        <w:rPr>
          <w:lang w:val="en-US"/>
        </w:rPr>
      </w:pPr>
    </w:p>
    <w:p w14:paraId="1567C767" w14:textId="4B6F25C0" w:rsidR="00FA42F3" w:rsidRDefault="00FA42F3" w:rsidP="00FA42F3">
      <w:pPr>
        <w:spacing w:line="360" w:lineRule="auto"/>
        <w:jc w:val="both"/>
        <w:rPr>
          <w:rFonts w:ascii="Calibri" w:eastAsia="Times New Roman" w:hAnsi="Calibri" w:cs="Calibri"/>
          <w:color w:val="000000"/>
          <w:lang w:val="en-US" w:eastAsia="de-DE"/>
        </w:rPr>
      </w:pPr>
      <w:r>
        <w:rPr>
          <w:rFonts w:ascii="Calibri" w:eastAsia="Times New Roman" w:hAnsi="Calibri" w:cs="Calibri"/>
          <w:color w:val="000000"/>
          <w:lang w:val="en-US" w:eastAsia="de-DE"/>
        </w:rPr>
        <w:t>References:</w:t>
      </w:r>
    </w:p>
    <w:p w14:paraId="5751085D" w14:textId="3D457250" w:rsidR="004207B3" w:rsidRPr="003C40FA" w:rsidRDefault="004207B3" w:rsidP="00FA42F3">
      <w:pPr>
        <w:pStyle w:val="CitaviBibliographyEntry"/>
        <w:rPr>
          <w:lang w:val="en-US"/>
        </w:rPr>
      </w:pPr>
      <w:bookmarkStart w:id="2" w:name="_CTVL001d46c8d12ab544438bb72121442c4879d"/>
      <w:r>
        <w:rPr>
          <w:lang w:val="en-US"/>
        </w:rPr>
        <w:t>[1]</w:t>
      </w:r>
      <w:r>
        <w:rPr>
          <w:lang w:val="en-US"/>
        </w:rPr>
        <w:tab/>
        <w:t xml:space="preserve">Dziobek I, Fleck S, Kalbe E, Rogers K, Hassenstab J, Brand M, et al. Introducing MASC: a movie for the assessment of social cognition. </w:t>
      </w:r>
      <w:r w:rsidRPr="003C40FA">
        <w:rPr>
          <w:lang w:val="en-US"/>
        </w:rPr>
        <w:t>J Autism Dev Disord 2006;36(5):623–36.</w:t>
      </w:r>
    </w:p>
    <w:p w14:paraId="39AECD10" w14:textId="1723E691" w:rsidR="00FA42F3" w:rsidRDefault="00FA42F3" w:rsidP="00FA42F3">
      <w:pPr>
        <w:pStyle w:val="CitaviBibliographyEntry"/>
        <w:rPr>
          <w:lang w:val="en-US"/>
        </w:rPr>
      </w:pPr>
      <w:r w:rsidRPr="003C40FA">
        <w:rPr>
          <w:lang w:val="en-US"/>
        </w:rPr>
        <w:t>[2]</w:t>
      </w:r>
      <w:r w:rsidRPr="003C40FA">
        <w:rPr>
          <w:lang w:val="en-US"/>
        </w:rPr>
        <w:tab/>
        <w:t xml:space="preserve">Montag C, Dziobek I, Richter IS, Neuhaus K, Lehmann A, Sylla R, et al. </w:t>
      </w:r>
      <w:r>
        <w:rPr>
          <w:lang w:val="en-US"/>
        </w:rPr>
        <w:t>Different aspects of theory of mind in paranoid schizophrenia: evidence from a video-based assessment. Psychiatry Res 2011;186(2-3):203–9.</w:t>
      </w:r>
    </w:p>
    <w:bookmarkEnd w:id="2"/>
    <w:bookmarkEnd w:id="0"/>
    <w:p w14:paraId="02081F81" w14:textId="7B04F559" w:rsidR="00FA42F3" w:rsidRPr="000F56B8" w:rsidRDefault="00FA42F3" w:rsidP="000675D1">
      <w:pPr>
        <w:pStyle w:val="CitaviBibliographyEntry"/>
        <w:rPr>
          <w:lang w:val="en-US"/>
        </w:rPr>
      </w:pPr>
    </w:p>
    <w:sectPr w:rsidR="00FA42F3" w:rsidRPr="000F56B8" w:rsidSect="00265ECB">
      <w:footerReference w:type="defaul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A5795" w14:textId="77777777" w:rsidR="004B7917" w:rsidRDefault="004B7917">
      <w:pPr>
        <w:spacing w:after="0" w:line="240" w:lineRule="auto"/>
      </w:pPr>
      <w:r>
        <w:separator/>
      </w:r>
    </w:p>
  </w:endnote>
  <w:endnote w:type="continuationSeparator" w:id="0">
    <w:p w14:paraId="21390751" w14:textId="77777777" w:rsidR="004B7917" w:rsidRDefault="004B7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8997273"/>
      <w:docPartObj>
        <w:docPartGallery w:val="Page Numbers (Bottom of Page)"/>
        <w:docPartUnique/>
      </w:docPartObj>
    </w:sdtPr>
    <w:sdtEndPr/>
    <w:sdtContent>
      <w:p w14:paraId="33B334E1" w14:textId="77777777" w:rsidR="005E46A2" w:rsidRDefault="000F56B8">
        <w:pPr>
          <w:pStyle w:val="Footer"/>
          <w:jc w:val="center"/>
        </w:pPr>
        <w:r>
          <w:fldChar w:fldCharType="begin"/>
        </w:r>
        <w:r>
          <w:instrText>PAGE   \* MERGEFORMAT</w:instrText>
        </w:r>
        <w:r>
          <w:fldChar w:fldCharType="separate"/>
        </w:r>
        <w:r w:rsidR="00265ECB">
          <w:rPr>
            <w:noProof/>
          </w:rPr>
          <w:t>2</w:t>
        </w:r>
        <w:r>
          <w:fldChar w:fldCharType="end"/>
        </w:r>
      </w:p>
    </w:sdtContent>
  </w:sdt>
  <w:p w14:paraId="7D006863" w14:textId="77777777" w:rsidR="005E46A2" w:rsidRDefault="005E46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A54FB" w14:textId="77777777" w:rsidR="004B7917" w:rsidRDefault="004B7917">
      <w:pPr>
        <w:spacing w:after="0" w:line="240" w:lineRule="auto"/>
      </w:pPr>
      <w:r>
        <w:separator/>
      </w:r>
    </w:p>
  </w:footnote>
  <w:footnote w:type="continuationSeparator" w:id="0">
    <w:p w14:paraId="5D41E3BF" w14:textId="77777777" w:rsidR="004B7917" w:rsidRDefault="004B79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F3"/>
    <w:rsid w:val="0001275B"/>
    <w:rsid w:val="000675D1"/>
    <w:rsid w:val="000C14C1"/>
    <w:rsid w:val="000F56B8"/>
    <w:rsid w:val="00145256"/>
    <w:rsid w:val="00153139"/>
    <w:rsid w:val="001D4635"/>
    <w:rsid w:val="00251471"/>
    <w:rsid w:val="00265ECB"/>
    <w:rsid w:val="003A2642"/>
    <w:rsid w:val="003C40FA"/>
    <w:rsid w:val="003D021C"/>
    <w:rsid w:val="004207B3"/>
    <w:rsid w:val="004A2039"/>
    <w:rsid w:val="004B7917"/>
    <w:rsid w:val="004F7C0E"/>
    <w:rsid w:val="00525BA5"/>
    <w:rsid w:val="00543B1E"/>
    <w:rsid w:val="00576AA9"/>
    <w:rsid w:val="005A1F41"/>
    <w:rsid w:val="005E46A2"/>
    <w:rsid w:val="00601F69"/>
    <w:rsid w:val="006143D6"/>
    <w:rsid w:val="0065176F"/>
    <w:rsid w:val="00684784"/>
    <w:rsid w:val="006B11D1"/>
    <w:rsid w:val="006F3050"/>
    <w:rsid w:val="00743334"/>
    <w:rsid w:val="00755198"/>
    <w:rsid w:val="00774C3A"/>
    <w:rsid w:val="007F5505"/>
    <w:rsid w:val="00842FA5"/>
    <w:rsid w:val="008B6FF1"/>
    <w:rsid w:val="0092096C"/>
    <w:rsid w:val="00A53217"/>
    <w:rsid w:val="00A7500B"/>
    <w:rsid w:val="00AA1B18"/>
    <w:rsid w:val="00AF3A1C"/>
    <w:rsid w:val="00B259DA"/>
    <w:rsid w:val="00B5278D"/>
    <w:rsid w:val="00C214F2"/>
    <w:rsid w:val="00C65C60"/>
    <w:rsid w:val="00D50D9D"/>
    <w:rsid w:val="00D822BC"/>
    <w:rsid w:val="00DC3323"/>
    <w:rsid w:val="00DF2959"/>
    <w:rsid w:val="00EB67EA"/>
    <w:rsid w:val="00EF4F20"/>
    <w:rsid w:val="00F92CFB"/>
    <w:rsid w:val="00FA42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E17C2"/>
  <w15:chartTrackingRefBased/>
  <w15:docId w15:val="{9910C8F3-1501-4107-90A6-EA809F16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2F3"/>
  </w:style>
  <w:style w:type="paragraph" w:styleId="Heading1">
    <w:name w:val="heading 1"/>
    <w:basedOn w:val="Normal"/>
    <w:next w:val="Normal"/>
    <w:link w:val="Heading1Char"/>
    <w:uiPriority w:val="9"/>
    <w:qFormat/>
    <w:rsid w:val="00FA42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42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2F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A42F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A42F3"/>
    <w:rPr>
      <w:color w:val="0563C1" w:themeColor="hyperlink"/>
      <w:u w:val="single"/>
    </w:rPr>
  </w:style>
  <w:style w:type="paragraph" w:styleId="Footer">
    <w:name w:val="footer"/>
    <w:basedOn w:val="Normal"/>
    <w:link w:val="FooterChar"/>
    <w:uiPriority w:val="99"/>
    <w:unhideWhenUsed/>
    <w:rsid w:val="00FA42F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A42F3"/>
  </w:style>
  <w:style w:type="character" w:styleId="LineNumber">
    <w:name w:val="line number"/>
    <w:basedOn w:val="DefaultParagraphFont"/>
    <w:uiPriority w:val="99"/>
    <w:semiHidden/>
    <w:unhideWhenUsed/>
    <w:rsid w:val="00FA42F3"/>
  </w:style>
  <w:style w:type="paragraph" w:customStyle="1" w:styleId="CitaviBibliographyEntry">
    <w:name w:val="Citavi Bibliography Entry"/>
    <w:basedOn w:val="Normal"/>
    <w:link w:val="CitaviBibliographyEntryZchn"/>
    <w:uiPriority w:val="99"/>
    <w:rsid w:val="00FA42F3"/>
    <w:pPr>
      <w:tabs>
        <w:tab w:val="left" w:pos="397"/>
        <w:tab w:val="left" w:pos="454"/>
      </w:tabs>
      <w:spacing w:after="0"/>
      <w:ind w:left="397" w:hanging="397"/>
    </w:pPr>
  </w:style>
  <w:style w:type="character" w:customStyle="1" w:styleId="CitaviBibliographyEntryZchn">
    <w:name w:val="Citavi Bibliography Entry Zchn"/>
    <w:basedOn w:val="DefaultParagraphFont"/>
    <w:link w:val="CitaviBibliographyEntry"/>
    <w:uiPriority w:val="99"/>
    <w:rsid w:val="00FA42F3"/>
  </w:style>
  <w:style w:type="table" w:styleId="TableGrid">
    <w:name w:val="Table Grid"/>
    <w:basedOn w:val="TableNormal"/>
    <w:uiPriority w:val="39"/>
    <w:rsid w:val="0001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3050"/>
    <w:pPr>
      <w:spacing w:after="0" w:line="240" w:lineRule="auto"/>
    </w:pPr>
  </w:style>
  <w:style w:type="paragraph" w:styleId="Caption">
    <w:name w:val="caption"/>
    <w:basedOn w:val="Normal"/>
    <w:next w:val="Normal"/>
    <w:uiPriority w:val="35"/>
    <w:unhideWhenUsed/>
    <w:qFormat/>
    <w:rsid w:val="0092096C"/>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C65C60"/>
    <w:rPr>
      <w:sz w:val="16"/>
      <w:szCs w:val="16"/>
    </w:rPr>
  </w:style>
  <w:style w:type="paragraph" w:styleId="CommentText">
    <w:name w:val="annotation text"/>
    <w:basedOn w:val="Normal"/>
    <w:link w:val="CommentTextChar"/>
    <w:uiPriority w:val="99"/>
    <w:unhideWhenUsed/>
    <w:rsid w:val="00C65C60"/>
    <w:pPr>
      <w:spacing w:line="240" w:lineRule="auto"/>
    </w:pPr>
    <w:rPr>
      <w:sz w:val="20"/>
      <w:szCs w:val="20"/>
    </w:rPr>
  </w:style>
  <w:style w:type="character" w:customStyle="1" w:styleId="CommentTextChar">
    <w:name w:val="Comment Text Char"/>
    <w:basedOn w:val="DefaultParagraphFont"/>
    <w:link w:val="CommentText"/>
    <w:uiPriority w:val="99"/>
    <w:rsid w:val="00C65C60"/>
    <w:rPr>
      <w:sz w:val="20"/>
      <w:szCs w:val="20"/>
    </w:rPr>
  </w:style>
  <w:style w:type="paragraph" w:styleId="CommentSubject">
    <w:name w:val="annotation subject"/>
    <w:basedOn w:val="CommentText"/>
    <w:next w:val="CommentText"/>
    <w:link w:val="CommentSubjectChar"/>
    <w:uiPriority w:val="99"/>
    <w:semiHidden/>
    <w:unhideWhenUsed/>
    <w:rsid w:val="00C65C60"/>
    <w:rPr>
      <w:b/>
      <w:bCs/>
    </w:rPr>
  </w:style>
  <w:style w:type="character" w:customStyle="1" w:styleId="CommentSubjectChar">
    <w:name w:val="Comment Subject Char"/>
    <w:basedOn w:val="CommentTextChar"/>
    <w:link w:val="CommentSubject"/>
    <w:uiPriority w:val="99"/>
    <w:semiHidden/>
    <w:rsid w:val="00C65C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maging.mrc-cbu.cam.ac.uk/imaging/DesignEfficienc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727</Words>
  <Characters>4150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wasserthal</dc:creator>
  <cp:keywords/>
  <dc:description/>
  <cp:lastModifiedBy>Sujatha M.C.</cp:lastModifiedBy>
  <cp:revision>19</cp:revision>
  <dcterms:created xsi:type="dcterms:W3CDTF">2022-05-13T09:07:00Z</dcterms:created>
  <dcterms:modified xsi:type="dcterms:W3CDTF">2023-10-09T01:31:00Z</dcterms:modified>
</cp:coreProperties>
</file>