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11BF8" w14:textId="36988BB6" w:rsidR="00F93970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C7A0A">
        <w:rPr>
          <w:rFonts w:ascii="Times New Roman" w:hAnsi="Times New Roman" w:cs="Times New Roman"/>
          <w:sz w:val="20"/>
          <w:szCs w:val="20"/>
        </w:rPr>
        <w:t>sFigure</w:t>
      </w:r>
    </w:p>
    <w:p w14:paraId="71C9D49C" w14:textId="7D8EFF32" w:rsidR="00FB602B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5A0BB2C" wp14:editId="48F50200">
            <wp:extent cx="5270500" cy="3803650"/>
            <wp:effectExtent l="0" t="0" r="0" b="0"/>
            <wp:docPr id="3039201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4A6C" w14:textId="77777777" w:rsidR="00FB602B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Figure 1</w:t>
      </w:r>
    </w:p>
    <w:p w14:paraId="5EAA04D9" w14:textId="77777777" w:rsidR="00FB602B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Pr="00FA02F6">
        <w:rPr>
          <w:rFonts w:ascii="Times New Roman" w:hAnsi="Times New Roman" w:cs="Times New Roman"/>
          <w:sz w:val="20"/>
          <w:szCs w:val="20"/>
        </w:rPr>
        <w:t>he flow chart of the study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169AFC2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B88DD16" w14:textId="2E88938C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C913D7F" w14:textId="3DA3929B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6879DC2C" wp14:editId="3A1B6B6D">
            <wp:extent cx="5270500" cy="5702300"/>
            <wp:effectExtent l="0" t="0" r="6350" b="0"/>
            <wp:docPr id="1608196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70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6702F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025A70BA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A) Illustrations of predictive values for overall survival of PPI modeled by Kaplan–Meier survival curve.</w:t>
      </w:r>
    </w:p>
    <w:p w14:paraId="62A34524" w14:textId="1DE30C8D" w:rsidR="00F93970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B) Illustrations of predictive values for disease-specific survival of PPI modeled by Kaplan–Meier survival curve.</w:t>
      </w:r>
    </w:p>
    <w:p w14:paraId="4891352E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A655018" w14:textId="05B1FEF4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75AB51D" w14:textId="6E5D681E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04A99573" wp14:editId="0F1F2D59">
            <wp:extent cx="5270500" cy="6191250"/>
            <wp:effectExtent l="0" t="0" r="6350" b="0"/>
            <wp:docPr id="19389804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716A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22BB93D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026E28D0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A) Association between PPI and disease-free survival measured by hazard ratio (left part) and illustrations of predictive values for disease-free survival of PPI modeled by Kaplan–Meier survival curve (right part).</w:t>
      </w:r>
    </w:p>
    <w:p w14:paraId="57206A42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* p&lt;0.05, ** p&lt;0.01, *** p&lt;0.001</w:t>
      </w:r>
    </w:p>
    <w:p w14:paraId="119956C0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B) Association between PPI and progression-free survival measured by hazard ratio (left part) and illustrations of predictive values for progression-free survival of PPI modeled by Kaplan–Meier survival curve (right part).</w:t>
      </w:r>
    </w:p>
    <w:p w14:paraId="42A1B607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* p&lt;0.05, ** p&lt;0.01, *** p&lt;0.001</w:t>
      </w:r>
    </w:p>
    <w:p w14:paraId="188E96EF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D0FFD0" w14:textId="3140FC75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EBABE50" w14:textId="02C5C76C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9CD8EA2" wp14:editId="63B41890">
            <wp:extent cx="3498850" cy="8851900"/>
            <wp:effectExtent l="0" t="0" r="6350" b="6350"/>
            <wp:docPr id="18804672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29D29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C7A0A">
        <w:rPr>
          <w:rFonts w:ascii="Times New Roman" w:hAnsi="Times New Roman" w:cs="Times New Roman"/>
          <w:sz w:val="20"/>
          <w:szCs w:val="20"/>
        </w:rPr>
        <w:t xml:space="preserve"> Boxplots establishing the relationship between PPI and clinical characteristics in diverse cancer types, including age (A), sex (B), race (C), histologic grade (D) and stage (E).</w:t>
      </w:r>
    </w:p>
    <w:p w14:paraId="2521DFBC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2841C7E" w14:textId="1F90F0DD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6ABC4B5" w14:textId="57F6EABF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F982D5B" wp14:editId="2D63AB6C">
            <wp:extent cx="5270500" cy="1612900"/>
            <wp:effectExtent l="0" t="0" r="6350" b="6350"/>
            <wp:docPr id="18750763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5C526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0CA8FF34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KEGG analysis of PPI in ACC, BRCA, CESC, CHOL, GBM, HNSC, KIRC, KIRP, LGG and LIHC.</w:t>
      </w:r>
    </w:p>
    <w:p w14:paraId="1674FF4B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A532171" w14:textId="21728BC8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D501F5C" w14:textId="3A69DDD5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67CD52E3" wp14:editId="0CEAF91E">
            <wp:extent cx="5270500" cy="1612900"/>
            <wp:effectExtent l="0" t="0" r="6350" b="6350"/>
            <wp:docPr id="140342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C4B0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6</w:t>
      </w:r>
    </w:p>
    <w:p w14:paraId="3A248F92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KEGG analysis of PPI in MESO, OV, PCPG, READ, SARC, SKCM, TGCT, THCA, UCS, and UVM.</w:t>
      </w:r>
    </w:p>
    <w:p w14:paraId="42693F96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7A4A2CA" w14:textId="5AB945B7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7880FE6" w14:textId="341540C8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79E67A8" wp14:editId="4CCDC427">
            <wp:extent cx="5270500" cy="1619250"/>
            <wp:effectExtent l="0" t="0" r="6350" b="0"/>
            <wp:docPr id="10399685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5F58C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7</w:t>
      </w:r>
    </w:p>
    <w:p w14:paraId="69A9F7B7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GO analysis of PPI in ACC, BLCA, BRCA, CESC, CHOL, COAD, DLBC, ESCA, GBM, and HNSC.</w:t>
      </w:r>
    </w:p>
    <w:p w14:paraId="10B470B9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8910B10" w14:textId="75552A9E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98746C9" w14:textId="308CD7BD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60CB55BB" wp14:editId="07D9E25D">
            <wp:extent cx="5270500" cy="2406650"/>
            <wp:effectExtent l="0" t="0" r="6350" b="0"/>
            <wp:docPr id="10201367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27A6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6397E60A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GO analysis of PPI in KICH, KIRC, KIRP, LAML, GLL, LIHC, LUAD, LUSC, MESO, and OV.</w:t>
      </w:r>
    </w:p>
    <w:p w14:paraId="5F50DF31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5610C8F" w14:textId="3C8F34F1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187C84B5" w14:textId="25D59281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D622167" wp14:editId="586723EB">
            <wp:extent cx="5270500" cy="2406650"/>
            <wp:effectExtent l="0" t="0" r="6350" b="0"/>
            <wp:docPr id="62399129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BBE9E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9</w:t>
      </w:r>
    </w:p>
    <w:p w14:paraId="343C5FC2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GO analysis of PPI in PAAD, PCPG, PRAD, READ, SARC, SKCM, STAD, TGCT, THCA, THYM, UCEC, UCS, and UVM.</w:t>
      </w:r>
    </w:p>
    <w:p w14:paraId="0B325D56" w14:textId="5CEEC8BB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00B880F" w14:textId="0A792399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BB6819E" wp14:editId="29F934B1">
            <wp:extent cx="5270500" cy="6381750"/>
            <wp:effectExtent l="0" t="0" r="6350" b="0"/>
            <wp:docPr id="19685871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36723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10</w:t>
      </w:r>
    </w:p>
    <w:p w14:paraId="1D087AB7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A) Relation between pyroptosis and diverse metabolism pathways in various cancers.</w:t>
      </w:r>
    </w:p>
    <w:p w14:paraId="69587F84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B) Relation between pyroptosis and aging, post translational modification in various cancers.</w:t>
      </w:r>
    </w:p>
    <w:p w14:paraId="0320DE46" w14:textId="3F93A634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The color presented normalized enrichment score (NES), and the size of the circle showed false discovery rate (FDR) after -log10 transformation.</w:t>
      </w:r>
    </w:p>
    <w:p w14:paraId="1EFBC573" w14:textId="4F979D34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676A39E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44D5AF9" w14:textId="33FF546D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8F56DCE" wp14:editId="42A408FA">
            <wp:extent cx="5270500" cy="8286750"/>
            <wp:effectExtent l="0" t="0" r="6350" b="0"/>
            <wp:docPr id="11743575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9217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11</w:t>
      </w:r>
    </w:p>
    <w:p w14:paraId="183B4783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Correlation of PPI to the tumor purity (A), ESTIMATE scores (B), immune scores (C), and stromal scores (D), respectively calculated with ESTIMATE package in pan-cancer.</w:t>
      </w:r>
    </w:p>
    <w:p w14:paraId="106FA211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533272F" w14:textId="25A92C76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B1776E2" w14:textId="1117187C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28E17F1E" wp14:editId="5F5107C5">
            <wp:extent cx="3371850" cy="8845550"/>
            <wp:effectExtent l="0" t="0" r="0" b="0"/>
            <wp:docPr id="212213859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31191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12</w:t>
      </w:r>
    </w:p>
    <w:p w14:paraId="077592D7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Correlation between PPI and immunocyte infiltration in diverse tumor types.</w:t>
      </w:r>
    </w:p>
    <w:p w14:paraId="661B6CE1" w14:textId="77777777" w:rsidR="00607285" w:rsidRDefault="0060728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48EE732" w14:textId="452CCE8D" w:rsidR="00F93970" w:rsidRDefault="00F9397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7889978C" w14:textId="5E534D43" w:rsidR="00FB602B" w:rsidRPr="005C7A0A" w:rsidRDefault="00F93970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D491682" wp14:editId="3CC7FD66">
            <wp:extent cx="4876800" cy="8858250"/>
            <wp:effectExtent l="0" t="0" r="0" b="0"/>
            <wp:docPr id="73033719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83FA2" w14:textId="77777777" w:rsidR="00FB602B" w:rsidRPr="005C7A0A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Pr="005C7A0A">
        <w:rPr>
          <w:rFonts w:ascii="Times New Roman" w:hAnsi="Times New Roman" w:cs="Times New Roman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13</w:t>
      </w:r>
    </w:p>
    <w:p w14:paraId="23BDF4DB" w14:textId="77777777" w:rsidR="00FB602B" w:rsidRDefault="00FB602B" w:rsidP="00FB602B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5C7A0A">
        <w:rPr>
          <w:rFonts w:ascii="Times New Roman" w:hAnsi="Times New Roman" w:cs="Times New Roman"/>
          <w:sz w:val="20"/>
          <w:szCs w:val="20"/>
        </w:rPr>
        <w:t>Correlation between PPI and different chemotherapeutic drugs in diverse tumor types.</w:t>
      </w:r>
    </w:p>
    <w:p w14:paraId="00BE14BA" w14:textId="77777777" w:rsidR="00747523" w:rsidRPr="00FB602B" w:rsidRDefault="00747523"/>
    <w:sectPr w:rsidR="00747523" w:rsidRPr="00FB6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0ABCF" w14:textId="77777777" w:rsidR="00EE49C9" w:rsidRDefault="00EE49C9" w:rsidP="00FB602B">
      <w:r>
        <w:separator/>
      </w:r>
    </w:p>
  </w:endnote>
  <w:endnote w:type="continuationSeparator" w:id="0">
    <w:p w14:paraId="0C4EED3D" w14:textId="77777777" w:rsidR="00EE49C9" w:rsidRDefault="00EE49C9" w:rsidP="00FB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209EE" w14:textId="77777777" w:rsidR="00EE49C9" w:rsidRDefault="00EE49C9" w:rsidP="00FB602B">
      <w:r>
        <w:separator/>
      </w:r>
    </w:p>
  </w:footnote>
  <w:footnote w:type="continuationSeparator" w:id="0">
    <w:p w14:paraId="728E4A16" w14:textId="77777777" w:rsidR="00EE49C9" w:rsidRDefault="00EE49C9" w:rsidP="00FB6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26"/>
    <w:rsid w:val="00000D14"/>
    <w:rsid w:val="002D5426"/>
    <w:rsid w:val="00305148"/>
    <w:rsid w:val="00364DFB"/>
    <w:rsid w:val="00607285"/>
    <w:rsid w:val="00747523"/>
    <w:rsid w:val="008B3980"/>
    <w:rsid w:val="00EE49C9"/>
    <w:rsid w:val="00F93970"/>
    <w:rsid w:val="00FB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9FF96"/>
  <w15:chartTrackingRefBased/>
  <w15:docId w15:val="{69522D77-5B47-40FD-87CC-063677EB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02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0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60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6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60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Jz</dc:creator>
  <cp:keywords/>
  <dc:description/>
  <cp:lastModifiedBy>Anitha M.</cp:lastModifiedBy>
  <cp:revision>4</cp:revision>
  <dcterms:created xsi:type="dcterms:W3CDTF">2023-09-09T07:38:00Z</dcterms:created>
  <dcterms:modified xsi:type="dcterms:W3CDTF">2023-10-12T02:59:00Z</dcterms:modified>
</cp:coreProperties>
</file>