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030F86" w14:textId="552685A4" w:rsidR="002D5BE5" w:rsidRDefault="00F94980">
      <w:pPr>
        <w:rPr>
          <w:rFonts w:ascii="Times New Roman" w:hAnsi="Times New Roman" w:cs="Times New Roman"/>
          <w:b/>
          <w:bCs/>
          <w:sz w:val="22"/>
          <w:szCs w:val="22"/>
        </w:rPr>
      </w:pPr>
      <w:r w:rsidRPr="00F94980">
        <w:rPr>
          <w:rFonts w:ascii="Times New Roman" w:hAnsi="Times New Roman" w:cs="Times New Roman"/>
          <w:b/>
          <w:bCs/>
          <w:sz w:val="22"/>
          <w:szCs w:val="22"/>
        </w:rPr>
        <w:t>Cumulative environmental quality is associated with breast cancer incidence differentially by summary stage and urbanicity</w:t>
      </w:r>
    </w:p>
    <w:p w14:paraId="41E1D772" w14:textId="40741F34" w:rsidR="00F94980" w:rsidRPr="00F94980" w:rsidRDefault="00F94980">
      <w:pPr>
        <w:rPr>
          <w:rFonts w:ascii="Times New Roman" w:hAnsi="Times New Roman" w:cs="Times New Roman"/>
          <w:sz w:val="22"/>
          <w:szCs w:val="22"/>
        </w:rPr>
      </w:pPr>
      <w:r w:rsidRPr="00F94980">
        <w:rPr>
          <w:rFonts w:ascii="Times New Roman" w:hAnsi="Times New Roman" w:cs="Times New Roman"/>
          <w:sz w:val="22"/>
          <w:szCs w:val="22"/>
        </w:rPr>
        <w:t>Supplementa</w:t>
      </w:r>
      <w:r>
        <w:rPr>
          <w:rFonts w:ascii="Times New Roman" w:hAnsi="Times New Roman" w:cs="Times New Roman"/>
          <w:sz w:val="22"/>
          <w:szCs w:val="22"/>
        </w:rPr>
        <w:t>l</w:t>
      </w:r>
      <w:r w:rsidRPr="00F94980">
        <w:rPr>
          <w:rFonts w:ascii="Times New Roman" w:hAnsi="Times New Roman" w:cs="Times New Roman"/>
          <w:sz w:val="22"/>
          <w:szCs w:val="22"/>
        </w:rPr>
        <w:t xml:space="preserve"> Information</w:t>
      </w:r>
    </w:p>
    <w:p w14:paraId="4C5099E0" w14:textId="4B2BF1E7" w:rsidR="00F94980" w:rsidRDefault="00F94980">
      <w:pPr>
        <w:rPr>
          <w:rFonts w:ascii="Times New Roman" w:hAnsi="Times New Roman" w:cs="Times New Roman"/>
          <w:b/>
          <w:bCs/>
          <w:sz w:val="22"/>
          <w:szCs w:val="22"/>
        </w:rPr>
      </w:pPr>
    </w:p>
    <w:p w14:paraId="6FEC085A" w14:textId="7ED3BF71" w:rsidR="00F94980" w:rsidRDefault="00F94980" w:rsidP="00F94980">
      <w:pPr>
        <w:rPr>
          <w:rFonts w:ascii="Times New Roman" w:hAnsi="Times New Roman" w:cs="Times New Roman"/>
          <w:b/>
          <w:bCs/>
          <w:sz w:val="22"/>
          <w:szCs w:val="22"/>
        </w:rPr>
      </w:pPr>
      <w:r w:rsidRPr="00F94980">
        <w:rPr>
          <w:rFonts w:ascii="Times New Roman" w:hAnsi="Times New Roman" w:cs="Times New Roman"/>
          <w:b/>
          <w:bCs/>
          <w:sz w:val="22"/>
          <w:szCs w:val="22"/>
        </w:rPr>
        <w:t>Supplemental Table 1. Derived Summary Staging as Defined by NC CCR, adapted from SEER</w:t>
      </w:r>
    </w:p>
    <w:tbl>
      <w:tblPr>
        <w:tblW w:w="0" w:type="auto"/>
        <w:tblLook w:val="04A0" w:firstRow="1" w:lastRow="0" w:firstColumn="1" w:lastColumn="0" w:noHBand="0" w:noVBand="1"/>
      </w:tblPr>
      <w:tblGrid>
        <w:gridCol w:w="2140"/>
        <w:gridCol w:w="2310"/>
        <w:gridCol w:w="4910"/>
      </w:tblGrid>
      <w:tr w:rsidR="00F94980" w:rsidRPr="00F94980" w14:paraId="2831872D" w14:textId="77777777" w:rsidTr="00F94980">
        <w:trPr>
          <w:trHeight w:val="340"/>
        </w:trPr>
        <w:tc>
          <w:tcPr>
            <w:tcW w:w="2140" w:type="dxa"/>
            <w:tcBorders>
              <w:top w:val="nil"/>
              <w:left w:val="nil"/>
              <w:bottom w:val="single" w:sz="4" w:space="0" w:color="auto"/>
              <w:right w:val="single" w:sz="4" w:space="0" w:color="auto"/>
            </w:tcBorders>
            <w:shd w:val="clear" w:color="000000" w:fill="FFFFFF"/>
            <w:noWrap/>
            <w:hideMark/>
          </w:tcPr>
          <w:p w14:paraId="074990F8" w14:textId="77777777" w:rsidR="00F94980" w:rsidRPr="00F94980" w:rsidRDefault="00F94980" w:rsidP="00F94980">
            <w:pPr>
              <w:rPr>
                <w:rFonts w:ascii="Calibri" w:eastAsia="Times New Roman" w:hAnsi="Calibri" w:cs="Calibri"/>
                <w:b/>
                <w:bCs/>
                <w:color w:val="000000"/>
                <w:sz w:val="20"/>
                <w:szCs w:val="20"/>
              </w:rPr>
            </w:pPr>
            <w:r w:rsidRPr="00F94980">
              <w:rPr>
                <w:rFonts w:ascii="Calibri" w:eastAsia="Times New Roman" w:hAnsi="Calibri" w:cs="Calibri"/>
                <w:b/>
                <w:bCs/>
                <w:color w:val="000000"/>
                <w:sz w:val="20"/>
                <w:szCs w:val="20"/>
              </w:rPr>
              <w:t>Breast Cancer Stage</w:t>
            </w:r>
          </w:p>
        </w:tc>
        <w:tc>
          <w:tcPr>
            <w:tcW w:w="3980" w:type="dxa"/>
            <w:tcBorders>
              <w:top w:val="nil"/>
              <w:left w:val="nil"/>
              <w:bottom w:val="single" w:sz="4" w:space="0" w:color="auto"/>
              <w:right w:val="single" w:sz="4" w:space="0" w:color="auto"/>
            </w:tcBorders>
            <w:shd w:val="clear" w:color="000000" w:fill="FFFFFF"/>
            <w:hideMark/>
          </w:tcPr>
          <w:p w14:paraId="2C4B404E" w14:textId="77777777" w:rsidR="00F94980" w:rsidRPr="00F94980" w:rsidRDefault="00F94980" w:rsidP="00F94980">
            <w:pPr>
              <w:rPr>
                <w:rFonts w:ascii="Calibri" w:eastAsia="Times New Roman" w:hAnsi="Calibri" w:cs="Calibri"/>
                <w:b/>
                <w:bCs/>
                <w:color w:val="000000"/>
                <w:sz w:val="20"/>
                <w:szCs w:val="20"/>
              </w:rPr>
            </w:pPr>
            <w:r w:rsidRPr="00F94980">
              <w:rPr>
                <w:rFonts w:ascii="Calibri" w:eastAsia="Times New Roman" w:hAnsi="Calibri" w:cs="Calibri"/>
                <w:b/>
                <w:bCs/>
                <w:color w:val="000000"/>
                <w:sz w:val="20"/>
                <w:szCs w:val="20"/>
              </w:rPr>
              <w:t>SEER Derived Summary Staging</w:t>
            </w:r>
          </w:p>
        </w:tc>
        <w:tc>
          <w:tcPr>
            <w:tcW w:w="8620" w:type="dxa"/>
            <w:tcBorders>
              <w:top w:val="nil"/>
              <w:left w:val="nil"/>
              <w:bottom w:val="single" w:sz="4" w:space="0" w:color="auto"/>
              <w:right w:val="nil"/>
            </w:tcBorders>
            <w:shd w:val="clear" w:color="000000" w:fill="FFFFFF"/>
            <w:hideMark/>
          </w:tcPr>
          <w:p w14:paraId="5DEEAB61" w14:textId="77777777" w:rsidR="00F94980" w:rsidRPr="00F94980" w:rsidRDefault="00F94980" w:rsidP="00F94980">
            <w:pPr>
              <w:rPr>
                <w:rFonts w:ascii="Calibri" w:eastAsia="Times New Roman" w:hAnsi="Calibri" w:cs="Calibri"/>
                <w:b/>
                <w:bCs/>
                <w:color w:val="000000"/>
                <w:sz w:val="20"/>
                <w:szCs w:val="20"/>
              </w:rPr>
            </w:pPr>
            <w:r w:rsidRPr="00F94980">
              <w:rPr>
                <w:rFonts w:ascii="Calibri" w:eastAsia="Times New Roman" w:hAnsi="Calibri" w:cs="Calibri"/>
                <w:b/>
                <w:bCs/>
                <w:color w:val="000000"/>
                <w:sz w:val="20"/>
                <w:szCs w:val="20"/>
              </w:rPr>
              <w:t>Definition</w:t>
            </w:r>
          </w:p>
        </w:tc>
      </w:tr>
      <w:tr w:rsidR="00F94980" w:rsidRPr="00F94980" w14:paraId="4B4EC21E" w14:textId="77777777" w:rsidTr="00F94980">
        <w:trPr>
          <w:trHeight w:val="680"/>
        </w:trPr>
        <w:tc>
          <w:tcPr>
            <w:tcW w:w="2140" w:type="dxa"/>
            <w:tcBorders>
              <w:top w:val="nil"/>
              <w:left w:val="nil"/>
              <w:bottom w:val="single" w:sz="4" w:space="0" w:color="auto"/>
              <w:right w:val="single" w:sz="4" w:space="0" w:color="auto"/>
            </w:tcBorders>
            <w:shd w:val="clear" w:color="000000" w:fill="FFFFFF"/>
            <w:noWrap/>
            <w:hideMark/>
          </w:tcPr>
          <w:p w14:paraId="0F1B8226" w14:textId="77777777" w:rsidR="00F94980" w:rsidRPr="00F94980" w:rsidRDefault="00F94980" w:rsidP="00F94980">
            <w:pPr>
              <w:rPr>
                <w:rFonts w:ascii="Calibri" w:eastAsia="Times New Roman" w:hAnsi="Calibri" w:cs="Calibri"/>
                <w:color w:val="000000"/>
                <w:sz w:val="20"/>
                <w:szCs w:val="20"/>
              </w:rPr>
            </w:pPr>
            <w:r w:rsidRPr="00F94980">
              <w:rPr>
                <w:rFonts w:ascii="Calibri" w:eastAsia="Times New Roman" w:hAnsi="Calibri" w:cs="Calibri"/>
                <w:color w:val="000000"/>
                <w:sz w:val="20"/>
                <w:szCs w:val="20"/>
              </w:rPr>
              <w:t>In situ</w:t>
            </w:r>
          </w:p>
        </w:tc>
        <w:tc>
          <w:tcPr>
            <w:tcW w:w="3980" w:type="dxa"/>
            <w:tcBorders>
              <w:top w:val="nil"/>
              <w:left w:val="nil"/>
              <w:bottom w:val="single" w:sz="4" w:space="0" w:color="auto"/>
              <w:right w:val="single" w:sz="4" w:space="0" w:color="auto"/>
            </w:tcBorders>
            <w:shd w:val="clear" w:color="000000" w:fill="FFFFFF"/>
            <w:hideMark/>
          </w:tcPr>
          <w:p w14:paraId="2D5C9325" w14:textId="77777777" w:rsidR="00F94980" w:rsidRPr="00F94980" w:rsidRDefault="00F94980" w:rsidP="00F94980">
            <w:pPr>
              <w:rPr>
                <w:rFonts w:ascii="Calibri" w:eastAsia="Times New Roman" w:hAnsi="Calibri" w:cs="Calibri"/>
                <w:color w:val="000000"/>
                <w:sz w:val="20"/>
                <w:szCs w:val="20"/>
              </w:rPr>
            </w:pPr>
            <w:r w:rsidRPr="00F94980">
              <w:rPr>
                <w:rFonts w:ascii="Calibri" w:eastAsia="Times New Roman" w:hAnsi="Calibri" w:cs="Calibri"/>
                <w:color w:val="000000"/>
                <w:sz w:val="20"/>
                <w:szCs w:val="20"/>
              </w:rPr>
              <w:t>In situ</w:t>
            </w:r>
          </w:p>
        </w:tc>
        <w:tc>
          <w:tcPr>
            <w:tcW w:w="8620" w:type="dxa"/>
            <w:tcBorders>
              <w:top w:val="nil"/>
              <w:left w:val="nil"/>
              <w:bottom w:val="single" w:sz="4" w:space="0" w:color="auto"/>
              <w:right w:val="nil"/>
            </w:tcBorders>
            <w:shd w:val="clear" w:color="000000" w:fill="FFFFFF"/>
            <w:hideMark/>
          </w:tcPr>
          <w:p w14:paraId="5385B3C7" w14:textId="77777777" w:rsidR="00F94980" w:rsidRPr="00F94980" w:rsidRDefault="00F94980" w:rsidP="00F94980">
            <w:pPr>
              <w:rPr>
                <w:rFonts w:ascii="Calibri" w:eastAsia="Times New Roman" w:hAnsi="Calibri" w:cs="Calibri"/>
                <w:color w:val="000000"/>
                <w:sz w:val="20"/>
                <w:szCs w:val="20"/>
              </w:rPr>
            </w:pPr>
            <w:r w:rsidRPr="00F94980">
              <w:rPr>
                <w:rFonts w:ascii="Calibri" w:eastAsia="Times New Roman" w:hAnsi="Calibri" w:cs="Calibri"/>
                <w:color w:val="000000"/>
                <w:sz w:val="20"/>
                <w:szCs w:val="20"/>
              </w:rPr>
              <w:t>Noninvasive; intraepithelial; Intraductal WITHOUT infiltration; Lobular neoplasia; Noninfiltrating; In situ Paget disease</w:t>
            </w:r>
          </w:p>
        </w:tc>
      </w:tr>
      <w:tr w:rsidR="00F94980" w:rsidRPr="00F94980" w14:paraId="188F7D42" w14:textId="77777777" w:rsidTr="00F94980">
        <w:trPr>
          <w:trHeight w:val="680"/>
        </w:trPr>
        <w:tc>
          <w:tcPr>
            <w:tcW w:w="2140" w:type="dxa"/>
            <w:tcBorders>
              <w:top w:val="nil"/>
              <w:left w:val="nil"/>
              <w:bottom w:val="single" w:sz="4" w:space="0" w:color="auto"/>
              <w:right w:val="single" w:sz="4" w:space="0" w:color="auto"/>
            </w:tcBorders>
            <w:shd w:val="clear" w:color="000000" w:fill="FFFFFF"/>
            <w:noWrap/>
            <w:hideMark/>
          </w:tcPr>
          <w:p w14:paraId="2779D729" w14:textId="77777777" w:rsidR="00F94980" w:rsidRPr="00F94980" w:rsidRDefault="00F94980" w:rsidP="00F94980">
            <w:pPr>
              <w:rPr>
                <w:rFonts w:ascii="Calibri" w:eastAsia="Times New Roman" w:hAnsi="Calibri" w:cs="Calibri"/>
                <w:color w:val="000000"/>
                <w:sz w:val="20"/>
                <w:szCs w:val="20"/>
              </w:rPr>
            </w:pPr>
            <w:r w:rsidRPr="00F94980">
              <w:rPr>
                <w:rFonts w:ascii="Calibri" w:eastAsia="Times New Roman" w:hAnsi="Calibri" w:cs="Calibri"/>
                <w:color w:val="000000"/>
                <w:sz w:val="20"/>
                <w:szCs w:val="20"/>
              </w:rPr>
              <w:t>Localized</w:t>
            </w:r>
          </w:p>
        </w:tc>
        <w:tc>
          <w:tcPr>
            <w:tcW w:w="3980" w:type="dxa"/>
            <w:tcBorders>
              <w:top w:val="nil"/>
              <w:left w:val="nil"/>
              <w:bottom w:val="single" w:sz="4" w:space="0" w:color="auto"/>
              <w:right w:val="single" w:sz="4" w:space="0" w:color="auto"/>
            </w:tcBorders>
            <w:shd w:val="clear" w:color="000000" w:fill="FFFFFF"/>
            <w:hideMark/>
          </w:tcPr>
          <w:p w14:paraId="084006B5" w14:textId="77777777" w:rsidR="00F94980" w:rsidRPr="00F94980" w:rsidRDefault="00F94980" w:rsidP="00F94980">
            <w:pPr>
              <w:rPr>
                <w:rFonts w:ascii="Calibri" w:eastAsia="Times New Roman" w:hAnsi="Calibri" w:cs="Calibri"/>
                <w:color w:val="000000"/>
                <w:sz w:val="20"/>
                <w:szCs w:val="20"/>
              </w:rPr>
            </w:pPr>
            <w:r w:rsidRPr="00F94980">
              <w:rPr>
                <w:rFonts w:ascii="Calibri" w:eastAsia="Times New Roman" w:hAnsi="Calibri" w:cs="Calibri"/>
                <w:color w:val="000000"/>
                <w:sz w:val="20"/>
                <w:szCs w:val="20"/>
              </w:rPr>
              <w:t>Localized</w:t>
            </w:r>
          </w:p>
        </w:tc>
        <w:tc>
          <w:tcPr>
            <w:tcW w:w="8620" w:type="dxa"/>
            <w:tcBorders>
              <w:top w:val="nil"/>
              <w:left w:val="nil"/>
              <w:bottom w:val="single" w:sz="4" w:space="0" w:color="auto"/>
              <w:right w:val="nil"/>
            </w:tcBorders>
            <w:shd w:val="clear" w:color="000000" w:fill="FFFFFF"/>
            <w:hideMark/>
          </w:tcPr>
          <w:p w14:paraId="1B4DF3D2" w14:textId="77777777" w:rsidR="00F94980" w:rsidRPr="00F94980" w:rsidRDefault="00F94980" w:rsidP="00F94980">
            <w:pPr>
              <w:rPr>
                <w:rFonts w:ascii="Calibri" w:eastAsia="Times New Roman" w:hAnsi="Calibri" w:cs="Calibri"/>
                <w:color w:val="000000"/>
                <w:sz w:val="20"/>
                <w:szCs w:val="20"/>
              </w:rPr>
            </w:pPr>
            <w:r w:rsidRPr="00F94980">
              <w:rPr>
                <w:rFonts w:ascii="Calibri" w:eastAsia="Times New Roman" w:hAnsi="Calibri" w:cs="Calibri"/>
                <w:color w:val="000000"/>
                <w:sz w:val="20"/>
                <w:szCs w:val="20"/>
              </w:rPr>
              <w:t>Confined to breast tissue and fat including nipple and/or areola, Paget disease WITH or WITHOUT underlying tumor; Localized, NOS</w:t>
            </w:r>
          </w:p>
        </w:tc>
      </w:tr>
      <w:tr w:rsidR="00F94980" w:rsidRPr="00F94980" w14:paraId="1F13A460" w14:textId="77777777" w:rsidTr="00F94980">
        <w:trPr>
          <w:trHeight w:val="3600"/>
        </w:trPr>
        <w:tc>
          <w:tcPr>
            <w:tcW w:w="2140" w:type="dxa"/>
            <w:vMerge w:val="restart"/>
            <w:tcBorders>
              <w:top w:val="nil"/>
              <w:left w:val="nil"/>
              <w:bottom w:val="single" w:sz="4" w:space="0" w:color="000000"/>
              <w:right w:val="single" w:sz="4" w:space="0" w:color="auto"/>
            </w:tcBorders>
            <w:shd w:val="clear" w:color="000000" w:fill="FFFFFF"/>
            <w:noWrap/>
            <w:hideMark/>
          </w:tcPr>
          <w:p w14:paraId="53C508C5" w14:textId="77777777" w:rsidR="00F94980" w:rsidRPr="00F94980" w:rsidRDefault="00F94980" w:rsidP="00F94980">
            <w:pPr>
              <w:rPr>
                <w:rFonts w:ascii="Calibri" w:eastAsia="Times New Roman" w:hAnsi="Calibri" w:cs="Calibri"/>
                <w:color w:val="000000"/>
                <w:sz w:val="20"/>
                <w:szCs w:val="20"/>
              </w:rPr>
            </w:pPr>
            <w:r w:rsidRPr="00F94980">
              <w:rPr>
                <w:rFonts w:ascii="Calibri" w:eastAsia="Times New Roman" w:hAnsi="Calibri" w:cs="Calibri"/>
                <w:color w:val="000000"/>
                <w:sz w:val="20"/>
                <w:szCs w:val="20"/>
              </w:rPr>
              <w:t>Regional</w:t>
            </w:r>
          </w:p>
        </w:tc>
        <w:tc>
          <w:tcPr>
            <w:tcW w:w="3980" w:type="dxa"/>
            <w:tcBorders>
              <w:top w:val="nil"/>
              <w:left w:val="nil"/>
              <w:bottom w:val="single" w:sz="4" w:space="0" w:color="auto"/>
              <w:right w:val="single" w:sz="4" w:space="0" w:color="auto"/>
            </w:tcBorders>
            <w:shd w:val="clear" w:color="000000" w:fill="FFFFFF"/>
            <w:hideMark/>
          </w:tcPr>
          <w:p w14:paraId="48EE4575" w14:textId="77777777" w:rsidR="00F94980" w:rsidRPr="00F94980" w:rsidRDefault="00F94980" w:rsidP="00F94980">
            <w:pPr>
              <w:rPr>
                <w:rFonts w:ascii="Calibri" w:eastAsia="Times New Roman" w:hAnsi="Calibri" w:cs="Calibri"/>
                <w:color w:val="000000"/>
                <w:sz w:val="20"/>
                <w:szCs w:val="20"/>
              </w:rPr>
            </w:pPr>
            <w:r w:rsidRPr="00F94980">
              <w:rPr>
                <w:rFonts w:ascii="Calibri" w:eastAsia="Times New Roman" w:hAnsi="Calibri" w:cs="Calibri"/>
                <w:color w:val="000000"/>
                <w:sz w:val="20"/>
                <w:szCs w:val="20"/>
              </w:rPr>
              <w:t>Regional by direct extension only</w:t>
            </w:r>
          </w:p>
        </w:tc>
        <w:tc>
          <w:tcPr>
            <w:tcW w:w="8620" w:type="dxa"/>
            <w:tcBorders>
              <w:top w:val="nil"/>
              <w:left w:val="nil"/>
              <w:bottom w:val="single" w:sz="4" w:space="0" w:color="auto"/>
              <w:right w:val="nil"/>
            </w:tcBorders>
            <w:shd w:val="clear" w:color="000000" w:fill="FFFFFF"/>
            <w:hideMark/>
          </w:tcPr>
          <w:p w14:paraId="77EB75D0" w14:textId="77777777" w:rsidR="00F94980" w:rsidRPr="00F94980" w:rsidRDefault="00F94980" w:rsidP="00F94980">
            <w:pPr>
              <w:rPr>
                <w:rFonts w:ascii="Calibri" w:eastAsia="Times New Roman" w:hAnsi="Calibri" w:cs="Calibri"/>
                <w:color w:val="000000"/>
                <w:sz w:val="20"/>
                <w:szCs w:val="20"/>
              </w:rPr>
            </w:pPr>
            <w:r w:rsidRPr="00F94980">
              <w:rPr>
                <w:rFonts w:ascii="Calibri" w:eastAsia="Times New Roman" w:hAnsi="Calibri" w:cs="Calibri"/>
                <w:color w:val="000000"/>
                <w:sz w:val="20"/>
                <w:szCs w:val="20"/>
              </w:rPr>
              <w:t xml:space="preserve">Attachment or fixation to pectoral muscle or underlying tissue Deep fixation Extensive skin involvement: </w:t>
            </w:r>
            <w:proofErr w:type="spellStart"/>
            <w:r w:rsidRPr="00F94980">
              <w:rPr>
                <w:rFonts w:ascii="Calibri" w:eastAsia="Times New Roman" w:hAnsi="Calibri" w:cs="Calibri"/>
                <w:color w:val="000000"/>
                <w:sz w:val="20"/>
                <w:szCs w:val="20"/>
              </w:rPr>
              <w:t>En</w:t>
            </w:r>
            <w:proofErr w:type="spellEnd"/>
            <w:r w:rsidRPr="00F94980">
              <w:rPr>
                <w:rFonts w:ascii="Calibri" w:eastAsia="Times New Roman" w:hAnsi="Calibri" w:cs="Calibri"/>
                <w:color w:val="000000"/>
                <w:sz w:val="20"/>
                <w:szCs w:val="20"/>
              </w:rPr>
              <w:t xml:space="preserve"> </w:t>
            </w:r>
            <w:proofErr w:type="spellStart"/>
            <w:r w:rsidRPr="00F94980">
              <w:rPr>
                <w:rFonts w:ascii="Calibri" w:eastAsia="Times New Roman" w:hAnsi="Calibri" w:cs="Calibri"/>
                <w:color w:val="000000"/>
                <w:sz w:val="20"/>
                <w:szCs w:val="20"/>
              </w:rPr>
              <w:t>cuirasse</w:t>
            </w:r>
            <w:proofErr w:type="spellEnd"/>
            <w:r w:rsidRPr="00F94980">
              <w:rPr>
                <w:rFonts w:ascii="Calibri" w:eastAsia="Times New Roman" w:hAnsi="Calibri" w:cs="Calibri"/>
                <w:color w:val="000000"/>
                <w:sz w:val="20"/>
                <w:szCs w:val="20"/>
              </w:rPr>
              <w:t xml:space="preserve"> Erythema Inflammation of skin Lenticular nodule(s) </w:t>
            </w:r>
            <w:proofErr w:type="spellStart"/>
            <w:r w:rsidRPr="00F94980">
              <w:rPr>
                <w:rFonts w:ascii="Calibri" w:eastAsia="Times New Roman" w:hAnsi="Calibri" w:cs="Calibri"/>
                <w:color w:val="000000"/>
                <w:sz w:val="20"/>
                <w:szCs w:val="20"/>
              </w:rPr>
              <w:t>Peau</w:t>
            </w:r>
            <w:proofErr w:type="spellEnd"/>
            <w:r w:rsidRPr="00F94980">
              <w:rPr>
                <w:rFonts w:ascii="Calibri" w:eastAsia="Times New Roman" w:hAnsi="Calibri" w:cs="Calibri"/>
                <w:color w:val="000000"/>
                <w:sz w:val="20"/>
                <w:szCs w:val="20"/>
              </w:rPr>
              <w:t xml:space="preserve"> </w:t>
            </w:r>
            <w:proofErr w:type="spellStart"/>
            <w:r w:rsidRPr="00F94980">
              <w:rPr>
                <w:rFonts w:ascii="Calibri" w:eastAsia="Times New Roman" w:hAnsi="Calibri" w:cs="Calibri"/>
                <w:color w:val="000000"/>
                <w:sz w:val="20"/>
                <w:szCs w:val="20"/>
              </w:rPr>
              <w:t>d’orange</w:t>
            </w:r>
            <w:proofErr w:type="spellEnd"/>
            <w:r w:rsidRPr="00F94980">
              <w:rPr>
                <w:rFonts w:ascii="Calibri" w:eastAsia="Times New Roman" w:hAnsi="Calibri" w:cs="Calibri"/>
                <w:color w:val="000000"/>
                <w:sz w:val="20"/>
                <w:szCs w:val="20"/>
              </w:rPr>
              <w:t xml:space="preserve"> (skin of orange) “Pigskin” Satellite nodule(s) in skin of primary breast Skin edema Ulceration of skin of breast Inflammatory carcinoma, including diffuse (beyond that directly overlying the tumor) dermal lymphatic permeation or infiltration### Invasion of (or fixation to): Chest wall Intercostal muscle(s) Pectoral fascia or muscle(s) Rib(s) Serratus anterior muscle(s) Subcutaneous tissue Local infiltration of dermal lymphatics adjacent to primary tumor involving skin by direct extension Skin infiltration of primary breast including skin of nipple and/or areola</w:t>
            </w:r>
          </w:p>
        </w:tc>
      </w:tr>
      <w:tr w:rsidR="00F94980" w:rsidRPr="00F94980" w14:paraId="61554D96" w14:textId="77777777" w:rsidTr="00F94980">
        <w:trPr>
          <w:trHeight w:val="1940"/>
        </w:trPr>
        <w:tc>
          <w:tcPr>
            <w:tcW w:w="2140" w:type="dxa"/>
            <w:vMerge/>
            <w:tcBorders>
              <w:top w:val="nil"/>
              <w:left w:val="nil"/>
              <w:bottom w:val="single" w:sz="4" w:space="0" w:color="000000"/>
              <w:right w:val="single" w:sz="4" w:space="0" w:color="auto"/>
            </w:tcBorders>
            <w:hideMark/>
          </w:tcPr>
          <w:p w14:paraId="4F95BB6F" w14:textId="77777777" w:rsidR="00F94980" w:rsidRPr="00F94980" w:rsidRDefault="00F94980" w:rsidP="00F94980">
            <w:pPr>
              <w:rPr>
                <w:rFonts w:ascii="Calibri" w:eastAsia="Times New Roman" w:hAnsi="Calibri" w:cs="Calibri"/>
                <w:color w:val="000000"/>
                <w:sz w:val="20"/>
                <w:szCs w:val="20"/>
              </w:rPr>
            </w:pPr>
          </w:p>
        </w:tc>
        <w:tc>
          <w:tcPr>
            <w:tcW w:w="3980" w:type="dxa"/>
            <w:tcBorders>
              <w:top w:val="nil"/>
              <w:left w:val="nil"/>
              <w:bottom w:val="single" w:sz="4" w:space="0" w:color="auto"/>
              <w:right w:val="single" w:sz="4" w:space="0" w:color="auto"/>
            </w:tcBorders>
            <w:shd w:val="clear" w:color="000000" w:fill="FFFFFF"/>
            <w:hideMark/>
          </w:tcPr>
          <w:p w14:paraId="3E4472E2" w14:textId="77777777" w:rsidR="00F94980" w:rsidRPr="00F94980" w:rsidRDefault="00F94980" w:rsidP="00F94980">
            <w:pPr>
              <w:rPr>
                <w:rFonts w:ascii="Calibri" w:eastAsia="Times New Roman" w:hAnsi="Calibri" w:cs="Calibri"/>
                <w:color w:val="000000"/>
                <w:sz w:val="20"/>
                <w:szCs w:val="20"/>
              </w:rPr>
            </w:pPr>
            <w:r w:rsidRPr="00F94980">
              <w:rPr>
                <w:rFonts w:ascii="Calibri" w:eastAsia="Times New Roman" w:hAnsi="Calibri" w:cs="Calibri"/>
                <w:color w:val="000000"/>
                <w:sz w:val="20"/>
                <w:szCs w:val="20"/>
              </w:rPr>
              <w:t>Ipsilateral regional lymph node(s) involved only</w:t>
            </w:r>
          </w:p>
        </w:tc>
        <w:tc>
          <w:tcPr>
            <w:tcW w:w="8620" w:type="dxa"/>
            <w:tcBorders>
              <w:top w:val="nil"/>
              <w:left w:val="nil"/>
              <w:bottom w:val="single" w:sz="4" w:space="0" w:color="auto"/>
              <w:right w:val="nil"/>
            </w:tcBorders>
            <w:shd w:val="clear" w:color="000000" w:fill="FFFFFF"/>
            <w:hideMark/>
          </w:tcPr>
          <w:p w14:paraId="62F80E9B" w14:textId="77777777" w:rsidR="00F94980" w:rsidRPr="00F94980" w:rsidRDefault="00F94980" w:rsidP="00F94980">
            <w:pPr>
              <w:rPr>
                <w:rFonts w:ascii="Calibri" w:eastAsia="Times New Roman" w:hAnsi="Calibri" w:cs="Calibri"/>
                <w:color w:val="000000"/>
                <w:sz w:val="20"/>
                <w:szCs w:val="20"/>
              </w:rPr>
            </w:pPr>
            <w:r w:rsidRPr="00F94980">
              <w:rPr>
                <w:rFonts w:ascii="Calibri" w:eastAsia="Times New Roman" w:hAnsi="Calibri" w:cs="Calibri"/>
                <w:color w:val="000000"/>
                <w:sz w:val="20"/>
                <w:szCs w:val="20"/>
              </w:rPr>
              <w:t>REGIONAL Lymph Nodes Axillary, NOS: Level I (low) (superficial), NOS [adjacent to tail of breast]: Anterior (pectoral) Lateral (brachial) Posterior (subscapular) Level II (mid-level) (central), NOS: Interpectoral; (Rotter’s) Level III (high) (deep), NOS: Apical (subclavian) Axillary vein Infraclavicular ###*** (</w:t>
            </w:r>
            <w:proofErr w:type="spellStart"/>
            <w:r w:rsidRPr="00F94980">
              <w:rPr>
                <w:rFonts w:ascii="Calibri" w:eastAsia="Times New Roman" w:hAnsi="Calibri" w:cs="Calibri"/>
                <w:color w:val="000000"/>
                <w:sz w:val="20"/>
                <w:szCs w:val="20"/>
              </w:rPr>
              <w:t>subclavicular</w:t>
            </w:r>
            <w:proofErr w:type="spellEnd"/>
            <w:r w:rsidRPr="00F94980">
              <w:rPr>
                <w:rFonts w:ascii="Calibri" w:eastAsia="Times New Roman" w:hAnsi="Calibri" w:cs="Calibri"/>
                <w:color w:val="000000"/>
                <w:sz w:val="20"/>
                <w:szCs w:val="20"/>
              </w:rPr>
              <w:t>) Internal mammary (parasternal) Intramammary Nodule(s) in axillary fat Regional lymph node(s), NOS</w:t>
            </w:r>
          </w:p>
        </w:tc>
      </w:tr>
      <w:tr w:rsidR="00F94980" w:rsidRPr="00F94980" w14:paraId="01BEEF43" w14:textId="77777777" w:rsidTr="00F94980">
        <w:trPr>
          <w:trHeight w:val="1020"/>
        </w:trPr>
        <w:tc>
          <w:tcPr>
            <w:tcW w:w="2140" w:type="dxa"/>
            <w:vMerge/>
            <w:tcBorders>
              <w:top w:val="nil"/>
              <w:left w:val="nil"/>
              <w:bottom w:val="single" w:sz="4" w:space="0" w:color="000000"/>
              <w:right w:val="single" w:sz="4" w:space="0" w:color="auto"/>
            </w:tcBorders>
            <w:hideMark/>
          </w:tcPr>
          <w:p w14:paraId="208E684F" w14:textId="77777777" w:rsidR="00F94980" w:rsidRPr="00F94980" w:rsidRDefault="00F94980" w:rsidP="00F94980">
            <w:pPr>
              <w:rPr>
                <w:rFonts w:ascii="Calibri" w:eastAsia="Times New Roman" w:hAnsi="Calibri" w:cs="Calibri"/>
                <w:color w:val="000000"/>
                <w:sz w:val="20"/>
                <w:szCs w:val="20"/>
              </w:rPr>
            </w:pPr>
          </w:p>
        </w:tc>
        <w:tc>
          <w:tcPr>
            <w:tcW w:w="3980" w:type="dxa"/>
            <w:tcBorders>
              <w:top w:val="nil"/>
              <w:left w:val="nil"/>
              <w:bottom w:val="single" w:sz="4" w:space="0" w:color="auto"/>
              <w:right w:val="single" w:sz="4" w:space="0" w:color="auto"/>
            </w:tcBorders>
            <w:shd w:val="clear" w:color="000000" w:fill="FFFFFF"/>
            <w:hideMark/>
          </w:tcPr>
          <w:p w14:paraId="124458FF" w14:textId="77777777" w:rsidR="00F94980" w:rsidRPr="00F94980" w:rsidRDefault="00F94980" w:rsidP="00F94980">
            <w:pPr>
              <w:rPr>
                <w:rFonts w:ascii="Calibri" w:eastAsia="Times New Roman" w:hAnsi="Calibri" w:cs="Calibri"/>
                <w:color w:val="000000"/>
                <w:sz w:val="20"/>
                <w:szCs w:val="20"/>
              </w:rPr>
            </w:pPr>
            <w:r w:rsidRPr="00F94980">
              <w:rPr>
                <w:rFonts w:ascii="Calibri" w:eastAsia="Times New Roman" w:hAnsi="Calibri" w:cs="Calibri"/>
                <w:color w:val="000000"/>
                <w:sz w:val="20"/>
                <w:szCs w:val="20"/>
              </w:rPr>
              <w:t>Regional by BOTH direct extension AND ipsilateral regional lymph node(s) involved</w:t>
            </w:r>
          </w:p>
        </w:tc>
        <w:tc>
          <w:tcPr>
            <w:tcW w:w="8620" w:type="dxa"/>
            <w:tcBorders>
              <w:top w:val="nil"/>
              <w:left w:val="nil"/>
              <w:bottom w:val="single" w:sz="4" w:space="0" w:color="auto"/>
              <w:right w:val="nil"/>
            </w:tcBorders>
            <w:shd w:val="clear" w:color="000000" w:fill="FFFFFF"/>
            <w:hideMark/>
          </w:tcPr>
          <w:p w14:paraId="6316EE40" w14:textId="77777777" w:rsidR="00F94980" w:rsidRPr="00F94980" w:rsidRDefault="00F94980" w:rsidP="00F94980">
            <w:pPr>
              <w:rPr>
                <w:rFonts w:ascii="Calibri" w:eastAsia="Times New Roman" w:hAnsi="Calibri" w:cs="Calibri"/>
                <w:color w:val="000000"/>
                <w:sz w:val="20"/>
                <w:szCs w:val="20"/>
              </w:rPr>
            </w:pPr>
            <w:r w:rsidRPr="00F94980">
              <w:rPr>
                <w:rFonts w:ascii="Calibri" w:eastAsia="Times New Roman" w:hAnsi="Calibri" w:cs="Calibri"/>
                <w:color w:val="000000"/>
                <w:sz w:val="20"/>
                <w:szCs w:val="20"/>
              </w:rPr>
              <w:t>Codes Regional by direct extension only + Ipsilateral regional lymph node(s) involved only</w:t>
            </w:r>
          </w:p>
        </w:tc>
      </w:tr>
      <w:tr w:rsidR="00F94980" w:rsidRPr="00F94980" w14:paraId="487764FE" w14:textId="77777777" w:rsidTr="00F94980">
        <w:trPr>
          <w:trHeight w:val="340"/>
        </w:trPr>
        <w:tc>
          <w:tcPr>
            <w:tcW w:w="2140" w:type="dxa"/>
            <w:vMerge/>
            <w:tcBorders>
              <w:top w:val="nil"/>
              <w:left w:val="nil"/>
              <w:bottom w:val="single" w:sz="4" w:space="0" w:color="000000"/>
              <w:right w:val="single" w:sz="4" w:space="0" w:color="auto"/>
            </w:tcBorders>
            <w:hideMark/>
          </w:tcPr>
          <w:p w14:paraId="14ED80EF" w14:textId="77777777" w:rsidR="00F94980" w:rsidRPr="00F94980" w:rsidRDefault="00F94980" w:rsidP="00F94980">
            <w:pPr>
              <w:rPr>
                <w:rFonts w:ascii="Calibri" w:eastAsia="Times New Roman" w:hAnsi="Calibri" w:cs="Calibri"/>
                <w:color w:val="000000"/>
                <w:sz w:val="20"/>
                <w:szCs w:val="20"/>
              </w:rPr>
            </w:pPr>
          </w:p>
        </w:tc>
        <w:tc>
          <w:tcPr>
            <w:tcW w:w="3980" w:type="dxa"/>
            <w:tcBorders>
              <w:top w:val="nil"/>
              <w:left w:val="nil"/>
              <w:bottom w:val="single" w:sz="4" w:space="0" w:color="auto"/>
              <w:right w:val="single" w:sz="4" w:space="0" w:color="auto"/>
            </w:tcBorders>
            <w:shd w:val="clear" w:color="000000" w:fill="FFFFFF"/>
            <w:hideMark/>
          </w:tcPr>
          <w:p w14:paraId="76780F04" w14:textId="77777777" w:rsidR="00F94980" w:rsidRPr="00F94980" w:rsidRDefault="00F94980" w:rsidP="00F94980">
            <w:pPr>
              <w:rPr>
                <w:rFonts w:ascii="Calibri" w:eastAsia="Times New Roman" w:hAnsi="Calibri" w:cs="Calibri"/>
                <w:color w:val="000000"/>
                <w:sz w:val="20"/>
                <w:szCs w:val="20"/>
              </w:rPr>
            </w:pPr>
            <w:r w:rsidRPr="00F94980">
              <w:rPr>
                <w:rFonts w:ascii="Calibri" w:eastAsia="Times New Roman" w:hAnsi="Calibri" w:cs="Calibri"/>
                <w:color w:val="000000"/>
                <w:sz w:val="20"/>
                <w:szCs w:val="20"/>
              </w:rPr>
              <w:t>Regional, NOS</w:t>
            </w:r>
          </w:p>
        </w:tc>
        <w:tc>
          <w:tcPr>
            <w:tcW w:w="8620" w:type="dxa"/>
            <w:tcBorders>
              <w:top w:val="nil"/>
              <w:left w:val="nil"/>
              <w:bottom w:val="single" w:sz="4" w:space="0" w:color="auto"/>
              <w:right w:val="nil"/>
            </w:tcBorders>
            <w:shd w:val="clear" w:color="000000" w:fill="FFFFFF"/>
            <w:hideMark/>
          </w:tcPr>
          <w:p w14:paraId="76E4F427" w14:textId="77777777" w:rsidR="00F94980" w:rsidRPr="00F94980" w:rsidRDefault="00F94980" w:rsidP="00F94980">
            <w:pPr>
              <w:rPr>
                <w:rFonts w:ascii="Calibri" w:eastAsia="Times New Roman" w:hAnsi="Calibri" w:cs="Calibri"/>
                <w:color w:val="000000"/>
                <w:sz w:val="20"/>
                <w:szCs w:val="20"/>
              </w:rPr>
            </w:pPr>
            <w:r w:rsidRPr="00F94980">
              <w:rPr>
                <w:rFonts w:ascii="Calibri" w:eastAsia="Times New Roman" w:hAnsi="Calibri" w:cs="Calibri"/>
                <w:color w:val="000000"/>
                <w:sz w:val="20"/>
                <w:szCs w:val="20"/>
              </w:rPr>
              <w:t>Regional, NOS</w:t>
            </w:r>
          </w:p>
        </w:tc>
      </w:tr>
      <w:tr w:rsidR="00F94980" w:rsidRPr="00F94980" w14:paraId="6F90E654" w14:textId="77777777" w:rsidTr="00F94980">
        <w:trPr>
          <w:trHeight w:val="1682"/>
        </w:trPr>
        <w:tc>
          <w:tcPr>
            <w:tcW w:w="2140" w:type="dxa"/>
            <w:tcBorders>
              <w:top w:val="nil"/>
              <w:left w:val="nil"/>
              <w:bottom w:val="nil"/>
              <w:right w:val="single" w:sz="4" w:space="0" w:color="auto"/>
            </w:tcBorders>
            <w:shd w:val="clear" w:color="000000" w:fill="FFFFFF"/>
            <w:noWrap/>
            <w:hideMark/>
          </w:tcPr>
          <w:p w14:paraId="276A429C" w14:textId="77777777" w:rsidR="00F94980" w:rsidRPr="00F94980" w:rsidRDefault="00F94980" w:rsidP="00F94980">
            <w:pPr>
              <w:rPr>
                <w:rFonts w:ascii="Calibri" w:eastAsia="Times New Roman" w:hAnsi="Calibri" w:cs="Calibri"/>
                <w:color w:val="000000"/>
                <w:sz w:val="20"/>
                <w:szCs w:val="20"/>
              </w:rPr>
            </w:pPr>
            <w:r w:rsidRPr="00F94980">
              <w:rPr>
                <w:rFonts w:ascii="Calibri" w:eastAsia="Times New Roman" w:hAnsi="Calibri" w:cs="Calibri"/>
                <w:color w:val="000000"/>
                <w:sz w:val="20"/>
                <w:szCs w:val="20"/>
              </w:rPr>
              <w:t>Distant</w:t>
            </w:r>
          </w:p>
        </w:tc>
        <w:tc>
          <w:tcPr>
            <w:tcW w:w="3980" w:type="dxa"/>
            <w:tcBorders>
              <w:top w:val="nil"/>
              <w:left w:val="nil"/>
              <w:bottom w:val="nil"/>
              <w:right w:val="single" w:sz="4" w:space="0" w:color="auto"/>
            </w:tcBorders>
            <w:shd w:val="clear" w:color="000000" w:fill="FFFFFF"/>
            <w:hideMark/>
          </w:tcPr>
          <w:p w14:paraId="328A2873" w14:textId="77777777" w:rsidR="00F94980" w:rsidRPr="00F94980" w:rsidRDefault="00F94980" w:rsidP="00F94980">
            <w:pPr>
              <w:rPr>
                <w:rFonts w:ascii="Calibri" w:eastAsia="Times New Roman" w:hAnsi="Calibri" w:cs="Calibri"/>
                <w:color w:val="000000"/>
                <w:sz w:val="20"/>
                <w:szCs w:val="20"/>
              </w:rPr>
            </w:pPr>
            <w:r w:rsidRPr="00F94980">
              <w:rPr>
                <w:rFonts w:ascii="Calibri" w:eastAsia="Times New Roman" w:hAnsi="Calibri" w:cs="Calibri"/>
                <w:color w:val="000000"/>
                <w:sz w:val="20"/>
                <w:szCs w:val="20"/>
              </w:rPr>
              <w:t>Distant</w:t>
            </w:r>
          </w:p>
        </w:tc>
        <w:tc>
          <w:tcPr>
            <w:tcW w:w="8620" w:type="dxa"/>
            <w:tcBorders>
              <w:top w:val="nil"/>
              <w:left w:val="nil"/>
              <w:bottom w:val="nil"/>
              <w:right w:val="nil"/>
            </w:tcBorders>
            <w:shd w:val="clear" w:color="000000" w:fill="FFFFFF"/>
            <w:hideMark/>
          </w:tcPr>
          <w:p w14:paraId="793E8C14" w14:textId="77777777" w:rsidR="00F94980" w:rsidRPr="00F94980" w:rsidRDefault="00F94980" w:rsidP="00F94980">
            <w:pPr>
              <w:rPr>
                <w:rFonts w:ascii="Calibri" w:eastAsia="Times New Roman" w:hAnsi="Calibri" w:cs="Calibri"/>
                <w:color w:val="000000"/>
                <w:sz w:val="20"/>
                <w:szCs w:val="20"/>
              </w:rPr>
            </w:pPr>
            <w:r w:rsidRPr="00F94980">
              <w:rPr>
                <w:rFonts w:ascii="Calibri" w:eastAsia="Times New Roman" w:hAnsi="Calibri" w:cs="Calibri"/>
                <w:color w:val="000000"/>
                <w:sz w:val="20"/>
                <w:szCs w:val="20"/>
              </w:rPr>
              <w:t>Distant lymph node(s): Cervical, NOS Contralateral/bilateral axillary Contralateral/bilateral internal mammary (parasternal) Supraclavicular (transverse cervical) Other distant lymph node(s) Further contiguous extension: Skin over: Axilla Contralateral (opposite) breast Sternum Upper abdomen; Metastasis: Adrenal (suprarenal) gland Bone other than adjacent rib Contralateral (opposite) breast - if stated as metastatic Lung Ovary Satellite nodule(s) in skin other than primary breast</w:t>
            </w:r>
          </w:p>
        </w:tc>
      </w:tr>
    </w:tbl>
    <w:p w14:paraId="4C55A370" w14:textId="5B68C492" w:rsidR="00F94980" w:rsidRDefault="00F94980">
      <w:pPr>
        <w:rPr>
          <w:rFonts w:ascii="Times New Roman" w:hAnsi="Times New Roman" w:cs="Times New Roman"/>
          <w:b/>
          <w:bCs/>
          <w:sz w:val="22"/>
          <w:szCs w:val="22"/>
        </w:rPr>
      </w:pPr>
    </w:p>
    <w:p w14:paraId="0EA54D0A" w14:textId="77777777" w:rsidR="00F94980" w:rsidRDefault="00F94980" w:rsidP="00F94980">
      <w:pPr>
        <w:rPr>
          <w:rFonts w:ascii="Times New Roman" w:hAnsi="Times New Roman" w:cs="Times New Roman"/>
          <w:b/>
          <w:bCs/>
          <w:sz w:val="22"/>
          <w:szCs w:val="22"/>
        </w:rPr>
        <w:sectPr w:rsidR="00F94980" w:rsidSect="002D5BE5">
          <w:pgSz w:w="12240" w:h="15840"/>
          <w:pgMar w:top="1440" w:right="1440" w:bottom="1440" w:left="1440" w:header="720" w:footer="720" w:gutter="0"/>
          <w:cols w:space="720"/>
          <w:docGrid w:linePitch="360"/>
        </w:sectPr>
      </w:pPr>
    </w:p>
    <w:p w14:paraId="00B7D044" w14:textId="62486706" w:rsidR="00F94980" w:rsidRDefault="00F94980" w:rsidP="00F94980">
      <w:pPr>
        <w:rPr>
          <w:rFonts w:ascii="Times New Roman" w:hAnsi="Times New Roman" w:cs="Times New Roman"/>
          <w:b/>
          <w:bCs/>
          <w:sz w:val="22"/>
          <w:szCs w:val="22"/>
        </w:rPr>
      </w:pPr>
      <w:r w:rsidRPr="00F94980">
        <w:rPr>
          <w:rFonts w:ascii="Times New Roman" w:hAnsi="Times New Roman" w:cs="Times New Roman"/>
          <w:b/>
          <w:bCs/>
          <w:sz w:val="22"/>
          <w:szCs w:val="22"/>
        </w:rPr>
        <w:lastRenderedPageBreak/>
        <w:t>Supplemental Table 2. Average, median, and interquartile range of breast cancer incidence rates by summary stage for rural and urban counties in NC</w:t>
      </w:r>
    </w:p>
    <w:tbl>
      <w:tblPr>
        <w:tblW w:w="0" w:type="auto"/>
        <w:tblLook w:val="04A0" w:firstRow="1" w:lastRow="0" w:firstColumn="1" w:lastColumn="0" w:noHBand="0" w:noVBand="1"/>
      </w:tblPr>
      <w:tblGrid>
        <w:gridCol w:w="2500"/>
        <w:gridCol w:w="686"/>
        <w:gridCol w:w="764"/>
        <w:gridCol w:w="1119"/>
        <w:gridCol w:w="1061"/>
        <w:gridCol w:w="890"/>
        <w:gridCol w:w="672"/>
        <w:gridCol w:w="741"/>
        <w:gridCol w:w="1084"/>
        <w:gridCol w:w="1028"/>
        <w:gridCol w:w="862"/>
      </w:tblGrid>
      <w:tr w:rsidR="00F94980" w:rsidRPr="00F94980" w14:paraId="5D6A43CE" w14:textId="77777777" w:rsidTr="00F94980">
        <w:trPr>
          <w:trHeight w:val="320"/>
        </w:trPr>
        <w:tc>
          <w:tcPr>
            <w:tcW w:w="2500" w:type="dxa"/>
            <w:tcBorders>
              <w:top w:val="nil"/>
              <w:left w:val="nil"/>
              <w:bottom w:val="nil"/>
              <w:right w:val="nil"/>
            </w:tcBorders>
            <w:shd w:val="clear" w:color="000000" w:fill="FFFFFF"/>
            <w:noWrap/>
            <w:vAlign w:val="bottom"/>
            <w:hideMark/>
          </w:tcPr>
          <w:p w14:paraId="47E31232" w14:textId="77777777" w:rsidR="00F94980" w:rsidRPr="00F94980" w:rsidRDefault="00F94980" w:rsidP="00F94980">
            <w:pPr>
              <w:rPr>
                <w:rFonts w:ascii="Calibri" w:eastAsia="Times New Roman" w:hAnsi="Calibri" w:cs="Calibri"/>
                <w:color w:val="000000"/>
                <w:sz w:val="20"/>
                <w:szCs w:val="20"/>
              </w:rPr>
            </w:pPr>
            <w:r w:rsidRPr="00F94980">
              <w:rPr>
                <w:rFonts w:ascii="Calibri" w:eastAsia="Times New Roman" w:hAnsi="Calibri" w:cs="Calibri"/>
                <w:color w:val="000000"/>
                <w:sz w:val="20"/>
                <w:szCs w:val="20"/>
              </w:rPr>
              <w:t> </w:t>
            </w:r>
          </w:p>
        </w:tc>
        <w:tc>
          <w:tcPr>
            <w:tcW w:w="4520" w:type="dxa"/>
            <w:gridSpan w:val="5"/>
            <w:tcBorders>
              <w:top w:val="nil"/>
              <w:left w:val="nil"/>
              <w:bottom w:val="single" w:sz="4" w:space="0" w:color="auto"/>
              <w:right w:val="nil"/>
            </w:tcBorders>
            <w:shd w:val="clear" w:color="000000" w:fill="FFFFFF"/>
            <w:noWrap/>
            <w:vAlign w:val="bottom"/>
            <w:hideMark/>
          </w:tcPr>
          <w:p w14:paraId="6D3DDD35" w14:textId="77777777" w:rsidR="00F94980" w:rsidRPr="00F94980" w:rsidRDefault="00F94980" w:rsidP="00F94980">
            <w:pPr>
              <w:jc w:val="center"/>
              <w:rPr>
                <w:rFonts w:ascii="Calibri" w:eastAsia="Times New Roman" w:hAnsi="Calibri" w:cs="Calibri"/>
                <w:b/>
                <w:bCs/>
                <w:color w:val="000000"/>
                <w:sz w:val="20"/>
                <w:szCs w:val="20"/>
              </w:rPr>
            </w:pPr>
            <w:r w:rsidRPr="00F94980">
              <w:rPr>
                <w:rFonts w:ascii="Calibri" w:eastAsia="Times New Roman" w:hAnsi="Calibri" w:cs="Calibri"/>
                <w:b/>
                <w:bCs/>
                <w:color w:val="000000"/>
                <w:sz w:val="20"/>
                <w:szCs w:val="20"/>
              </w:rPr>
              <w:t>Rural</w:t>
            </w:r>
          </w:p>
        </w:tc>
        <w:tc>
          <w:tcPr>
            <w:tcW w:w="4380" w:type="dxa"/>
            <w:gridSpan w:val="5"/>
            <w:tcBorders>
              <w:top w:val="nil"/>
              <w:left w:val="single" w:sz="4" w:space="0" w:color="auto"/>
              <w:bottom w:val="single" w:sz="4" w:space="0" w:color="auto"/>
              <w:right w:val="nil"/>
            </w:tcBorders>
            <w:shd w:val="clear" w:color="000000" w:fill="FFFFFF"/>
            <w:noWrap/>
            <w:vAlign w:val="bottom"/>
            <w:hideMark/>
          </w:tcPr>
          <w:p w14:paraId="795C1A4F" w14:textId="77777777" w:rsidR="00F94980" w:rsidRPr="00F94980" w:rsidRDefault="00F94980" w:rsidP="00F94980">
            <w:pPr>
              <w:jc w:val="center"/>
              <w:rPr>
                <w:rFonts w:ascii="Calibri" w:eastAsia="Times New Roman" w:hAnsi="Calibri" w:cs="Calibri"/>
                <w:b/>
                <w:bCs/>
                <w:color w:val="000000"/>
                <w:sz w:val="20"/>
                <w:szCs w:val="20"/>
              </w:rPr>
            </w:pPr>
            <w:r w:rsidRPr="00F94980">
              <w:rPr>
                <w:rFonts w:ascii="Calibri" w:eastAsia="Times New Roman" w:hAnsi="Calibri" w:cs="Calibri"/>
                <w:b/>
                <w:bCs/>
                <w:color w:val="000000"/>
                <w:sz w:val="20"/>
                <w:szCs w:val="20"/>
              </w:rPr>
              <w:t>Urban</w:t>
            </w:r>
          </w:p>
        </w:tc>
      </w:tr>
      <w:tr w:rsidR="00F94980" w:rsidRPr="00F94980" w14:paraId="56B3AF50" w14:textId="77777777" w:rsidTr="00F94980">
        <w:trPr>
          <w:trHeight w:val="320"/>
        </w:trPr>
        <w:tc>
          <w:tcPr>
            <w:tcW w:w="2500" w:type="dxa"/>
            <w:tcBorders>
              <w:top w:val="nil"/>
              <w:left w:val="nil"/>
              <w:bottom w:val="nil"/>
              <w:right w:val="nil"/>
            </w:tcBorders>
            <w:shd w:val="clear" w:color="000000" w:fill="FFFFFF"/>
            <w:noWrap/>
            <w:vAlign w:val="bottom"/>
            <w:hideMark/>
          </w:tcPr>
          <w:p w14:paraId="50B82075" w14:textId="77777777" w:rsidR="00F94980" w:rsidRPr="00F94980" w:rsidRDefault="00F94980" w:rsidP="00F94980">
            <w:pPr>
              <w:rPr>
                <w:rFonts w:ascii="Calibri" w:eastAsia="Times New Roman" w:hAnsi="Calibri" w:cs="Calibri"/>
                <w:color w:val="000000"/>
                <w:sz w:val="20"/>
                <w:szCs w:val="20"/>
              </w:rPr>
            </w:pPr>
            <w:r w:rsidRPr="00F94980">
              <w:rPr>
                <w:rFonts w:ascii="Calibri" w:eastAsia="Times New Roman" w:hAnsi="Calibri" w:cs="Calibri"/>
                <w:color w:val="000000"/>
                <w:sz w:val="20"/>
                <w:szCs w:val="20"/>
              </w:rPr>
              <w:t> </w:t>
            </w:r>
          </w:p>
        </w:tc>
        <w:tc>
          <w:tcPr>
            <w:tcW w:w="686" w:type="dxa"/>
            <w:tcBorders>
              <w:top w:val="nil"/>
              <w:left w:val="nil"/>
              <w:bottom w:val="single" w:sz="4" w:space="0" w:color="auto"/>
              <w:right w:val="nil"/>
            </w:tcBorders>
            <w:shd w:val="clear" w:color="000000" w:fill="FFFFFF"/>
            <w:noWrap/>
            <w:vAlign w:val="bottom"/>
            <w:hideMark/>
          </w:tcPr>
          <w:p w14:paraId="42C2148D" w14:textId="77777777" w:rsidR="00F94980" w:rsidRPr="00F94980" w:rsidRDefault="00F94980" w:rsidP="00F94980">
            <w:pPr>
              <w:jc w:val="center"/>
              <w:rPr>
                <w:rFonts w:ascii="Calibri" w:eastAsia="Times New Roman" w:hAnsi="Calibri" w:cs="Calibri"/>
                <w:b/>
                <w:bCs/>
                <w:color w:val="000000"/>
                <w:sz w:val="20"/>
                <w:szCs w:val="20"/>
              </w:rPr>
            </w:pPr>
            <w:r w:rsidRPr="00F94980">
              <w:rPr>
                <w:rFonts w:ascii="Calibri" w:eastAsia="Times New Roman" w:hAnsi="Calibri" w:cs="Calibri"/>
                <w:b/>
                <w:bCs/>
                <w:color w:val="000000"/>
                <w:sz w:val="20"/>
                <w:szCs w:val="20"/>
              </w:rPr>
              <w:t>Total</w:t>
            </w:r>
          </w:p>
        </w:tc>
        <w:tc>
          <w:tcPr>
            <w:tcW w:w="764" w:type="dxa"/>
            <w:tcBorders>
              <w:top w:val="nil"/>
              <w:left w:val="nil"/>
              <w:bottom w:val="single" w:sz="4" w:space="0" w:color="auto"/>
              <w:right w:val="nil"/>
            </w:tcBorders>
            <w:shd w:val="clear" w:color="000000" w:fill="FFFFFF"/>
            <w:noWrap/>
            <w:vAlign w:val="bottom"/>
            <w:hideMark/>
          </w:tcPr>
          <w:p w14:paraId="2A9B3C37" w14:textId="77777777" w:rsidR="00F94980" w:rsidRPr="00F94980" w:rsidRDefault="00F94980" w:rsidP="00F94980">
            <w:pPr>
              <w:jc w:val="center"/>
              <w:rPr>
                <w:rFonts w:ascii="Calibri" w:eastAsia="Times New Roman" w:hAnsi="Calibri" w:cs="Calibri"/>
                <w:b/>
                <w:bCs/>
                <w:color w:val="000000"/>
                <w:sz w:val="20"/>
                <w:szCs w:val="20"/>
              </w:rPr>
            </w:pPr>
            <w:r w:rsidRPr="00F94980">
              <w:rPr>
                <w:rFonts w:ascii="Calibri" w:eastAsia="Times New Roman" w:hAnsi="Calibri" w:cs="Calibri"/>
                <w:b/>
                <w:bCs/>
                <w:color w:val="000000"/>
                <w:sz w:val="20"/>
                <w:szCs w:val="20"/>
              </w:rPr>
              <w:t>In situ</w:t>
            </w:r>
          </w:p>
        </w:tc>
        <w:tc>
          <w:tcPr>
            <w:tcW w:w="1119" w:type="dxa"/>
            <w:tcBorders>
              <w:top w:val="nil"/>
              <w:left w:val="nil"/>
              <w:bottom w:val="single" w:sz="4" w:space="0" w:color="auto"/>
              <w:right w:val="nil"/>
            </w:tcBorders>
            <w:shd w:val="clear" w:color="000000" w:fill="FFFFFF"/>
            <w:noWrap/>
            <w:vAlign w:val="bottom"/>
            <w:hideMark/>
          </w:tcPr>
          <w:p w14:paraId="2061DF67" w14:textId="77777777" w:rsidR="00F94980" w:rsidRPr="00F94980" w:rsidRDefault="00F94980" w:rsidP="00F94980">
            <w:pPr>
              <w:jc w:val="center"/>
              <w:rPr>
                <w:rFonts w:ascii="Calibri" w:eastAsia="Times New Roman" w:hAnsi="Calibri" w:cs="Calibri"/>
                <w:b/>
                <w:bCs/>
                <w:color w:val="000000"/>
                <w:sz w:val="20"/>
                <w:szCs w:val="20"/>
              </w:rPr>
            </w:pPr>
            <w:r w:rsidRPr="00F94980">
              <w:rPr>
                <w:rFonts w:ascii="Calibri" w:eastAsia="Times New Roman" w:hAnsi="Calibri" w:cs="Calibri"/>
                <w:b/>
                <w:bCs/>
                <w:color w:val="000000"/>
                <w:sz w:val="20"/>
                <w:szCs w:val="20"/>
              </w:rPr>
              <w:t>Localized</w:t>
            </w:r>
          </w:p>
        </w:tc>
        <w:tc>
          <w:tcPr>
            <w:tcW w:w="1061" w:type="dxa"/>
            <w:tcBorders>
              <w:top w:val="nil"/>
              <w:left w:val="nil"/>
              <w:bottom w:val="single" w:sz="4" w:space="0" w:color="auto"/>
              <w:right w:val="nil"/>
            </w:tcBorders>
            <w:shd w:val="clear" w:color="000000" w:fill="FFFFFF"/>
            <w:noWrap/>
            <w:vAlign w:val="bottom"/>
            <w:hideMark/>
          </w:tcPr>
          <w:p w14:paraId="65C42897" w14:textId="77777777" w:rsidR="00F94980" w:rsidRPr="00F94980" w:rsidRDefault="00F94980" w:rsidP="00F94980">
            <w:pPr>
              <w:jc w:val="center"/>
              <w:rPr>
                <w:rFonts w:ascii="Calibri" w:eastAsia="Times New Roman" w:hAnsi="Calibri" w:cs="Calibri"/>
                <w:b/>
                <w:bCs/>
                <w:color w:val="000000"/>
                <w:sz w:val="20"/>
                <w:szCs w:val="20"/>
              </w:rPr>
            </w:pPr>
            <w:r w:rsidRPr="00F94980">
              <w:rPr>
                <w:rFonts w:ascii="Calibri" w:eastAsia="Times New Roman" w:hAnsi="Calibri" w:cs="Calibri"/>
                <w:b/>
                <w:bCs/>
                <w:color w:val="000000"/>
                <w:sz w:val="20"/>
                <w:szCs w:val="20"/>
              </w:rPr>
              <w:t>Regional</w:t>
            </w:r>
          </w:p>
        </w:tc>
        <w:tc>
          <w:tcPr>
            <w:tcW w:w="890" w:type="dxa"/>
            <w:tcBorders>
              <w:top w:val="nil"/>
              <w:left w:val="nil"/>
              <w:bottom w:val="single" w:sz="4" w:space="0" w:color="auto"/>
              <w:right w:val="nil"/>
            </w:tcBorders>
            <w:shd w:val="clear" w:color="000000" w:fill="FFFFFF"/>
            <w:noWrap/>
            <w:vAlign w:val="bottom"/>
            <w:hideMark/>
          </w:tcPr>
          <w:p w14:paraId="31560F35" w14:textId="77777777" w:rsidR="00F94980" w:rsidRPr="00F94980" w:rsidRDefault="00F94980" w:rsidP="00F94980">
            <w:pPr>
              <w:jc w:val="center"/>
              <w:rPr>
                <w:rFonts w:ascii="Calibri" w:eastAsia="Times New Roman" w:hAnsi="Calibri" w:cs="Calibri"/>
                <w:b/>
                <w:bCs/>
                <w:color w:val="000000"/>
                <w:sz w:val="20"/>
                <w:szCs w:val="20"/>
              </w:rPr>
            </w:pPr>
            <w:r w:rsidRPr="00F94980">
              <w:rPr>
                <w:rFonts w:ascii="Calibri" w:eastAsia="Times New Roman" w:hAnsi="Calibri" w:cs="Calibri"/>
                <w:b/>
                <w:bCs/>
                <w:color w:val="000000"/>
                <w:sz w:val="20"/>
                <w:szCs w:val="20"/>
              </w:rPr>
              <w:t>Distant</w:t>
            </w:r>
          </w:p>
        </w:tc>
        <w:tc>
          <w:tcPr>
            <w:tcW w:w="665" w:type="dxa"/>
            <w:tcBorders>
              <w:top w:val="nil"/>
              <w:left w:val="single" w:sz="4" w:space="0" w:color="auto"/>
              <w:bottom w:val="single" w:sz="4" w:space="0" w:color="auto"/>
              <w:right w:val="nil"/>
            </w:tcBorders>
            <w:shd w:val="clear" w:color="000000" w:fill="FFFFFF"/>
            <w:noWrap/>
            <w:vAlign w:val="bottom"/>
            <w:hideMark/>
          </w:tcPr>
          <w:p w14:paraId="4D9242BD" w14:textId="77777777" w:rsidR="00F94980" w:rsidRPr="00F94980" w:rsidRDefault="00F94980" w:rsidP="00F94980">
            <w:pPr>
              <w:jc w:val="center"/>
              <w:rPr>
                <w:rFonts w:ascii="Calibri" w:eastAsia="Times New Roman" w:hAnsi="Calibri" w:cs="Calibri"/>
                <w:b/>
                <w:bCs/>
                <w:color w:val="000000"/>
                <w:sz w:val="20"/>
                <w:szCs w:val="20"/>
              </w:rPr>
            </w:pPr>
            <w:r w:rsidRPr="00F94980">
              <w:rPr>
                <w:rFonts w:ascii="Calibri" w:eastAsia="Times New Roman" w:hAnsi="Calibri" w:cs="Calibri"/>
                <w:b/>
                <w:bCs/>
                <w:color w:val="000000"/>
                <w:sz w:val="20"/>
                <w:szCs w:val="20"/>
              </w:rPr>
              <w:t>Total</w:t>
            </w:r>
          </w:p>
        </w:tc>
        <w:tc>
          <w:tcPr>
            <w:tcW w:w="741" w:type="dxa"/>
            <w:tcBorders>
              <w:top w:val="nil"/>
              <w:left w:val="nil"/>
              <w:bottom w:val="single" w:sz="4" w:space="0" w:color="auto"/>
              <w:right w:val="nil"/>
            </w:tcBorders>
            <w:shd w:val="clear" w:color="000000" w:fill="FFFFFF"/>
            <w:noWrap/>
            <w:vAlign w:val="bottom"/>
            <w:hideMark/>
          </w:tcPr>
          <w:p w14:paraId="7F17285E" w14:textId="77777777" w:rsidR="00F94980" w:rsidRPr="00F94980" w:rsidRDefault="00F94980" w:rsidP="00F94980">
            <w:pPr>
              <w:jc w:val="center"/>
              <w:rPr>
                <w:rFonts w:ascii="Calibri" w:eastAsia="Times New Roman" w:hAnsi="Calibri" w:cs="Calibri"/>
                <w:b/>
                <w:bCs/>
                <w:color w:val="000000"/>
                <w:sz w:val="20"/>
                <w:szCs w:val="20"/>
              </w:rPr>
            </w:pPr>
            <w:r w:rsidRPr="00F94980">
              <w:rPr>
                <w:rFonts w:ascii="Calibri" w:eastAsia="Times New Roman" w:hAnsi="Calibri" w:cs="Calibri"/>
                <w:b/>
                <w:bCs/>
                <w:color w:val="000000"/>
                <w:sz w:val="20"/>
                <w:szCs w:val="20"/>
              </w:rPr>
              <w:t>In situ</w:t>
            </w:r>
          </w:p>
        </w:tc>
        <w:tc>
          <w:tcPr>
            <w:tcW w:w="1084" w:type="dxa"/>
            <w:tcBorders>
              <w:top w:val="nil"/>
              <w:left w:val="nil"/>
              <w:bottom w:val="single" w:sz="4" w:space="0" w:color="auto"/>
              <w:right w:val="nil"/>
            </w:tcBorders>
            <w:shd w:val="clear" w:color="000000" w:fill="FFFFFF"/>
            <w:noWrap/>
            <w:vAlign w:val="bottom"/>
            <w:hideMark/>
          </w:tcPr>
          <w:p w14:paraId="3674AAF1" w14:textId="77777777" w:rsidR="00F94980" w:rsidRPr="00F94980" w:rsidRDefault="00F94980" w:rsidP="00F94980">
            <w:pPr>
              <w:jc w:val="center"/>
              <w:rPr>
                <w:rFonts w:ascii="Calibri" w:eastAsia="Times New Roman" w:hAnsi="Calibri" w:cs="Calibri"/>
                <w:b/>
                <w:bCs/>
                <w:color w:val="000000"/>
                <w:sz w:val="20"/>
                <w:szCs w:val="20"/>
              </w:rPr>
            </w:pPr>
            <w:r w:rsidRPr="00F94980">
              <w:rPr>
                <w:rFonts w:ascii="Calibri" w:eastAsia="Times New Roman" w:hAnsi="Calibri" w:cs="Calibri"/>
                <w:b/>
                <w:bCs/>
                <w:color w:val="000000"/>
                <w:sz w:val="20"/>
                <w:szCs w:val="20"/>
              </w:rPr>
              <w:t>Localized</w:t>
            </w:r>
          </w:p>
        </w:tc>
        <w:tc>
          <w:tcPr>
            <w:tcW w:w="1028" w:type="dxa"/>
            <w:tcBorders>
              <w:top w:val="nil"/>
              <w:left w:val="nil"/>
              <w:bottom w:val="single" w:sz="4" w:space="0" w:color="auto"/>
              <w:right w:val="nil"/>
            </w:tcBorders>
            <w:shd w:val="clear" w:color="000000" w:fill="FFFFFF"/>
            <w:noWrap/>
            <w:vAlign w:val="bottom"/>
            <w:hideMark/>
          </w:tcPr>
          <w:p w14:paraId="34CE9EB7" w14:textId="77777777" w:rsidR="00F94980" w:rsidRPr="00F94980" w:rsidRDefault="00F94980" w:rsidP="00F94980">
            <w:pPr>
              <w:jc w:val="center"/>
              <w:rPr>
                <w:rFonts w:ascii="Calibri" w:eastAsia="Times New Roman" w:hAnsi="Calibri" w:cs="Calibri"/>
                <w:b/>
                <w:bCs/>
                <w:color w:val="000000"/>
                <w:sz w:val="20"/>
                <w:szCs w:val="20"/>
              </w:rPr>
            </w:pPr>
            <w:r w:rsidRPr="00F94980">
              <w:rPr>
                <w:rFonts w:ascii="Calibri" w:eastAsia="Times New Roman" w:hAnsi="Calibri" w:cs="Calibri"/>
                <w:b/>
                <w:bCs/>
                <w:color w:val="000000"/>
                <w:sz w:val="20"/>
                <w:szCs w:val="20"/>
              </w:rPr>
              <w:t>Regional</w:t>
            </w:r>
          </w:p>
        </w:tc>
        <w:tc>
          <w:tcPr>
            <w:tcW w:w="862" w:type="dxa"/>
            <w:tcBorders>
              <w:top w:val="nil"/>
              <w:left w:val="nil"/>
              <w:bottom w:val="single" w:sz="4" w:space="0" w:color="auto"/>
              <w:right w:val="nil"/>
            </w:tcBorders>
            <w:shd w:val="clear" w:color="000000" w:fill="FFFFFF"/>
            <w:noWrap/>
            <w:vAlign w:val="bottom"/>
            <w:hideMark/>
          </w:tcPr>
          <w:p w14:paraId="75ABB109" w14:textId="77777777" w:rsidR="00F94980" w:rsidRPr="00F94980" w:rsidRDefault="00F94980" w:rsidP="00F94980">
            <w:pPr>
              <w:jc w:val="center"/>
              <w:rPr>
                <w:rFonts w:ascii="Calibri" w:eastAsia="Times New Roman" w:hAnsi="Calibri" w:cs="Calibri"/>
                <w:b/>
                <w:bCs/>
                <w:color w:val="000000"/>
                <w:sz w:val="20"/>
                <w:szCs w:val="20"/>
              </w:rPr>
            </w:pPr>
            <w:r w:rsidRPr="00F94980">
              <w:rPr>
                <w:rFonts w:ascii="Calibri" w:eastAsia="Times New Roman" w:hAnsi="Calibri" w:cs="Calibri"/>
                <w:b/>
                <w:bCs/>
                <w:color w:val="000000"/>
                <w:sz w:val="20"/>
                <w:szCs w:val="20"/>
              </w:rPr>
              <w:t>Distant</w:t>
            </w:r>
          </w:p>
        </w:tc>
      </w:tr>
      <w:tr w:rsidR="00F94980" w:rsidRPr="00F94980" w14:paraId="564A72B4" w14:textId="77777777" w:rsidTr="00F94980">
        <w:trPr>
          <w:trHeight w:val="320"/>
        </w:trPr>
        <w:tc>
          <w:tcPr>
            <w:tcW w:w="2500" w:type="dxa"/>
            <w:tcBorders>
              <w:top w:val="nil"/>
              <w:left w:val="nil"/>
              <w:bottom w:val="nil"/>
              <w:right w:val="nil"/>
            </w:tcBorders>
            <w:shd w:val="clear" w:color="000000" w:fill="FFFFFF"/>
            <w:noWrap/>
            <w:vAlign w:val="bottom"/>
            <w:hideMark/>
          </w:tcPr>
          <w:p w14:paraId="46597271" w14:textId="77777777" w:rsidR="00F94980" w:rsidRPr="00F94980" w:rsidRDefault="00F94980" w:rsidP="00F94980">
            <w:pPr>
              <w:jc w:val="right"/>
              <w:rPr>
                <w:rFonts w:ascii="Calibri" w:eastAsia="Times New Roman" w:hAnsi="Calibri" w:cs="Calibri"/>
                <w:b/>
                <w:bCs/>
                <w:color w:val="000000"/>
                <w:sz w:val="20"/>
                <w:szCs w:val="20"/>
              </w:rPr>
            </w:pPr>
            <w:r w:rsidRPr="00F94980">
              <w:rPr>
                <w:rFonts w:ascii="Calibri" w:eastAsia="Times New Roman" w:hAnsi="Calibri" w:cs="Calibri"/>
                <w:b/>
                <w:bCs/>
                <w:color w:val="000000"/>
                <w:sz w:val="20"/>
                <w:szCs w:val="20"/>
              </w:rPr>
              <w:t>Average</w:t>
            </w:r>
          </w:p>
        </w:tc>
        <w:tc>
          <w:tcPr>
            <w:tcW w:w="686" w:type="dxa"/>
            <w:tcBorders>
              <w:top w:val="nil"/>
              <w:left w:val="nil"/>
              <w:bottom w:val="nil"/>
              <w:right w:val="nil"/>
            </w:tcBorders>
            <w:shd w:val="clear" w:color="000000" w:fill="FFFFFF"/>
            <w:noWrap/>
            <w:vAlign w:val="bottom"/>
            <w:hideMark/>
          </w:tcPr>
          <w:p w14:paraId="708845D8"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148.7</w:t>
            </w:r>
          </w:p>
        </w:tc>
        <w:tc>
          <w:tcPr>
            <w:tcW w:w="764" w:type="dxa"/>
            <w:tcBorders>
              <w:top w:val="nil"/>
              <w:left w:val="nil"/>
              <w:bottom w:val="nil"/>
              <w:right w:val="nil"/>
            </w:tcBorders>
            <w:shd w:val="clear" w:color="000000" w:fill="FFFFFF"/>
            <w:noWrap/>
            <w:vAlign w:val="bottom"/>
            <w:hideMark/>
          </w:tcPr>
          <w:p w14:paraId="36EC65C8"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25.0</w:t>
            </w:r>
          </w:p>
        </w:tc>
        <w:tc>
          <w:tcPr>
            <w:tcW w:w="1119" w:type="dxa"/>
            <w:tcBorders>
              <w:top w:val="nil"/>
              <w:left w:val="nil"/>
              <w:bottom w:val="nil"/>
              <w:right w:val="nil"/>
            </w:tcBorders>
            <w:shd w:val="clear" w:color="000000" w:fill="FFFFFF"/>
            <w:noWrap/>
            <w:vAlign w:val="bottom"/>
            <w:hideMark/>
          </w:tcPr>
          <w:p w14:paraId="26097C4E"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80.5</w:t>
            </w:r>
          </w:p>
        </w:tc>
        <w:tc>
          <w:tcPr>
            <w:tcW w:w="1061" w:type="dxa"/>
            <w:tcBorders>
              <w:top w:val="nil"/>
              <w:left w:val="nil"/>
              <w:bottom w:val="nil"/>
              <w:right w:val="nil"/>
            </w:tcBorders>
            <w:shd w:val="clear" w:color="000000" w:fill="FFFFFF"/>
            <w:noWrap/>
            <w:vAlign w:val="bottom"/>
            <w:hideMark/>
          </w:tcPr>
          <w:p w14:paraId="54F27D39"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41.5</w:t>
            </w:r>
          </w:p>
        </w:tc>
        <w:tc>
          <w:tcPr>
            <w:tcW w:w="890" w:type="dxa"/>
            <w:tcBorders>
              <w:top w:val="nil"/>
              <w:left w:val="nil"/>
              <w:bottom w:val="nil"/>
              <w:right w:val="nil"/>
            </w:tcBorders>
            <w:shd w:val="clear" w:color="000000" w:fill="FFFFFF"/>
            <w:noWrap/>
            <w:vAlign w:val="bottom"/>
            <w:hideMark/>
          </w:tcPr>
          <w:p w14:paraId="75BAD915"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8.4</w:t>
            </w:r>
          </w:p>
        </w:tc>
        <w:tc>
          <w:tcPr>
            <w:tcW w:w="665" w:type="dxa"/>
            <w:tcBorders>
              <w:top w:val="nil"/>
              <w:left w:val="single" w:sz="4" w:space="0" w:color="auto"/>
              <w:bottom w:val="nil"/>
              <w:right w:val="nil"/>
            </w:tcBorders>
            <w:shd w:val="clear" w:color="000000" w:fill="FFFFFF"/>
            <w:noWrap/>
            <w:vAlign w:val="bottom"/>
            <w:hideMark/>
          </w:tcPr>
          <w:p w14:paraId="1C26F19E"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157.2</w:t>
            </w:r>
          </w:p>
        </w:tc>
        <w:tc>
          <w:tcPr>
            <w:tcW w:w="741" w:type="dxa"/>
            <w:tcBorders>
              <w:top w:val="nil"/>
              <w:left w:val="nil"/>
              <w:bottom w:val="nil"/>
              <w:right w:val="nil"/>
            </w:tcBorders>
            <w:shd w:val="clear" w:color="000000" w:fill="FFFFFF"/>
            <w:noWrap/>
            <w:vAlign w:val="bottom"/>
            <w:hideMark/>
          </w:tcPr>
          <w:p w14:paraId="1D0FFEF6"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25.5</w:t>
            </w:r>
          </w:p>
        </w:tc>
        <w:tc>
          <w:tcPr>
            <w:tcW w:w="1084" w:type="dxa"/>
            <w:tcBorders>
              <w:top w:val="nil"/>
              <w:left w:val="nil"/>
              <w:bottom w:val="nil"/>
              <w:right w:val="nil"/>
            </w:tcBorders>
            <w:shd w:val="clear" w:color="000000" w:fill="FFFFFF"/>
            <w:noWrap/>
            <w:vAlign w:val="bottom"/>
            <w:hideMark/>
          </w:tcPr>
          <w:p w14:paraId="09B4DE90"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84.3</w:t>
            </w:r>
          </w:p>
        </w:tc>
        <w:tc>
          <w:tcPr>
            <w:tcW w:w="1028" w:type="dxa"/>
            <w:tcBorders>
              <w:top w:val="nil"/>
              <w:left w:val="nil"/>
              <w:bottom w:val="nil"/>
              <w:right w:val="nil"/>
            </w:tcBorders>
            <w:shd w:val="clear" w:color="000000" w:fill="FFFFFF"/>
            <w:noWrap/>
            <w:vAlign w:val="bottom"/>
            <w:hideMark/>
          </w:tcPr>
          <w:p w14:paraId="7ACB00D1"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40.7</w:t>
            </w:r>
          </w:p>
        </w:tc>
        <w:tc>
          <w:tcPr>
            <w:tcW w:w="862" w:type="dxa"/>
            <w:tcBorders>
              <w:top w:val="nil"/>
              <w:left w:val="nil"/>
              <w:bottom w:val="nil"/>
              <w:right w:val="nil"/>
            </w:tcBorders>
            <w:shd w:val="clear" w:color="000000" w:fill="FFFFFF"/>
            <w:noWrap/>
            <w:vAlign w:val="bottom"/>
            <w:hideMark/>
          </w:tcPr>
          <w:p w14:paraId="58EB4F34"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7.1</w:t>
            </w:r>
          </w:p>
        </w:tc>
      </w:tr>
      <w:tr w:rsidR="00F94980" w:rsidRPr="00F94980" w14:paraId="1FBABD2F" w14:textId="77777777" w:rsidTr="00F94980">
        <w:trPr>
          <w:trHeight w:val="320"/>
        </w:trPr>
        <w:tc>
          <w:tcPr>
            <w:tcW w:w="2500" w:type="dxa"/>
            <w:tcBorders>
              <w:top w:val="nil"/>
              <w:left w:val="nil"/>
              <w:bottom w:val="nil"/>
              <w:right w:val="nil"/>
            </w:tcBorders>
            <w:shd w:val="clear" w:color="000000" w:fill="FFFFFF"/>
            <w:noWrap/>
            <w:vAlign w:val="bottom"/>
            <w:hideMark/>
          </w:tcPr>
          <w:p w14:paraId="011F440D" w14:textId="77777777" w:rsidR="00F94980" w:rsidRPr="00F94980" w:rsidRDefault="00F94980" w:rsidP="00F94980">
            <w:pPr>
              <w:jc w:val="right"/>
              <w:rPr>
                <w:rFonts w:ascii="Calibri" w:eastAsia="Times New Roman" w:hAnsi="Calibri" w:cs="Calibri"/>
                <w:b/>
                <w:bCs/>
                <w:color w:val="000000"/>
                <w:sz w:val="20"/>
                <w:szCs w:val="20"/>
              </w:rPr>
            </w:pPr>
            <w:r w:rsidRPr="00F94980">
              <w:rPr>
                <w:rFonts w:ascii="Calibri" w:eastAsia="Times New Roman" w:hAnsi="Calibri" w:cs="Calibri"/>
                <w:b/>
                <w:bCs/>
                <w:color w:val="000000"/>
                <w:sz w:val="20"/>
                <w:szCs w:val="20"/>
              </w:rPr>
              <w:t>Median</w:t>
            </w:r>
          </w:p>
        </w:tc>
        <w:tc>
          <w:tcPr>
            <w:tcW w:w="686" w:type="dxa"/>
            <w:tcBorders>
              <w:top w:val="nil"/>
              <w:left w:val="nil"/>
              <w:bottom w:val="nil"/>
              <w:right w:val="nil"/>
            </w:tcBorders>
            <w:shd w:val="clear" w:color="000000" w:fill="FFFFFF"/>
            <w:noWrap/>
            <w:vAlign w:val="bottom"/>
            <w:hideMark/>
          </w:tcPr>
          <w:p w14:paraId="27826657"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151.2</w:t>
            </w:r>
          </w:p>
        </w:tc>
        <w:tc>
          <w:tcPr>
            <w:tcW w:w="764" w:type="dxa"/>
            <w:tcBorders>
              <w:top w:val="nil"/>
              <w:left w:val="nil"/>
              <w:bottom w:val="nil"/>
              <w:right w:val="nil"/>
            </w:tcBorders>
            <w:shd w:val="clear" w:color="000000" w:fill="FFFFFF"/>
            <w:noWrap/>
            <w:vAlign w:val="bottom"/>
            <w:hideMark/>
          </w:tcPr>
          <w:p w14:paraId="509CD340"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23.8</w:t>
            </w:r>
          </w:p>
        </w:tc>
        <w:tc>
          <w:tcPr>
            <w:tcW w:w="1119" w:type="dxa"/>
            <w:tcBorders>
              <w:top w:val="nil"/>
              <w:left w:val="nil"/>
              <w:bottom w:val="nil"/>
              <w:right w:val="nil"/>
            </w:tcBorders>
            <w:shd w:val="clear" w:color="000000" w:fill="FFFFFF"/>
            <w:noWrap/>
            <w:vAlign w:val="bottom"/>
            <w:hideMark/>
          </w:tcPr>
          <w:p w14:paraId="2B6113B5"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80.5</w:t>
            </w:r>
          </w:p>
        </w:tc>
        <w:tc>
          <w:tcPr>
            <w:tcW w:w="1061" w:type="dxa"/>
            <w:tcBorders>
              <w:top w:val="nil"/>
              <w:left w:val="nil"/>
              <w:bottom w:val="nil"/>
              <w:right w:val="nil"/>
            </w:tcBorders>
            <w:shd w:val="clear" w:color="000000" w:fill="FFFFFF"/>
            <w:noWrap/>
            <w:vAlign w:val="bottom"/>
            <w:hideMark/>
          </w:tcPr>
          <w:p w14:paraId="463DD3A1"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40.7</w:t>
            </w:r>
          </w:p>
        </w:tc>
        <w:tc>
          <w:tcPr>
            <w:tcW w:w="890" w:type="dxa"/>
            <w:tcBorders>
              <w:top w:val="nil"/>
              <w:left w:val="nil"/>
              <w:bottom w:val="nil"/>
              <w:right w:val="nil"/>
            </w:tcBorders>
            <w:shd w:val="clear" w:color="000000" w:fill="FFFFFF"/>
            <w:noWrap/>
            <w:vAlign w:val="bottom"/>
            <w:hideMark/>
          </w:tcPr>
          <w:p w14:paraId="4CECAF43"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8.6</w:t>
            </w:r>
          </w:p>
        </w:tc>
        <w:tc>
          <w:tcPr>
            <w:tcW w:w="665" w:type="dxa"/>
            <w:tcBorders>
              <w:top w:val="nil"/>
              <w:left w:val="single" w:sz="4" w:space="0" w:color="auto"/>
              <w:bottom w:val="nil"/>
              <w:right w:val="nil"/>
            </w:tcBorders>
            <w:shd w:val="clear" w:color="000000" w:fill="FFFFFF"/>
            <w:noWrap/>
            <w:vAlign w:val="bottom"/>
            <w:hideMark/>
          </w:tcPr>
          <w:p w14:paraId="2F0C8D22"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160.6</w:t>
            </w:r>
          </w:p>
        </w:tc>
        <w:tc>
          <w:tcPr>
            <w:tcW w:w="741" w:type="dxa"/>
            <w:tcBorders>
              <w:top w:val="nil"/>
              <w:left w:val="nil"/>
              <w:bottom w:val="nil"/>
              <w:right w:val="nil"/>
            </w:tcBorders>
            <w:shd w:val="clear" w:color="000000" w:fill="FFFFFF"/>
            <w:noWrap/>
            <w:vAlign w:val="bottom"/>
            <w:hideMark/>
          </w:tcPr>
          <w:p w14:paraId="0F8F2B7E"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24.6</w:t>
            </w:r>
          </w:p>
        </w:tc>
        <w:tc>
          <w:tcPr>
            <w:tcW w:w="1084" w:type="dxa"/>
            <w:tcBorders>
              <w:top w:val="nil"/>
              <w:left w:val="nil"/>
              <w:bottom w:val="nil"/>
              <w:right w:val="nil"/>
            </w:tcBorders>
            <w:shd w:val="clear" w:color="000000" w:fill="FFFFFF"/>
            <w:noWrap/>
            <w:vAlign w:val="bottom"/>
            <w:hideMark/>
          </w:tcPr>
          <w:p w14:paraId="028447F6"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84.7</w:t>
            </w:r>
          </w:p>
        </w:tc>
        <w:tc>
          <w:tcPr>
            <w:tcW w:w="1028" w:type="dxa"/>
            <w:tcBorders>
              <w:top w:val="nil"/>
              <w:left w:val="nil"/>
              <w:bottom w:val="nil"/>
              <w:right w:val="nil"/>
            </w:tcBorders>
            <w:shd w:val="clear" w:color="000000" w:fill="FFFFFF"/>
            <w:noWrap/>
            <w:vAlign w:val="bottom"/>
            <w:hideMark/>
          </w:tcPr>
          <w:p w14:paraId="27C94AE9"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40.4</w:t>
            </w:r>
          </w:p>
        </w:tc>
        <w:tc>
          <w:tcPr>
            <w:tcW w:w="862" w:type="dxa"/>
            <w:tcBorders>
              <w:top w:val="nil"/>
              <w:left w:val="nil"/>
              <w:bottom w:val="nil"/>
              <w:right w:val="nil"/>
            </w:tcBorders>
            <w:shd w:val="clear" w:color="000000" w:fill="FFFFFF"/>
            <w:noWrap/>
            <w:vAlign w:val="bottom"/>
            <w:hideMark/>
          </w:tcPr>
          <w:p w14:paraId="704B9C5E"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6.9</w:t>
            </w:r>
          </w:p>
        </w:tc>
      </w:tr>
      <w:tr w:rsidR="00F94980" w:rsidRPr="00F94980" w14:paraId="6827C97F" w14:textId="77777777" w:rsidTr="00F94980">
        <w:trPr>
          <w:trHeight w:val="320"/>
        </w:trPr>
        <w:tc>
          <w:tcPr>
            <w:tcW w:w="2500" w:type="dxa"/>
            <w:tcBorders>
              <w:top w:val="nil"/>
              <w:left w:val="nil"/>
              <w:bottom w:val="nil"/>
              <w:right w:val="nil"/>
            </w:tcBorders>
            <w:shd w:val="clear" w:color="000000" w:fill="FFFFFF"/>
            <w:noWrap/>
            <w:vAlign w:val="bottom"/>
            <w:hideMark/>
          </w:tcPr>
          <w:p w14:paraId="59F87170" w14:textId="77777777" w:rsidR="00F94980" w:rsidRPr="00F94980" w:rsidRDefault="00F94980" w:rsidP="00F94980">
            <w:pPr>
              <w:jc w:val="right"/>
              <w:rPr>
                <w:rFonts w:ascii="Calibri" w:eastAsia="Times New Roman" w:hAnsi="Calibri" w:cs="Calibri"/>
                <w:b/>
                <w:bCs/>
                <w:color w:val="000000"/>
                <w:sz w:val="20"/>
                <w:szCs w:val="20"/>
              </w:rPr>
            </w:pPr>
            <w:r w:rsidRPr="00F94980">
              <w:rPr>
                <w:rFonts w:ascii="Calibri" w:eastAsia="Times New Roman" w:hAnsi="Calibri" w:cs="Calibri"/>
                <w:b/>
                <w:bCs/>
                <w:color w:val="000000"/>
                <w:sz w:val="20"/>
                <w:szCs w:val="20"/>
              </w:rPr>
              <w:t>25%</w:t>
            </w:r>
          </w:p>
        </w:tc>
        <w:tc>
          <w:tcPr>
            <w:tcW w:w="686" w:type="dxa"/>
            <w:tcBorders>
              <w:top w:val="nil"/>
              <w:left w:val="nil"/>
              <w:bottom w:val="nil"/>
              <w:right w:val="nil"/>
            </w:tcBorders>
            <w:shd w:val="clear" w:color="000000" w:fill="FFFFFF"/>
            <w:noWrap/>
            <w:vAlign w:val="bottom"/>
            <w:hideMark/>
          </w:tcPr>
          <w:p w14:paraId="2B24CCD3"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137.7</w:t>
            </w:r>
          </w:p>
        </w:tc>
        <w:tc>
          <w:tcPr>
            <w:tcW w:w="764" w:type="dxa"/>
            <w:tcBorders>
              <w:top w:val="nil"/>
              <w:left w:val="nil"/>
              <w:bottom w:val="nil"/>
              <w:right w:val="nil"/>
            </w:tcBorders>
            <w:shd w:val="clear" w:color="000000" w:fill="FFFFFF"/>
            <w:noWrap/>
            <w:vAlign w:val="bottom"/>
            <w:hideMark/>
          </w:tcPr>
          <w:p w14:paraId="3DD28D26"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20.0</w:t>
            </w:r>
          </w:p>
        </w:tc>
        <w:tc>
          <w:tcPr>
            <w:tcW w:w="1119" w:type="dxa"/>
            <w:tcBorders>
              <w:top w:val="nil"/>
              <w:left w:val="nil"/>
              <w:bottom w:val="nil"/>
              <w:right w:val="nil"/>
            </w:tcBorders>
            <w:shd w:val="clear" w:color="000000" w:fill="FFFFFF"/>
            <w:noWrap/>
            <w:vAlign w:val="bottom"/>
            <w:hideMark/>
          </w:tcPr>
          <w:p w14:paraId="517DC41E"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73.7</w:t>
            </w:r>
          </w:p>
        </w:tc>
        <w:tc>
          <w:tcPr>
            <w:tcW w:w="1061" w:type="dxa"/>
            <w:tcBorders>
              <w:top w:val="nil"/>
              <w:left w:val="nil"/>
              <w:bottom w:val="nil"/>
              <w:right w:val="nil"/>
            </w:tcBorders>
            <w:shd w:val="clear" w:color="000000" w:fill="FFFFFF"/>
            <w:noWrap/>
            <w:vAlign w:val="bottom"/>
            <w:hideMark/>
          </w:tcPr>
          <w:p w14:paraId="60D9A084"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36.5</w:t>
            </w:r>
          </w:p>
        </w:tc>
        <w:tc>
          <w:tcPr>
            <w:tcW w:w="890" w:type="dxa"/>
            <w:tcBorders>
              <w:top w:val="nil"/>
              <w:left w:val="nil"/>
              <w:bottom w:val="nil"/>
              <w:right w:val="nil"/>
            </w:tcBorders>
            <w:shd w:val="clear" w:color="000000" w:fill="FFFFFF"/>
            <w:noWrap/>
            <w:vAlign w:val="bottom"/>
            <w:hideMark/>
          </w:tcPr>
          <w:p w14:paraId="17EFDE31"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6.5</w:t>
            </w:r>
          </w:p>
        </w:tc>
        <w:tc>
          <w:tcPr>
            <w:tcW w:w="665" w:type="dxa"/>
            <w:tcBorders>
              <w:top w:val="nil"/>
              <w:left w:val="single" w:sz="4" w:space="0" w:color="auto"/>
              <w:bottom w:val="nil"/>
              <w:right w:val="nil"/>
            </w:tcBorders>
            <w:shd w:val="clear" w:color="000000" w:fill="FFFFFF"/>
            <w:noWrap/>
            <w:vAlign w:val="bottom"/>
            <w:hideMark/>
          </w:tcPr>
          <w:p w14:paraId="682BC967"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148.5</w:t>
            </w:r>
          </w:p>
        </w:tc>
        <w:tc>
          <w:tcPr>
            <w:tcW w:w="741" w:type="dxa"/>
            <w:tcBorders>
              <w:top w:val="nil"/>
              <w:left w:val="nil"/>
              <w:bottom w:val="nil"/>
              <w:right w:val="nil"/>
            </w:tcBorders>
            <w:shd w:val="clear" w:color="000000" w:fill="FFFFFF"/>
            <w:noWrap/>
            <w:vAlign w:val="bottom"/>
            <w:hideMark/>
          </w:tcPr>
          <w:p w14:paraId="72DA58D2"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20.3</w:t>
            </w:r>
          </w:p>
        </w:tc>
        <w:tc>
          <w:tcPr>
            <w:tcW w:w="1084" w:type="dxa"/>
            <w:tcBorders>
              <w:top w:val="nil"/>
              <w:left w:val="nil"/>
              <w:bottom w:val="nil"/>
              <w:right w:val="nil"/>
            </w:tcBorders>
            <w:shd w:val="clear" w:color="000000" w:fill="FFFFFF"/>
            <w:noWrap/>
            <w:vAlign w:val="bottom"/>
            <w:hideMark/>
          </w:tcPr>
          <w:p w14:paraId="3D8E596A"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77.8</w:t>
            </w:r>
          </w:p>
        </w:tc>
        <w:tc>
          <w:tcPr>
            <w:tcW w:w="1028" w:type="dxa"/>
            <w:tcBorders>
              <w:top w:val="nil"/>
              <w:left w:val="nil"/>
              <w:bottom w:val="nil"/>
              <w:right w:val="nil"/>
            </w:tcBorders>
            <w:shd w:val="clear" w:color="000000" w:fill="FFFFFF"/>
            <w:noWrap/>
            <w:vAlign w:val="bottom"/>
            <w:hideMark/>
          </w:tcPr>
          <w:p w14:paraId="19090B5B"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38.4</w:t>
            </w:r>
          </w:p>
        </w:tc>
        <w:tc>
          <w:tcPr>
            <w:tcW w:w="862" w:type="dxa"/>
            <w:tcBorders>
              <w:top w:val="nil"/>
              <w:left w:val="nil"/>
              <w:bottom w:val="nil"/>
              <w:right w:val="nil"/>
            </w:tcBorders>
            <w:shd w:val="clear" w:color="000000" w:fill="FFFFFF"/>
            <w:noWrap/>
            <w:vAlign w:val="bottom"/>
            <w:hideMark/>
          </w:tcPr>
          <w:p w14:paraId="0B055F5A"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5.7</w:t>
            </w:r>
          </w:p>
        </w:tc>
      </w:tr>
      <w:tr w:rsidR="00F94980" w:rsidRPr="00F94980" w14:paraId="4761CA5C" w14:textId="77777777" w:rsidTr="00F94980">
        <w:trPr>
          <w:trHeight w:val="320"/>
        </w:trPr>
        <w:tc>
          <w:tcPr>
            <w:tcW w:w="2500" w:type="dxa"/>
            <w:tcBorders>
              <w:top w:val="nil"/>
              <w:left w:val="nil"/>
              <w:bottom w:val="nil"/>
              <w:right w:val="nil"/>
            </w:tcBorders>
            <w:shd w:val="clear" w:color="000000" w:fill="FFFFFF"/>
            <w:noWrap/>
            <w:vAlign w:val="bottom"/>
            <w:hideMark/>
          </w:tcPr>
          <w:p w14:paraId="596A0A1E" w14:textId="77777777" w:rsidR="00F94980" w:rsidRPr="00F94980" w:rsidRDefault="00F94980" w:rsidP="00F94980">
            <w:pPr>
              <w:jc w:val="right"/>
              <w:rPr>
                <w:rFonts w:ascii="Calibri" w:eastAsia="Times New Roman" w:hAnsi="Calibri" w:cs="Calibri"/>
                <w:b/>
                <w:bCs/>
                <w:color w:val="000000"/>
                <w:sz w:val="20"/>
                <w:szCs w:val="20"/>
              </w:rPr>
            </w:pPr>
            <w:r w:rsidRPr="00F94980">
              <w:rPr>
                <w:rFonts w:ascii="Calibri" w:eastAsia="Times New Roman" w:hAnsi="Calibri" w:cs="Calibri"/>
                <w:b/>
                <w:bCs/>
                <w:color w:val="000000"/>
                <w:sz w:val="20"/>
                <w:szCs w:val="20"/>
              </w:rPr>
              <w:t>75%</w:t>
            </w:r>
          </w:p>
        </w:tc>
        <w:tc>
          <w:tcPr>
            <w:tcW w:w="686" w:type="dxa"/>
            <w:tcBorders>
              <w:top w:val="nil"/>
              <w:left w:val="nil"/>
              <w:bottom w:val="nil"/>
              <w:right w:val="nil"/>
            </w:tcBorders>
            <w:shd w:val="clear" w:color="000000" w:fill="FFFFFF"/>
            <w:noWrap/>
            <w:vAlign w:val="bottom"/>
            <w:hideMark/>
          </w:tcPr>
          <w:p w14:paraId="5412F9D6"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167.8</w:t>
            </w:r>
          </w:p>
        </w:tc>
        <w:tc>
          <w:tcPr>
            <w:tcW w:w="764" w:type="dxa"/>
            <w:tcBorders>
              <w:top w:val="nil"/>
              <w:left w:val="nil"/>
              <w:bottom w:val="nil"/>
              <w:right w:val="nil"/>
            </w:tcBorders>
            <w:shd w:val="clear" w:color="000000" w:fill="FFFFFF"/>
            <w:noWrap/>
            <w:vAlign w:val="bottom"/>
            <w:hideMark/>
          </w:tcPr>
          <w:p w14:paraId="770777E2"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29.4</w:t>
            </w:r>
          </w:p>
        </w:tc>
        <w:tc>
          <w:tcPr>
            <w:tcW w:w="1119" w:type="dxa"/>
            <w:tcBorders>
              <w:top w:val="nil"/>
              <w:left w:val="nil"/>
              <w:bottom w:val="nil"/>
              <w:right w:val="nil"/>
            </w:tcBorders>
            <w:shd w:val="clear" w:color="000000" w:fill="FFFFFF"/>
            <w:noWrap/>
            <w:vAlign w:val="bottom"/>
            <w:hideMark/>
          </w:tcPr>
          <w:p w14:paraId="748EFD94"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89.4</w:t>
            </w:r>
          </w:p>
        </w:tc>
        <w:tc>
          <w:tcPr>
            <w:tcW w:w="1061" w:type="dxa"/>
            <w:tcBorders>
              <w:top w:val="nil"/>
              <w:left w:val="nil"/>
              <w:bottom w:val="nil"/>
              <w:right w:val="nil"/>
            </w:tcBorders>
            <w:shd w:val="clear" w:color="000000" w:fill="FFFFFF"/>
            <w:noWrap/>
            <w:vAlign w:val="bottom"/>
            <w:hideMark/>
          </w:tcPr>
          <w:p w14:paraId="2CA306EF"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45.5</w:t>
            </w:r>
          </w:p>
        </w:tc>
        <w:tc>
          <w:tcPr>
            <w:tcW w:w="890" w:type="dxa"/>
            <w:tcBorders>
              <w:top w:val="nil"/>
              <w:left w:val="nil"/>
              <w:bottom w:val="nil"/>
              <w:right w:val="nil"/>
            </w:tcBorders>
            <w:shd w:val="clear" w:color="000000" w:fill="FFFFFF"/>
            <w:noWrap/>
            <w:vAlign w:val="bottom"/>
            <w:hideMark/>
          </w:tcPr>
          <w:p w14:paraId="054DD585"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9.8</w:t>
            </w:r>
          </w:p>
        </w:tc>
        <w:tc>
          <w:tcPr>
            <w:tcW w:w="665" w:type="dxa"/>
            <w:tcBorders>
              <w:top w:val="nil"/>
              <w:left w:val="single" w:sz="4" w:space="0" w:color="auto"/>
              <w:bottom w:val="nil"/>
              <w:right w:val="nil"/>
            </w:tcBorders>
            <w:shd w:val="clear" w:color="000000" w:fill="FFFFFF"/>
            <w:noWrap/>
            <w:vAlign w:val="bottom"/>
            <w:hideMark/>
          </w:tcPr>
          <w:p w14:paraId="160508DD"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168.8</w:t>
            </w:r>
          </w:p>
        </w:tc>
        <w:tc>
          <w:tcPr>
            <w:tcW w:w="741" w:type="dxa"/>
            <w:tcBorders>
              <w:top w:val="nil"/>
              <w:left w:val="nil"/>
              <w:bottom w:val="nil"/>
              <w:right w:val="nil"/>
            </w:tcBorders>
            <w:shd w:val="clear" w:color="000000" w:fill="FFFFFF"/>
            <w:noWrap/>
            <w:vAlign w:val="bottom"/>
            <w:hideMark/>
          </w:tcPr>
          <w:p w14:paraId="5A31CCF1"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30.7</w:t>
            </w:r>
          </w:p>
        </w:tc>
        <w:tc>
          <w:tcPr>
            <w:tcW w:w="1084" w:type="dxa"/>
            <w:tcBorders>
              <w:top w:val="nil"/>
              <w:left w:val="nil"/>
              <w:bottom w:val="nil"/>
              <w:right w:val="nil"/>
            </w:tcBorders>
            <w:shd w:val="clear" w:color="000000" w:fill="FFFFFF"/>
            <w:noWrap/>
            <w:vAlign w:val="bottom"/>
            <w:hideMark/>
          </w:tcPr>
          <w:p w14:paraId="43901E68"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92.5</w:t>
            </w:r>
          </w:p>
        </w:tc>
        <w:tc>
          <w:tcPr>
            <w:tcW w:w="1028" w:type="dxa"/>
            <w:tcBorders>
              <w:top w:val="nil"/>
              <w:left w:val="nil"/>
              <w:bottom w:val="nil"/>
              <w:right w:val="nil"/>
            </w:tcBorders>
            <w:shd w:val="clear" w:color="000000" w:fill="FFFFFF"/>
            <w:noWrap/>
            <w:vAlign w:val="bottom"/>
            <w:hideMark/>
          </w:tcPr>
          <w:p w14:paraId="0AEB41FE"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43.4</w:t>
            </w:r>
          </w:p>
        </w:tc>
        <w:tc>
          <w:tcPr>
            <w:tcW w:w="862" w:type="dxa"/>
            <w:tcBorders>
              <w:top w:val="nil"/>
              <w:left w:val="nil"/>
              <w:bottom w:val="nil"/>
              <w:right w:val="nil"/>
            </w:tcBorders>
            <w:shd w:val="clear" w:color="000000" w:fill="FFFFFF"/>
            <w:noWrap/>
            <w:vAlign w:val="bottom"/>
            <w:hideMark/>
          </w:tcPr>
          <w:p w14:paraId="7E4F6850"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8.1</w:t>
            </w:r>
          </w:p>
        </w:tc>
      </w:tr>
      <w:tr w:rsidR="00F94980" w:rsidRPr="00F94980" w14:paraId="47233DE1" w14:textId="77777777" w:rsidTr="00F94980">
        <w:trPr>
          <w:trHeight w:val="320"/>
        </w:trPr>
        <w:tc>
          <w:tcPr>
            <w:tcW w:w="2500" w:type="dxa"/>
            <w:tcBorders>
              <w:top w:val="nil"/>
              <w:left w:val="nil"/>
              <w:bottom w:val="nil"/>
              <w:right w:val="nil"/>
            </w:tcBorders>
            <w:shd w:val="clear" w:color="000000" w:fill="FFFFFF"/>
            <w:noWrap/>
            <w:vAlign w:val="bottom"/>
            <w:hideMark/>
          </w:tcPr>
          <w:p w14:paraId="0D9D0AA9" w14:textId="77777777" w:rsidR="00F94980" w:rsidRPr="00F94980" w:rsidRDefault="00F94980" w:rsidP="00F94980">
            <w:pPr>
              <w:jc w:val="right"/>
              <w:rPr>
                <w:rFonts w:ascii="Calibri" w:eastAsia="Times New Roman" w:hAnsi="Calibri" w:cs="Calibri"/>
                <w:b/>
                <w:bCs/>
                <w:color w:val="000000"/>
                <w:sz w:val="20"/>
                <w:szCs w:val="20"/>
              </w:rPr>
            </w:pPr>
            <w:r w:rsidRPr="00F94980">
              <w:rPr>
                <w:rFonts w:ascii="Calibri" w:eastAsia="Times New Roman" w:hAnsi="Calibri" w:cs="Calibri"/>
                <w:b/>
                <w:bCs/>
                <w:color w:val="000000"/>
                <w:sz w:val="20"/>
                <w:szCs w:val="20"/>
              </w:rPr>
              <w:t>IQR</w:t>
            </w:r>
          </w:p>
        </w:tc>
        <w:tc>
          <w:tcPr>
            <w:tcW w:w="686" w:type="dxa"/>
            <w:tcBorders>
              <w:top w:val="nil"/>
              <w:left w:val="nil"/>
              <w:bottom w:val="nil"/>
              <w:right w:val="nil"/>
            </w:tcBorders>
            <w:shd w:val="clear" w:color="000000" w:fill="FFFFFF"/>
            <w:noWrap/>
            <w:vAlign w:val="bottom"/>
            <w:hideMark/>
          </w:tcPr>
          <w:p w14:paraId="5CAEA3B3"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30.2</w:t>
            </w:r>
          </w:p>
        </w:tc>
        <w:tc>
          <w:tcPr>
            <w:tcW w:w="764" w:type="dxa"/>
            <w:tcBorders>
              <w:top w:val="nil"/>
              <w:left w:val="nil"/>
              <w:bottom w:val="nil"/>
              <w:right w:val="nil"/>
            </w:tcBorders>
            <w:shd w:val="clear" w:color="000000" w:fill="FFFFFF"/>
            <w:noWrap/>
            <w:vAlign w:val="bottom"/>
            <w:hideMark/>
          </w:tcPr>
          <w:p w14:paraId="32CAED9C"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9.5</w:t>
            </w:r>
          </w:p>
        </w:tc>
        <w:tc>
          <w:tcPr>
            <w:tcW w:w="1119" w:type="dxa"/>
            <w:tcBorders>
              <w:top w:val="nil"/>
              <w:left w:val="nil"/>
              <w:bottom w:val="nil"/>
              <w:right w:val="nil"/>
            </w:tcBorders>
            <w:shd w:val="clear" w:color="000000" w:fill="FFFFFF"/>
            <w:noWrap/>
            <w:vAlign w:val="bottom"/>
            <w:hideMark/>
          </w:tcPr>
          <w:p w14:paraId="2E0A3C82"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15.8</w:t>
            </w:r>
          </w:p>
        </w:tc>
        <w:tc>
          <w:tcPr>
            <w:tcW w:w="1061" w:type="dxa"/>
            <w:tcBorders>
              <w:top w:val="nil"/>
              <w:left w:val="nil"/>
              <w:bottom w:val="nil"/>
              <w:right w:val="nil"/>
            </w:tcBorders>
            <w:shd w:val="clear" w:color="000000" w:fill="FFFFFF"/>
            <w:noWrap/>
            <w:vAlign w:val="bottom"/>
            <w:hideMark/>
          </w:tcPr>
          <w:p w14:paraId="59C021F7"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9.0</w:t>
            </w:r>
          </w:p>
        </w:tc>
        <w:tc>
          <w:tcPr>
            <w:tcW w:w="890" w:type="dxa"/>
            <w:tcBorders>
              <w:top w:val="nil"/>
              <w:left w:val="nil"/>
              <w:bottom w:val="nil"/>
              <w:right w:val="nil"/>
            </w:tcBorders>
            <w:shd w:val="clear" w:color="000000" w:fill="FFFFFF"/>
            <w:noWrap/>
            <w:vAlign w:val="bottom"/>
            <w:hideMark/>
          </w:tcPr>
          <w:p w14:paraId="3AE3D94C"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3.3</w:t>
            </w:r>
          </w:p>
        </w:tc>
        <w:tc>
          <w:tcPr>
            <w:tcW w:w="665" w:type="dxa"/>
            <w:tcBorders>
              <w:top w:val="nil"/>
              <w:left w:val="single" w:sz="4" w:space="0" w:color="auto"/>
              <w:bottom w:val="nil"/>
              <w:right w:val="nil"/>
            </w:tcBorders>
            <w:shd w:val="clear" w:color="000000" w:fill="FFFFFF"/>
            <w:noWrap/>
            <w:vAlign w:val="bottom"/>
            <w:hideMark/>
          </w:tcPr>
          <w:p w14:paraId="521406E9"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20.3</w:t>
            </w:r>
          </w:p>
        </w:tc>
        <w:tc>
          <w:tcPr>
            <w:tcW w:w="741" w:type="dxa"/>
            <w:tcBorders>
              <w:top w:val="nil"/>
              <w:left w:val="nil"/>
              <w:bottom w:val="nil"/>
              <w:right w:val="nil"/>
            </w:tcBorders>
            <w:shd w:val="clear" w:color="000000" w:fill="FFFFFF"/>
            <w:noWrap/>
            <w:vAlign w:val="bottom"/>
            <w:hideMark/>
          </w:tcPr>
          <w:p w14:paraId="6559EB5D"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10.4</w:t>
            </w:r>
          </w:p>
        </w:tc>
        <w:tc>
          <w:tcPr>
            <w:tcW w:w="1084" w:type="dxa"/>
            <w:tcBorders>
              <w:top w:val="nil"/>
              <w:left w:val="nil"/>
              <w:bottom w:val="nil"/>
              <w:right w:val="nil"/>
            </w:tcBorders>
            <w:shd w:val="clear" w:color="000000" w:fill="FFFFFF"/>
            <w:noWrap/>
            <w:vAlign w:val="bottom"/>
            <w:hideMark/>
          </w:tcPr>
          <w:p w14:paraId="45A73D01"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14.7</w:t>
            </w:r>
          </w:p>
        </w:tc>
        <w:tc>
          <w:tcPr>
            <w:tcW w:w="1028" w:type="dxa"/>
            <w:tcBorders>
              <w:top w:val="nil"/>
              <w:left w:val="nil"/>
              <w:bottom w:val="nil"/>
              <w:right w:val="nil"/>
            </w:tcBorders>
            <w:shd w:val="clear" w:color="000000" w:fill="FFFFFF"/>
            <w:noWrap/>
            <w:vAlign w:val="bottom"/>
            <w:hideMark/>
          </w:tcPr>
          <w:p w14:paraId="3BDC309F"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5.0</w:t>
            </w:r>
          </w:p>
        </w:tc>
        <w:tc>
          <w:tcPr>
            <w:tcW w:w="862" w:type="dxa"/>
            <w:tcBorders>
              <w:top w:val="nil"/>
              <w:left w:val="nil"/>
              <w:bottom w:val="nil"/>
              <w:right w:val="nil"/>
            </w:tcBorders>
            <w:shd w:val="clear" w:color="000000" w:fill="FFFFFF"/>
            <w:noWrap/>
            <w:vAlign w:val="bottom"/>
            <w:hideMark/>
          </w:tcPr>
          <w:p w14:paraId="094214C3"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2.4</w:t>
            </w:r>
          </w:p>
        </w:tc>
      </w:tr>
      <w:tr w:rsidR="00F94980" w:rsidRPr="00F94980" w14:paraId="121CFB2D" w14:textId="77777777" w:rsidTr="00F94980">
        <w:trPr>
          <w:trHeight w:val="320"/>
        </w:trPr>
        <w:tc>
          <w:tcPr>
            <w:tcW w:w="2500" w:type="dxa"/>
            <w:tcBorders>
              <w:top w:val="nil"/>
              <w:left w:val="nil"/>
              <w:bottom w:val="nil"/>
              <w:right w:val="nil"/>
            </w:tcBorders>
            <w:shd w:val="clear" w:color="000000" w:fill="FFFFFF"/>
            <w:noWrap/>
            <w:vAlign w:val="bottom"/>
            <w:hideMark/>
          </w:tcPr>
          <w:p w14:paraId="2E09ADB1" w14:textId="77777777" w:rsidR="00F94980" w:rsidRPr="00F94980" w:rsidRDefault="00F94980" w:rsidP="00F94980">
            <w:pPr>
              <w:jc w:val="right"/>
              <w:rPr>
                <w:rFonts w:ascii="Calibri" w:eastAsia="Times New Roman" w:hAnsi="Calibri" w:cs="Calibri"/>
                <w:b/>
                <w:bCs/>
                <w:i/>
                <w:iCs/>
                <w:color w:val="000000"/>
                <w:sz w:val="20"/>
                <w:szCs w:val="20"/>
              </w:rPr>
            </w:pPr>
            <w:r w:rsidRPr="00F94980">
              <w:rPr>
                <w:rFonts w:ascii="Calibri" w:eastAsia="Times New Roman" w:hAnsi="Calibri" w:cs="Calibri"/>
                <w:b/>
                <w:bCs/>
                <w:i/>
                <w:iCs/>
                <w:color w:val="000000"/>
                <w:sz w:val="20"/>
                <w:szCs w:val="20"/>
              </w:rPr>
              <w:t xml:space="preserve">p-value </w:t>
            </w:r>
            <w:proofErr w:type="spellStart"/>
            <w:proofErr w:type="gramStart"/>
            <w:r w:rsidRPr="00F94980">
              <w:rPr>
                <w:rFonts w:ascii="Calibri" w:eastAsia="Times New Roman" w:hAnsi="Calibri" w:cs="Calibri"/>
                <w:b/>
                <w:bCs/>
                <w:i/>
                <w:iCs/>
                <w:color w:val="000000"/>
                <w:sz w:val="20"/>
                <w:szCs w:val="20"/>
              </w:rPr>
              <w:t>Rural:Urban</w:t>
            </w:r>
            <w:proofErr w:type="spellEnd"/>
            <w:proofErr w:type="gramEnd"/>
          </w:p>
        </w:tc>
        <w:tc>
          <w:tcPr>
            <w:tcW w:w="686" w:type="dxa"/>
            <w:tcBorders>
              <w:top w:val="nil"/>
              <w:left w:val="nil"/>
              <w:bottom w:val="nil"/>
              <w:right w:val="nil"/>
            </w:tcBorders>
            <w:shd w:val="clear" w:color="000000" w:fill="FFFFFF"/>
            <w:noWrap/>
            <w:vAlign w:val="bottom"/>
            <w:hideMark/>
          </w:tcPr>
          <w:p w14:paraId="445927AE" w14:textId="77777777" w:rsidR="00F94980" w:rsidRPr="00F94980" w:rsidRDefault="00F94980" w:rsidP="00F94980">
            <w:pPr>
              <w:jc w:val="center"/>
              <w:rPr>
                <w:rFonts w:ascii="Calibri" w:eastAsia="Times New Roman" w:hAnsi="Calibri" w:cs="Calibri"/>
                <w:i/>
                <w:iCs/>
                <w:color w:val="000000"/>
                <w:sz w:val="20"/>
                <w:szCs w:val="20"/>
              </w:rPr>
            </w:pPr>
            <w:r w:rsidRPr="00F94980">
              <w:rPr>
                <w:rFonts w:ascii="Calibri" w:eastAsia="Times New Roman" w:hAnsi="Calibri" w:cs="Calibri"/>
                <w:i/>
                <w:iCs/>
                <w:color w:val="000000"/>
                <w:sz w:val="20"/>
                <w:szCs w:val="20"/>
              </w:rPr>
              <w:t>0.049</w:t>
            </w:r>
          </w:p>
        </w:tc>
        <w:tc>
          <w:tcPr>
            <w:tcW w:w="764" w:type="dxa"/>
            <w:tcBorders>
              <w:top w:val="nil"/>
              <w:left w:val="nil"/>
              <w:bottom w:val="nil"/>
              <w:right w:val="nil"/>
            </w:tcBorders>
            <w:shd w:val="clear" w:color="000000" w:fill="FFFFFF"/>
            <w:noWrap/>
            <w:vAlign w:val="bottom"/>
            <w:hideMark/>
          </w:tcPr>
          <w:p w14:paraId="2B5429E2" w14:textId="77777777" w:rsidR="00F94980" w:rsidRPr="00F94980" w:rsidRDefault="00F94980" w:rsidP="00F94980">
            <w:pPr>
              <w:jc w:val="center"/>
              <w:rPr>
                <w:rFonts w:ascii="Calibri" w:eastAsia="Times New Roman" w:hAnsi="Calibri" w:cs="Calibri"/>
                <w:i/>
                <w:iCs/>
                <w:color w:val="000000"/>
                <w:sz w:val="20"/>
                <w:szCs w:val="20"/>
              </w:rPr>
            </w:pPr>
            <w:r w:rsidRPr="00F94980">
              <w:rPr>
                <w:rFonts w:ascii="Calibri" w:eastAsia="Times New Roman" w:hAnsi="Calibri" w:cs="Calibri"/>
                <w:i/>
                <w:iCs/>
                <w:color w:val="000000"/>
                <w:sz w:val="20"/>
                <w:szCs w:val="20"/>
              </w:rPr>
              <w:t>0.718</w:t>
            </w:r>
          </w:p>
        </w:tc>
        <w:tc>
          <w:tcPr>
            <w:tcW w:w="1119" w:type="dxa"/>
            <w:tcBorders>
              <w:top w:val="nil"/>
              <w:left w:val="nil"/>
              <w:bottom w:val="nil"/>
              <w:right w:val="nil"/>
            </w:tcBorders>
            <w:shd w:val="clear" w:color="000000" w:fill="FFFFFF"/>
            <w:noWrap/>
            <w:vAlign w:val="bottom"/>
            <w:hideMark/>
          </w:tcPr>
          <w:p w14:paraId="56D79D9D" w14:textId="77777777" w:rsidR="00F94980" w:rsidRPr="00F94980" w:rsidRDefault="00F94980" w:rsidP="00F94980">
            <w:pPr>
              <w:jc w:val="center"/>
              <w:rPr>
                <w:rFonts w:ascii="Calibri" w:eastAsia="Times New Roman" w:hAnsi="Calibri" w:cs="Calibri"/>
                <w:i/>
                <w:iCs/>
                <w:color w:val="000000"/>
                <w:sz w:val="20"/>
                <w:szCs w:val="20"/>
              </w:rPr>
            </w:pPr>
            <w:r w:rsidRPr="00F94980">
              <w:rPr>
                <w:rFonts w:ascii="Calibri" w:eastAsia="Times New Roman" w:hAnsi="Calibri" w:cs="Calibri"/>
                <w:i/>
                <w:iCs/>
                <w:color w:val="000000"/>
                <w:sz w:val="20"/>
                <w:szCs w:val="20"/>
              </w:rPr>
              <w:t>0.135</w:t>
            </w:r>
          </w:p>
        </w:tc>
        <w:tc>
          <w:tcPr>
            <w:tcW w:w="1061" w:type="dxa"/>
            <w:tcBorders>
              <w:top w:val="nil"/>
              <w:left w:val="nil"/>
              <w:bottom w:val="nil"/>
              <w:right w:val="nil"/>
            </w:tcBorders>
            <w:shd w:val="clear" w:color="000000" w:fill="FFFFFF"/>
            <w:noWrap/>
            <w:vAlign w:val="bottom"/>
            <w:hideMark/>
          </w:tcPr>
          <w:p w14:paraId="28C67A0F" w14:textId="77777777" w:rsidR="00F94980" w:rsidRPr="00F94980" w:rsidRDefault="00F94980" w:rsidP="00F94980">
            <w:pPr>
              <w:jc w:val="center"/>
              <w:rPr>
                <w:rFonts w:ascii="Calibri" w:eastAsia="Times New Roman" w:hAnsi="Calibri" w:cs="Calibri"/>
                <w:i/>
                <w:iCs/>
                <w:color w:val="000000"/>
                <w:sz w:val="20"/>
                <w:szCs w:val="20"/>
              </w:rPr>
            </w:pPr>
            <w:r w:rsidRPr="00F94980">
              <w:rPr>
                <w:rFonts w:ascii="Calibri" w:eastAsia="Times New Roman" w:hAnsi="Calibri" w:cs="Calibri"/>
                <w:i/>
                <w:iCs/>
                <w:color w:val="000000"/>
                <w:sz w:val="20"/>
                <w:szCs w:val="20"/>
              </w:rPr>
              <w:t>0.611</w:t>
            </w:r>
          </w:p>
        </w:tc>
        <w:tc>
          <w:tcPr>
            <w:tcW w:w="890" w:type="dxa"/>
            <w:tcBorders>
              <w:top w:val="nil"/>
              <w:left w:val="nil"/>
              <w:bottom w:val="nil"/>
              <w:right w:val="nil"/>
            </w:tcBorders>
            <w:shd w:val="clear" w:color="000000" w:fill="FFFFFF"/>
            <w:noWrap/>
            <w:vAlign w:val="bottom"/>
            <w:hideMark/>
          </w:tcPr>
          <w:p w14:paraId="61456C1C" w14:textId="77777777" w:rsidR="00F94980" w:rsidRPr="00F94980" w:rsidRDefault="00F94980" w:rsidP="00F94980">
            <w:pPr>
              <w:jc w:val="center"/>
              <w:rPr>
                <w:rFonts w:ascii="Calibri" w:eastAsia="Times New Roman" w:hAnsi="Calibri" w:cs="Calibri"/>
                <w:i/>
                <w:iCs/>
                <w:color w:val="000000"/>
                <w:sz w:val="20"/>
                <w:szCs w:val="20"/>
              </w:rPr>
            </w:pPr>
            <w:r w:rsidRPr="00F94980">
              <w:rPr>
                <w:rFonts w:ascii="Calibri" w:eastAsia="Times New Roman" w:hAnsi="Calibri" w:cs="Calibri"/>
                <w:i/>
                <w:iCs/>
                <w:color w:val="000000"/>
                <w:sz w:val="20"/>
                <w:szCs w:val="20"/>
              </w:rPr>
              <w:t>0.074</w:t>
            </w:r>
          </w:p>
        </w:tc>
        <w:tc>
          <w:tcPr>
            <w:tcW w:w="665" w:type="dxa"/>
            <w:tcBorders>
              <w:top w:val="nil"/>
              <w:left w:val="single" w:sz="4" w:space="0" w:color="auto"/>
              <w:bottom w:val="nil"/>
              <w:right w:val="nil"/>
            </w:tcBorders>
            <w:shd w:val="clear" w:color="000000" w:fill="FFFFFF"/>
            <w:noWrap/>
            <w:vAlign w:val="bottom"/>
            <w:hideMark/>
          </w:tcPr>
          <w:p w14:paraId="3F516622"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 </w:t>
            </w:r>
          </w:p>
        </w:tc>
        <w:tc>
          <w:tcPr>
            <w:tcW w:w="741" w:type="dxa"/>
            <w:tcBorders>
              <w:top w:val="nil"/>
              <w:left w:val="nil"/>
              <w:bottom w:val="nil"/>
              <w:right w:val="nil"/>
            </w:tcBorders>
            <w:shd w:val="clear" w:color="000000" w:fill="FFFFFF"/>
            <w:noWrap/>
            <w:vAlign w:val="bottom"/>
            <w:hideMark/>
          </w:tcPr>
          <w:p w14:paraId="30C7F8C6"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 </w:t>
            </w:r>
          </w:p>
        </w:tc>
        <w:tc>
          <w:tcPr>
            <w:tcW w:w="1084" w:type="dxa"/>
            <w:tcBorders>
              <w:top w:val="nil"/>
              <w:left w:val="nil"/>
              <w:bottom w:val="nil"/>
              <w:right w:val="nil"/>
            </w:tcBorders>
            <w:shd w:val="clear" w:color="000000" w:fill="FFFFFF"/>
            <w:noWrap/>
            <w:vAlign w:val="bottom"/>
            <w:hideMark/>
          </w:tcPr>
          <w:p w14:paraId="029F9648"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 </w:t>
            </w:r>
          </w:p>
        </w:tc>
        <w:tc>
          <w:tcPr>
            <w:tcW w:w="1028" w:type="dxa"/>
            <w:tcBorders>
              <w:top w:val="nil"/>
              <w:left w:val="nil"/>
              <w:bottom w:val="nil"/>
              <w:right w:val="nil"/>
            </w:tcBorders>
            <w:shd w:val="clear" w:color="000000" w:fill="FFFFFF"/>
            <w:noWrap/>
            <w:vAlign w:val="bottom"/>
            <w:hideMark/>
          </w:tcPr>
          <w:p w14:paraId="3F54ED2C"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 </w:t>
            </w:r>
          </w:p>
        </w:tc>
        <w:tc>
          <w:tcPr>
            <w:tcW w:w="862" w:type="dxa"/>
            <w:tcBorders>
              <w:top w:val="nil"/>
              <w:left w:val="nil"/>
              <w:bottom w:val="nil"/>
              <w:right w:val="nil"/>
            </w:tcBorders>
            <w:shd w:val="clear" w:color="000000" w:fill="FFFFFF"/>
            <w:noWrap/>
            <w:vAlign w:val="bottom"/>
            <w:hideMark/>
          </w:tcPr>
          <w:p w14:paraId="381B807D" w14:textId="77777777" w:rsidR="00F94980" w:rsidRPr="00F94980" w:rsidRDefault="00F94980" w:rsidP="00F94980">
            <w:pPr>
              <w:jc w:val="center"/>
              <w:rPr>
                <w:rFonts w:ascii="Calibri" w:eastAsia="Times New Roman" w:hAnsi="Calibri" w:cs="Calibri"/>
                <w:color w:val="000000"/>
                <w:sz w:val="20"/>
                <w:szCs w:val="20"/>
              </w:rPr>
            </w:pPr>
            <w:r w:rsidRPr="00F94980">
              <w:rPr>
                <w:rFonts w:ascii="Calibri" w:eastAsia="Times New Roman" w:hAnsi="Calibri" w:cs="Calibri"/>
                <w:color w:val="000000"/>
                <w:sz w:val="20"/>
                <w:szCs w:val="20"/>
              </w:rPr>
              <w:t> </w:t>
            </w:r>
          </w:p>
        </w:tc>
      </w:tr>
    </w:tbl>
    <w:p w14:paraId="08E0CF2A" w14:textId="77777777" w:rsidR="00F94980" w:rsidRDefault="00F94980">
      <w:pPr>
        <w:rPr>
          <w:rFonts w:ascii="Times New Roman" w:hAnsi="Times New Roman" w:cs="Times New Roman"/>
          <w:b/>
          <w:bCs/>
          <w:sz w:val="22"/>
          <w:szCs w:val="22"/>
        </w:rPr>
        <w:sectPr w:rsidR="00F94980" w:rsidSect="00F94980">
          <w:pgSz w:w="15840" w:h="12240" w:orient="landscape"/>
          <w:pgMar w:top="1440" w:right="1440" w:bottom="1440" w:left="1440" w:header="720" w:footer="720" w:gutter="0"/>
          <w:cols w:space="720"/>
          <w:docGrid w:linePitch="360"/>
        </w:sectPr>
      </w:pPr>
    </w:p>
    <w:p w14:paraId="62FD8368" w14:textId="36A7B8C9" w:rsidR="00F94980" w:rsidRDefault="00F94980">
      <w:pPr>
        <w:rPr>
          <w:rFonts w:ascii="Times New Roman" w:hAnsi="Times New Roman" w:cs="Times New Roman"/>
          <w:b/>
          <w:bCs/>
          <w:sz w:val="22"/>
          <w:szCs w:val="22"/>
        </w:rPr>
      </w:pPr>
    </w:p>
    <w:p w14:paraId="130D4C30" w14:textId="00AD9557" w:rsidR="00F94980" w:rsidRDefault="00F94980" w:rsidP="00F94980">
      <w:pPr>
        <w:jc w:val="center"/>
        <w:rPr>
          <w:rFonts w:ascii="Times New Roman" w:hAnsi="Times New Roman" w:cs="Times New Roman"/>
          <w:b/>
          <w:bCs/>
          <w:sz w:val="22"/>
          <w:szCs w:val="22"/>
        </w:rPr>
      </w:pPr>
      <w:r w:rsidRPr="00F94980">
        <w:rPr>
          <w:rFonts w:ascii="Times New Roman" w:hAnsi="Times New Roman" w:cs="Times New Roman"/>
          <w:b/>
          <w:bCs/>
          <w:sz w:val="22"/>
          <w:szCs w:val="22"/>
        </w:rPr>
        <w:drawing>
          <wp:inline distT="0" distB="0" distL="0" distR="0" wp14:anchorId="1E46E7F9" wp14:editId="668CAA3B">
            <wp:extent cx="4764561" cy="6551271"/>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70266" cy="6559116"/>
                    </a:xfrm>
                    <a:prstGeom prst="rect">
                      <a:avLst/>
                    </a:prstGeom>
                  </pic:spPr>
                </pic:pic>
              </a:graphicData>
            </a:graphic>
          </wp:inline>
        </w:drawing>
      </w:r>
    </w:p>
    <w:p w14:paraId="24BD7E57" w14:textId="5AD5CEA4" w:rsidR="00F94980" w:rsidRPr="00F94980" w:rsidRDefault="00F94980" w:rsidP="00F94980">
      <w:pPr>
        <w:rPr>
          <w:rFonts w:ascii="Times New Roman" w:hAnsi="Times New Roman" w:cs="Times New Roman"/>
          <w:b/>
          <w:bCs/>
          <w:sz w:val="22"/>
          <w:szCs w:val="22"/>
        </w:rPr>
      </w:pPr>
      <w:r w:rsidRPr="00F94980">
        <w:rPr>
          <w:rFonts w:ascii="Times New Roman" w:hAnsi="Times New Roman" w:cs="Times New Roman"/>
          <w:b/>
          <w:bCs/>
          <w:sz w:val="22"/>
          <w:szCs w:val="22"/>
        </w:rPr>
        <w:t>Supplementa</w:t>
      </w:r>
      <w:r w:rsidR="0074785C">
        <w:rPr>
          <w:rFonts w:ascii="Times New Roman" w:hAnsi="Times New Roman" w:cs="Times New Roman"/>
          <w:b/>
          <w:bCs/>
          <w:sz w:val="22"/>
          <w:szCs w:val="22"/>
        </w:rPr>
        <w:t>l</w:t>
      </w:r>
      <w:r w:rsidRPr="00F94980">
        <w:rPr>
          <w:rFonts w:ascii="Times New Roman" w:hAnsi="Times New Roman" w:cs="Times New Roman"/>
          <w:b/>
          <w:bCs/>
          <w:sz w:val="22"/>
          <w:szCs w:val="22"/>
        </w:rPr>
        <w:t xml:space="preserve"> Figure 1. Age-Standardized Breast Cancer Incidence Rates by County</w:t>
      </w:r>
    </w:p>
    <w:p w14:paraId="4F4535F2" w14:textId="14A49751" w:rsidR="00F94980" w:rsidRPr="00F94980" w:rsidRDefault="00F94980" w:rsidP="00F94980">
      <w:pPr>
        <w:rPr>
          <w:rFonts w:ascii="Times New Roman" w:hAnsi="Times New Roman" w:cs="Times New Roman"/>
          <w:sz w:val="22"/>
          <w:szCs w:val="22"/>
        </w:rPr>
      </w:pPr>
      <w:r w:rsidRPr="00F94980">
        <w:rPr>
          <w:rFonts w:ascii="Times New Roman" w:hAnsi="Times New Roman" w:cs="Times New Roman"/>
          <w:sz w:val="22"/>
          <w:szCs w:val="22"/>
        </w:rPr>
        <w:t>Quartiled annual age-standardized incidence rates for (A) total, (B) in situ carcinoma, (C) localized, (D) regional, and (E) distant breast cancer in North Carolina, 2010-2014. Data sourced from the NC Central Cancer Registry, adjusted to the US 2000 Census.</w:t>
      </w:r>
    </w:p>
    <w:sectPr w:rsidR="00F94980" w:rsidRPr="00F94980" w:rsidSect="002D5BE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FB841D" w14:textId="77777777" w:rsidR="00282DF3" w:rsidRDefault="00282DF3">
      <w:r>
        <w:separator/>
      </w:r>
    </w:p>
  </w:endnote>
  <w:endnote w:type="continuationSeparator" w:id="0">
    <w:p w14:paraId="429E0395" w14:textId="77777777" w:rsidR="00282DF3" w:rsidRDefault="00282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9CC412" w14:textId="77777777" w:rsidR="00282DF3" w:rsidRDefault="00282DF3">
      <w:r>
        <w:separator/>
      </w:r>
    </w:p>
  </w:footnote>
  <w:footnote w:type="continuationSeparator" w:id="0">
    <w:p w14:paraId="3CB352BA" w14:textId="77777777" w:rsidR="00282DF3" w:rsidRDefault="00282D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5D4105"/>
    <w:multiLevelType w:val="hybridMultilevel"/>
    <w:tmpl w:val="32A2DB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ancer AC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eaer5pdytfwz2ex9x25dz5g5wszztwre0rp&quot;&gt;EQI Manuscript-Converted&lt;record-ids&gt;&lt;item&gt;1&lt;/item&gt;&lt;item&gt;2&lt;/item&gt;&lt;item&gt;3&lt;/item&gt;&lt;item&gt;4&lt;/item&gt;&lt;item&gt;12&lt;/item&gt;&lt;item&gt;17&lt;/item&gt;&lt;item&gt;19&lt;/item&gt;&lt;item&gt;20&lt;/item&gt;&lt;item&gt;23&lt;/item&gt;&lt;item&gt;24&lt;/item&gt;&lt;item&gt;25&lt;/item&gt;&lt;item&gt;26&lt;/item&gt;&lt;item&gt;27&lt;/item&gt;&lt;item&gt;28&lt;/item&gt;&lt;item&gt;29&lt;/item&gt;&lt;item&gt;30&lt;/item&gt;&lt;item&gt;31&lt;/item&gt;&lt;item&gt;32&lt;/item&gt;&lt;item&gt;33&lt;/item&gt;&lt;item&gt;34&lt;/item&gt;&lt;item&gt;35&lt;/item&gt;&lt;item&gt;37&lt;/item&gt;&lt;item&gt;38&lt;/item&gt;&lt;item&gt;39&lt;/item&gt;&lt;item&gt;40&lt;/item&gt;&lt;item&gt;41&lt;/item&gt;&lt;item&gt;59&lt;/item&gt;&lt;item&gt;64&lt;/item&gt;&lt;item&gt;74&lt;/item&gt;&lt;/record-ids&gt;&lt;/item&gt;&lt;/Libraries&gt;"/>
  </w:docVars>
  <w:rsids>
    <w:rsidRoot w:val="00F04DF7"/>
    <w:rsid w:val="0003122B"/>
    <w:rsid w:val="00052273"/>
    <w:rsid w:val="00083946"/>
    <w:rsid w:val="000D0DE3"/>
    <w:rsid w:val="00107215"/>
    <w:rsid w:val="00125003"/>
    <w:rsid w:val="00142488"/>
    <w:rsid w:val="00155BF5"/>
    <w:rsid w:val="00160077"/>
    <w:rsid w:val="001A7635"/>
    <w:rsid w:val="00205CEC"/>
    <w:rsid w:val="00231161"/>
    <w:rsid w:val="002507D3"/>
    <w:rsid w:val="00260935"/>
    <w:rsid w:val="00263262"/>
    <w:rsid w:val="00282DF3"/>
    <w:rsid w:val="002A43A0"/>
    <w:rsid w:val="002A6D05"/>
    <w:rsid w:val="002D4601"/>
    <w:rsid w:val="002D5BE5"/>
    <w:rsid w:val="002E0FF4"/>
    <w:rsid w:val="002E6A21"/>
    <w:rsid w:val="00332FBE"/>
    <w:rsid w:val="003631CD"/>
    <w:rsid w:val="00372631"/>
    <w:rsid w:val="0037513C"/>
    <w:rsid w:val="00390C8D"/>
    <w:rsid w:val="003B4473"/>
    <w:rsid w:val="003B7540"/>
    <w:rsid w:val="003D21DF"/>
    <w:rsid w:val="00414EA1"/>
    <w:rsid w:val="00422FB9"/>
    <w:rsid w:val="00430FF8"/>
    <w:rsid w:val="00432C5D"/>
    <w:rsid w:val="004362A7"/>
    <w:rsid w:val="0047438A"/>
    <w:rsid w:val="00476CB5"/>
    <w:rsid w:val="004A075E"/>
    <w:rsid w:val="004B277F"/>
    <w:rsid w:val="004D51EE"/>
    <w:rsid w:val="004E4B6B"/>
    <w:rsid w:val="004F6D0F"/>
    <w:rsid w:val="0055607D"/>
    <w:rsid w:val="005628F3"/>
    <w:rsid w:val="00590121"/>
    <w:rsid w:val="005A56E6"/>
    <w:rsid w:val="005C5D0E"/>
    <w:rsid w:val="006020BF"/>
    <w:rsid w:val="006021A4"/>
    <w:rsid w:val="00606CC7"/>
    <w:rsid w:val="006328B4"/>
    <w:rsid w:val="00633417"/>
    <w:rsid w:val="00660357"/>
    <w:rsid w:val="00667A83"/>
    <w:rsid w:val="00680160"/>
    <w:rsid w:val="00691243"/>
    <w:rsid w:val="00697D43"/>
    <w:rsid w:val="006B1D95"/>
    <w:rsid w:val="006C71B0"/>
    <w:rsid w:val="006D748E"/>
    <w:rsid w:val="006F297C"/>
    <w:rsid w:val="007426C9"/>
    <w:rsid w:val="0074785C"/>
    <w:rsid w:val="00751083"/>
    <w:rsid w:val="00786CE1"/>
    <w:rsid w:val="007A0FA1"/>
    <w:rsid w:val="007A727E"/>
    <w:rsid w:val="00834C28"/>
    <w:rsid w:val="008573DB"/>
    <w:rsid w:val="00881653"/>
    <w:rsid w:val="008A4CF7"/>
    <w:rsid w:val="008A7D10"/>
    <w:rsid w:val="008B047C"/>
    <w:rsid w:val="008B7336"/>
    <w:rsid w:val="009035E0"/>
    <w:rsid w:val="00906DDC"/>
    <w:rsid w:val="009130F3"/>
    <w:rsid w:val="00923853"/>
    <w:rsid w:val="0092781E"/>
    <w:rsid w:val="00945656"/>
    <w:rsid w:val="00965705"/>
    <w:rsid w:val="009830A2"/>
    <w:rsid w:val="009A010A"/>
    <w:rsid w:val="009B0D1A"/>
    <w:rsid w:val="009D71DF"/>
    <w:rsid w:val="00A03150"/>
    <w:rsid w:val="00A1002B"/>
    <w:rsid w:val="00A40802"/>
    <w:rsid w:val="00A51C17"/>
    <w:rsid w:val="00A9035B"/>
    <w:rsid w:val="00AB4888"/>
    <w:rsid w:val="00AC6D49"/>
    <w:rsid w:val="00AD5E71"/>
    <w:rsid w:val="00AD72D0"/>
    <w:rsid w:val="00AE0019"/>
    <w:rsid w:val="00B23B31"/>
    <w:rsid w:val="00B766BB"/>
    <w:rsid w:val="00B87E5A"/>
    <w:rsid w:val="00B91E3D"/>
    <w:rsid w:val="00BA2AA8"/>
    <w:rsid w:val="00BA7680"/>
    <w:rsid w:val="00BB59CD"/>
    <w:rsid w:val="00BC4C31"/>
    <w:rsid w:val="00BD668B"/>
    <w:rsid w:val="00C365D7"/>
    <w:rsid w:val="00C40028"/>
    <w:rsid w:val="00C6226F"/>
    <w:rsid w:val="00C74579"/>
    <w:rsid w:val="00C761E9"/>
    <w:rsid w:val="00CA2391"/>
    <w:rsid w:val="00CA41E2"/>
    <w:rsid w:val="00CA6091"/>
    <w:rsid w:val="00CD0BF9"/>
    <w:rsid w:val="00CD463C"/>
    <w:rsid w:val="00D26494"/>
    <w:rsid w:val="00D34F32"/>
    <w:rsid w:val="00D76A0C"/>
    <w:rsid w:val="00DA05AE"/>
    <w:rsid w:val="00DA0B05"/>
    <w:rsid w:val="00DA2A60"/>
    <w:rsid w:val="00DA5B27"/>
    <w:rsid w:val="00DB5DFE"/>
    <w:rsid w:val="00DC53A6"/>
    <w:rsid w:val="00DD2257"/>
    <w:rsid w:val="00E158C9"/>
    <w:rsid w:val="00E429B0"/>
    <w:rsid w:val="00E43789"/>
    <w:rsid w:val="00E80194"/>
    <w:rsid w:val="00E8113B"/>
    <w:rsid w:val="00E93E5B"/>
    <w:rsid w:val="00EC1A2C"/>
    <w:rsid w:val="00ED63A2"/>
    <w:rsid w:val="00ED732D"/>
    <w:rsid w:val="00EE26DE"/>
    <w:rsid w:val="00F04DF7"/>
    <w:rsid w:val="00F0671F"/>
    <w:rsid w:val="00F94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4193B9"/>
  <w15:chartTrackingRefBased/>
  <w15:docId w15:val="{1B288539-CDAE-6048-996B-4A9BA1838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DF7"/>
    <w:pPr>
      <w:ind w:left="720"/>
      <w:contextualSpacing/>
    </w:pPr>
  </w:style>
  <w:style w:type="character" w:styleId="CommentReference">
    <w:name w:val="annotation reference"/>
    <w:basedOn w:val="DefaultParagraphFont"/>
    <w:uiPriority w:val="99"/>
    <w:semiHidden/>
    <w:unhideWhenUsed/>
    <w:rsid w:val="00F04DF7"/>
    <w:rPr>
      <w:sz w:val="16"/>
      <w:szCs w:val="16"/>
    </w:rPr>
  </w:style>
  <w:style w:type="paragraph" w:styleId="CommentText">
    <w:name w:val="annotation text"/>
    <w:basedOn w:val="Normal"/>
    <w:link w:val="CommentTextChar"/>
    <w:uiPriority w:val="99"/>
    <w:semiHidden/>
    <w:unhideWhenUsed/>
    <w:rsid w:val="00F04DF7"/>
    <w:rPr>
      <w:sz w:val="20"/>
      <w:szCs w:val="20"/>
    </w:rPr>
  </w:style>
  <w:style w:type="character" w:customStyle="1" w:styleId="CommentTextChar">
    <w:name w:val="Comment Text Char"/>
    <w:basedOn w:val="DefaultParagraphFont"/>
    <w:link w:val="CommentText"/>
    <w:uiPriority w:val="99"/>
    <w:semiHidden/>
    <w:rsid w:val="00F04DF7"/>
    <w:rPr>
      <w:sz w:val="20"/>
      <w:szCs w:val="20"/>
    </w:rPr>
  </w:style>
  <w:style w:type="paragraph" w:styleId="CommentSubject">
    <w:name w:val="annotation subject"/>
    <w:basedOn w:val="CommentText"/>
    <w:next w:val="CommentText"/>
    <w:link w:val="CommentSubjectChar"/>
    <w:uiPriority w:val="99"/>
    <w:semiHidden/>
    <w:unhideWhenUsed/>
    <w:rsid w:val="00F04DF7"/>
    <w:rPr>
      <w:b/>
      <w:bCs/>
    </w:rPr>
  </w:style>
  <w:style w:type="character" w:customStyle="1" w:styleId="CommentSubjectChar">
    <w:name w:val="Comment Subject Char"/>
    <w:basedOn w:val="CommentTextChar"/>
    <w:link w:val="CommentSubject"/>
    <w:uiPriority w:val="99"/>
    <w:semiHidden/>
    <w:rsid w:val="00F04DF7"/>
    <w:rPr>
      <w:b/>
      <w:bCs/>
      <w:sz w:val="20"/>
      <w:szCs w:val="20"/>
    </w:rPr>
  </w:style>
  <w:style w:type="paragraph" w:styleId="BalloonText">
    <w:name w:val="Balloon Text"/>
    <w:basedOn w:val="Normal"/>
    <w:link w:val="BalloonTextChar"/>
    <w:uiPriority w:val="99"/>
    <w:semiHidden/>
    <w:unhideWhenUsed/>
    <w:rsid w:val="00F04D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4DF7"/>
    <w:rPr>
      <w:rFonts w:ascii="Segoe UI" w:hAnsi="Segoe UI" w:cs="Segoe UI"/>
      <w:sz w:val="18"/>
      <w:szCs w:val="18"/>
    </w:rPr>
  </w:style>
  <w:style w:type="character" w:styleId="Hyperlink">
    <w:name w:val="Hyperlink"/>
    <w:basedOn w:val="DefaultParagraphFont"/>
    <w:uiPriority w:val="99"/>
    <w:unhideWhenUsed/>
    <w:rsid w:val="00F04DF7"/>
    <w:rPr>
      <w:color w:val="0563C1" w:themeColor="hyperlink"/>
      <w:u w:val="single"/>
    </w:rPr>
  </w:style>
  <w:style w:type="character" w:customStyle="1" w:styleId="UnresolvedMention1">
    <w:name w:val="Unresolved Mention1"/>
    <w:basedOn w:val="DefaultParagraphFont"/>
    <w:uiPriority w:val="99"/>
    <w:semiHidden/>
    <w:unhideWhenUsed/>
    <w:rsid w:val="00F04DF7"/>
    <w:rPr>
      <w:color w:val="605E5C"/>
      <w:shd w:val="clear" w:color="auto" w:fill="E1DFDD"/>
    </w:rPr>
  </w:style>
  <w:style w:type="paragraph" w:styleId="Footer">
    <w:name w:val="footer"/>
    <w:basedOn w:val="Normal"/>
    <w:link w:val="FooterChar"/>
    <w:uiPriority w:val="99"/>
    <w:unhideWhenUsed/>
    <w:rsid w:val="00F04DF7"/>
    <w:pPr>
      <w:tabs>
        <w:tab w:val="center" w:pos="4680"/>
        <w:tab w:val="right" w:pos="9360"/>
      </w:tabs>
    </w:pPr>
  </w:style>
  <w:style w:type="character" w:customStyle="1" w:styleId="FooterChar">
    <w:name w:val="Footer Char"/>
    <w:basedOn w:val="DefaultParagraphFont"/>
    <w:link w:val="Footer"/>
    <w:uiPriority w:val="99"/>
    <w:rsid w:val="00F04DF7"/>
  </w:style>
  <w:style w:type="character" w:styleId="PageNumber">
    <w:name w:val="page number"/>
    <w:basedOn w:val="DefaultParagraphFont"/>
    <w:uiPriority w:val="99"/>
    <w:semiHidden/>
    <w:unhideWhenUsed/>
    <w:rsid w:val="00F04DF7"/>
  </w:style>
  <w:style w:type="paragraph" w:customStyle="1" w:styleId="EndNoteBibliographyTitle">
    <w:name w:val="EndNote Bibliography Title"/>
    <w:basedOn w:val="Normal"/>
    <w:link w:val="EndNoteBibliographyTitleChar"/>
    <w:rsid w:val="00F04DF7"/>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F04DF7"/>
    <w:rPr>
      <w:rFonts w:ascii="Calibri" w:hAnsi="Calibri" w:cs="Calibri"/>
    </w:rPr>
  </w:style>
  <w:style w:type="paragraph" w:customStyle="1" w:styleId="EndNoteBibliography">
    <w:name w:val="EndNote Bibliography"/>
    <w:basedOn w:val="Normal"/>
    <w:link w:val="EndNoteBibliographyChar"/>
    <w:rsid w:val="00F04DF7"/>
    <w:rPr>
      <w:rFonts w:ascii="Calibri" w:hAnsi="Calibri" w:cs="Calibri"/>
    </w:rPr>
  </w:style>
  <w:style w:type="character" w:customStyle="1" w:styleId="EndNoteBibliographyChar">
    <w:name w:val="EndNote Bibliography Char"/>
    <w:basedOn w:val="DefaultParagraphFont"/>
    <w:link w:val="EndNoteBibliography"/>
    <w:rsid w:val="00F04DF7"/>
    <w:rPr>
      <w:rFonts w:ascii="Calibri" w:hAnsi="Calibri" w:cs="Calibri"/>
    </w:rPr>
  </w:style>
  <w:style w:type="paragraph" w:styleId="Header">
    <w:name w:val="header"/>
    <w:basedOn w:val="Normal"/>
    <w:link w:val="HeaderChar"/>
    <w:uiPriority w:val="99"/>
    <w:unhideWhenUsed/>
    <w:rsid w:val="00F04DF7"/>
    <w:pPr>
      <w:tabs>
        <w:tab w:val="center" w:pos="4680"/>
        <w:tab w:val="right" w:pos="9360"/>
      </w:tabs>
    </w:pPr>
  </w:style>
  <w:style w:type="character" w:customStyle="1" w:styleId="HeaderChar">
    <w:name w:val="Header Char"/>
    <w:basedOn w:val="DefaultParagraphFont"/>
    <w:link w:val="Header"/>
    <w:uiPriority w:val="99"/>
    <w:rsid w:val="00F04DF7"/>
  </w:style>
  <w:style w:type="paragraph" w:styleId="NoSpacing">
    <w:name w:val="No Spacing"/>
    <w:link w:val="NoSpacingChar"/>
    <w:uiPriority w:val="1"/>
    <w:qFormat/>
    <w:rsid w:val="002507D3"/>
  </w:style>
  <w:style w:type="character" w:customStyle="1" w:styleId="NoSpacingChar">
    <w:name w:val="No Spacing Char"/>
    <w:basedOn w:val="DefaultParagraphFont"/>
    <w:link w:val="NoSpacing"/>
    <w:uiPriority w:val="1"/>
    <w:rsid w:val="002507D3"/>
  </w:style>
  <w:style w:type="character" w:styleId="LineNumber">
    <w:name w:val="line number"/>
    <w:basedOn w:val="DefaultParagraphFont"/>
    <w:uiPriority w:val="99"/>
    <w:semiHidden/>
    <w:unhideWhenUsed/>
    <w:rsid w:val="00D26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928649">
      <w:bodyDiv w:val="1"/>
      <w:marLeft w:val="0"/>
      <w:marRight w:val="0"/>
      <w:marTop w:val="0"/>
      <w:marBottom w:val="0"/>
      <w:divBdr>
        <w:top w:val="none" w:sz="0" w:space="0" w:color="auto"/>
        <w:left w:val="none" w:sz="0" w:space="0" w:color="auto"/>
        <w:bottom w:val="none" w:sz="0" w:space="0" w:color="auto"/>
        <w:right w:val="none" w:sz="0" w:space="0" w:color="auto"/>
      </w:divBdr>
    </w:div>
    <w:div w:id="123887807">
      <w:bodyDiv w:val="1"/>
      <w:marLeft w:val="0"/>
      <w:marRight w:val="0"/>
      <w:marTop w:val="0"/>
      <w:marBottom w:val="0"/>
      <w:divBdr>
        <w:top w:val="none" w:sz="0" w:space="0" w:color="auto"/>
        <w:left w:val="none" w:sz="0" w:space="0" w:color="auto"/>
        <w:bottom w:val="none" w:sz="0" w:space="0" w:color="auto"/>
        <w:right w:val="none" w:sz="0" w:space="0" w:color="auto"/>
      </w:divBdr>
    </w:div>
    <w:div w:id="290401128">
      <w:bodyDiv w:val="1"/>
      <w:marLeft w:val="0"/>
      <w:marRight w:val="0"/>
      <w:marTop w:val="0"/>
      <w:marBottom w:val="0"/>
      <w:divBdr>
        <w:top w:val="none" w:sz="0" w:space="0" w:color="auto"/>
        <w:left w:val="none" w:sz="0" w:space="0" w:color="auto"/>
        <w:bottom w:val="none" w:sz="0" w:space="0" w:color="auto"/>
        <w:right w:val="none" w:sz="0" w:space="0" w:color="auto"/>
      </w:divBdr>
    </w:div>
    <w:div w:id="398284247">
      <w:bodyDiv w:val="1"/>
      <w:marLeft w:val="0"/>
      <w:marRight w:val="0"/>
      <w:marTop w:val="0"/>
      <w:marBottom w:val="0"/>
      <w:divBdr>
        <w:top w:val="none" w:sz="0" w:space="0" w:color="auto"/>
        <w:left w:val="none" w:sz="0" w:space="0" w:color="auto"/>
        <w:bottom w:val="none" w:sz="0" w:space="0" w:color="auto"/>
        <w:right w:val="none" w:sz="0" w:space="0" w:color="auto"/>
      </w:divBdr>
    </w:div>
    <w:div w:id="791359820">
      <w:bodyDiv w:val="1"/>
      <w:marLeft w:val="0"/>
      <w:marRight w:val="0"/>
      <w:marTop w:val="0"/>
      <w:marBottom w:val="0"/>
      <w:divBdr>
        <w:top w:val="none" w:sz="0" w:space="0" w:color="auto"/>
        <w:left w:val="none" w:sz="0" w:space="0" w:color="auto"/>
        <w:bottom w:val="none" w:sz="0" w:space="0" w:color="auto"/>
        <w:right w:val="none" w:sz="0" w:space="0" w:color="auto"/>
      </w:divBdr>
    </w:div>
    <w:div w:id="1254126294">
      <w:bodyDiv w:val="1"/>
      <w:marLeft w:val="0"/>
      <w:marRight w:val="0"/>
      <w:marTop w:val="0"/>
      <w:marBottom w:val="0"/>
      <w:divBdr>
        <w:top w:val="none" w:sz="0" w:space="0" w:color="auto"/>
        <w:left w:val="none" w:sz="0" w:space="0" w:color="auto"/>
        <w:bottom w:val="none" w:sz="0" w:space="0" w:color="auto"/>
        <w:right w:val="none" w:sz="0" w:space="0" w:color="auto"/>
      </w:divBdr>
    </w:div>
    <w:div w:id="1341473618">
      <w:bodyDiv w:val="1"/>
      <w:marLeft w:val="0"/>
      <w:marRight w:val="0"/>
      <w:marTop w:val="0"/>
      <w:marBottom w:val="0"/>
      <w:divBdr>
        <w:top w:val="none" w:sz="0" w:space="0" w:color="auto"/>
        <w:left w:val="none" w:sz="0" w:space="0" w:color="auto"/>
        <w:bottom w:val="none" w:sz="0" w:space="0" w:color="auto"/>
        <w:right w:val="none" w:sz="0" w:space="0" w:color="auto"/>
      </w:divBdr>
    </w:div>
    <w:div w:id="1664241526">
      <w:bodyDiv w:val="1"/>
      <w:marLeft w:val="0"/>
      <w:marRight w:val="0"/>
      <w:marTop w:val="0"/>
      <w:marBottom w:val="0"/>
      <w:divBdr>
        <w:top w:val="none" w:sz="0" w:space="0" w:color="auto"/>
        <w:left w:val="none" w:sz="0" w:space="0" w:color="auto"/>
        <w:bottom w:val="none" w:sz="0" w:space="0" w:color="auto"/>
        <w:right w:val="none" w:sz="0" w:space="0" w:color="auto"/>
      </w:divBdr>
    </w:div>
    <w:div w:id="191643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A6757-8AF1-41F2-B0A0-47C70D877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521</Words>
  <Characters>2973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Gearhart</dc:creator>
  <cp:keywords/>
  <dc:description/>
  <cp:lastModifiedBy>Microsoft Office User</cp:lastModifiedBy>
  <cp:revision>3</cp:revision>
  <dcterms:created xsi:type="dcterms:W3CDTF">2021-04-09T12:58:00Z</dcterms:created>
  <dcterms:modified xsi:type="dcterms:W3CDTF">2021-04-09T12:58:00Z</dcterms:modified>
</cp:coreProperties>
</file>