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jc w:val="center"/>
        <w:rPr>
          <w:rFonts w:ascii="Times New Roman" w:hAnsi="Times New Roman" w:cs="AdvP4A213B"/>
          <w:b/>
          <w:bCs/>
          <w:color w:val="auto"/>
          <w:sz w:val="24"/>
          <w:highlight w:val="none"/>
          <w:lang w:bidi="th-TH"/>
        </w:rPr>
      </w:pPr>
    </w:p>
    <w:p>
      <w:pPr>
        <w:pStyle w:val="2"/>
        <w:ind w:firstLine="0" w:firstLineChars="0"/>
        <w:jc w:val="both"/>
        <w:rPr>
          <w:rFonts w:ascii="Times New Roman" w:hAnsi="Times New Roman" w:cs="AdvP4A213B"/>
          <w:b/>
          <w:bCs/>
          <w:color w:val="auto"/>
          <w:sz w:val="24"/>
          <w:highlight w:val="none"/>
          <w:lang w:bidi="th-TH"/>
        </w:rPr>
      </w:pPr>
    </w:p>
    <w:p>
      <w:pPr>
        <w:pStyle w:val="2"/>
        <w:ind w:firstLine="0" w:firstLineChars="0"/>
        <w:jc w:val="center"/>
        <w:rPr>
          <w:rFonts w:ascii="Times New Roman" w:hAnsi="Times New Roman" w:cs="AdvP4A213B"/>
          <w:b/>
          <w:bCs/>
          <w:color w:val="auto"/>
          <w:sz w:val="24"/>
          <w:highlight w:val="none"/>
          <w:lang w:bidi="th-TH"/>
        </w:rPr>
      </w:pPr>
    </w:p>
    <w:p>
      <w:pPr>
        <w:pStyle w:val="2"/>
        <w:ind w:firstLine="0" w:firstLineChars="0"/>
        <w:jc w:val="center"/>
        <w:rPr>
          <w:rFonts w:ascii="Times New Roman" w:hAnsi="Times New Roman" w:cs="AdvP4A213B"/>
          <w:b/>
          <w:bCs/>
          <w:color w:val="auto"/>
          <w:sz w:val="24"/>
          <w:highlight w:val="none"/>
          <w:lang w:bidi="th-TH"/>
        </w:rPr>
      </w:pPr>
    </w:p>
    <w:p>
      <w:pPr>
        <w:pStyle w:val="2"/>
        <w:ind w:left="0" w:leftChars="0" w:firstLine="0" w:firstLineChars="0"/>
        <w:jc w:val="center"/>
        <w:rPr>
          <w:rFonts w:hint="eastAsia" w:ascii="Times New Roman" w:hAnsi="Times New Roman" w:cs="AdvP4A213B"/>
          <w:b/>
          <w:bCs/>
          <w:color w:val="auto"/>
          <w:sz w:val="40"/>
          <w:szCs w:val="28"/>
          <w:highlight w:val="none"/>
          <w:lang w:bidi="th-TH"/>
        </w:rPr>
      </w:pPr>
      <w:r>
        <w:rPr>
          <w:rFonts w:ascii="Times New Roman" w:hAnsi="Times New Roman" w:cs="AdvP4A213B"/>
          <w:b/>
          <w:bCs/>
          <w:color w:val="auto"/>
          <w:sz w:val="40"/>
          <w:szCs w:val="28"/>
          <w:highlight w:val="none"/>
          <w:lang w:bidi="th-TH"/>
        </w:rPr>
        <w:t xml:space="preserve">Comparison of effects of HucMSCs, exosomes and </w:t>
      </w:r>
      <w:r>
        <w:rPr>
          <w:rFonts w:hint="eastAsia" w:ascii="Times New Roman" w:hAnsi="Times New Roman" w:cs="AdvP4A213B"/>
          <w:b/>
          <w:bCs/>
          <w:color w:val="auto"/>
          <w:sz w:val="40"/>
          <w:szCs w:val="28"/>
          <w:highlight w:val="none"/>
          <w:lang w:bidi="th-TH"/>
        </w:rPr>
        <w:t>conditioned medium</w:t>
      </w:r>
      <w:r>
        <w:rPr>
          <w:rFonts w:ascii="Times New Roman" w:hAnsi="Times New Roman" w:cs="AdvP4A213B"/>
          <w:b/>
          <w:bCs/>
          <w:color w:val="auto"/>
          <w:sz w:val="40"/>
          <w:szCs w:val="28"/>
          <w:highlight w:val="none"/>
          <w:lang w:bidi="th-TH"/>
        </w:rPr>
        <w:t xml:space="preserve"> on N</w:t>
      </w:r>
      <w:r>
        <w:rPr>
          <w:rFonts w:hint="eastAsia" w:ascii="Times New Roman" w:hAnsi="Times New Roman" w:cs="AdvP4A213B"/>
          <w:b/>
          <w:bCs/>
          <w:color w:val="auto"/>
          <w:sz w:val="40"/>
          <w:szCs w:val="28"/>
          <w:highlight w:val="none"/>
          <w:lang w:bidi="th-TH"/>
        </w:rPr>
        <w:t>ASH</w:t>
      </w:r>
    </w:p>
    <w:p>
      <w:pPr>
        <w:rPr>
          <w:color w:val="auto"/>
          <w:highlight w:val="none"/>
        </w:rPr>
      </w:pPr>
    </w:p>
    <w:p>
      <w:pPr>
        <w:pStyle w:val="2"/>
        <w:ind w:firstLine="0" w:firstLineChars="0"/>
        <w:jc w:val="center"/>
        <w:rPr>
          <w:rFonts w:hint="default" w:ascii="Times New Roman" w:hAnsi="Times New Roman" w:eastAsia="宋体"/>
          <w:bCs/>
          <w:color w:val="auto"/>
          <w:kern w:val="2"/>
          <w:sz w:val="22"/>
          <w:szCs w:val="28"/>
          <w:highlight w:val="none"/>
          <w:vertAlign w:val="superscript"/>
          <w:lang w:val="en-US" w:eastAsia="zh-CN"/>
        </w:rPr>
      </w:pPr>
      <w:r>
        <w:rPr>
          <w:rFonts w:ascii="Times New Roman" w:hAnsi="Times New Roman"/>
          <w:bCs/>
          <w:color w:val="auto"/>
          <w:kern w:val="2"/>
          <w:sz w:val="22"/>
          <w:szCs w:val="28"/>
          <w:highlight w:val="none"/>
        </w:rPr>
        <w:t>Chenchen</w:t>
      </w:r>
      <w:r>
        <w:rPr>
          <w:rFonts w:hint="eastAsia" w:ascii="Times New Roman" w:hAnsi="Times New Roman"/>
          <w:bCs/>
          <w:color w:val="auto"/>
          <w:kern w:val="2"/>
          <w:sz w:val="22"/>
          <w:szCs w:val="28"/>
          <w:highlight w:val="none"/>
        </w:rPr>
        <w:t xml:space="preserve"> </w:t>
      </w:r>
      <w:r>
        <w:rPr>
          <w:rFonts w:ascii="Times New Roman" w:hAnsi="Times New Roman"/>
          <w:bCs/>
          <w:color w:val="auto"/>
          <w:kern w:val="2"/>
          <w:sz w:val="22"/>
          <w:szCs w:val="28"/>
          <w:highlight w:val="none"/>
        </w:rPr>
        <w:t>Liang, Siyuan</w:t>
      </w:r>
      <w:r>
        <w:rPr>
          <w:rFonts w:hint="eastAsia" w:ascii="Times New Roman" w:hAnsi="Times New Roman"/>
          <w:bCs/>
          <w:color w:val="auto"/>
          <w:kern w:val="2"/>
          <w:sz w:val="22"/>
          <w:szCs w:val="28"/>
          <w:highlight w:val="none"/>
        </w:rPr>
        <w:t xml:space="preserve"> </w:t>
      </w:r>
      <w:r>
        <w:rPr>
          <w:rFonts w:ascii="Times New Roman" w:hAnsi="Times New Roman"/>
          <w:bCs/>
          <w:color w:val="auto"/>
          <w:kern w:val="2"/>
          <w:sz w:val="22"/>
          <w:szCs w:val="28"/>
          <w:highlight w:val="none"/>
        </w:rPr>
        <w:t>Gao</w:t>
      </w:r>
      <w:r>
        <w:rPr>
          <w:rFonts w:hint="eastAsia" w:ascii="Times New Roman" w:hAnsi="Times New Roman"/>
          <w:bCs/>
          <w:color w:val="auto"/>
          <w:kern w:val="2"/>
          <w:sz w:val="22"/>
          <w:szCs w:val="28"/>
          <w:highlight w:val="none"/>
        </w:rPr>
        <w:t xml:space="preserve">, </w:t>
      </w:r>
      <w:r>
        <w:rPr>
          <w:rFonts w:ascii="Times New Roman" w:hAnsi="Times New Roman"/>
          <w:bCs/>
          <w:color w:val="auto"/>
          <w:kern w:val="2"/>
          <w:sz w:val="22"/>
          <w:szCs w:val="28"/>
          <w:highlight w:val="none"/>
        </w:rPr>
        <w:t>Jianpeng</w:t>
      </w:r>
      <w:r>
        <w:rPr>
          <w:rFonts w:hint="eastAsia" w:ascii="Times New Roman" w:hAnsi="Times New Roman"/>
          <w:bCs/>
          <w:color w:val="auto"/>
          <w:kern w:val="2"/>
          <w:sz w:val="22"/>
          <w:szCs w:val="28"/>
          <w:highlight w:val="none"/>
        </w:rPr>
        <w:t xml:space="preserve"> </w:t>
      </w:r>
      <w:r>
        <w:rPr>
          <w:rFonts w:ascii="Times New Roman" w:hAnsi="Times New Roman"/>
          <w:bCs/>
          <w:color w:val="auto"/>
          <w:kern w:val="2"/>
          <w:sz w:val="22"/>
          <w:szCs w:val="28"/>
          <w:highlight w:val="none"/>
        </w:rPr>
        <w:t>Gao</w:t>
      </w:r>
      <w:r>
        <w:rPr>
          <w:rFonts w:hint="eastAsia" w:ascii="Times New Roman" w:hAnsi="Times New Roman"/>
          <w:bCs/>
          <w:color w:val="auto"/>
          <w:kern w:val="2"/>
          <w:sz w:val="22"/>
          <w:szCs w:val="28"/>
          <w:highlight w:val="none"/>
          <w:vertAlign w:val="superscript"/>
        </w:rPr>
        <w:t>*</w:t>
      </w:r>
      <w:r>
        <w:rPr>
          <w:rFonts w:hint="eastAsia" w:ascii="Times New Roman" w:hAnsi="Times New Roman"/>
          <w:b w:val="0"/>
          <w:bCs/>
          <w:color w:val="auto"/>
          <w:kern w:val="2"/>
          <w:sz w:val="22"/>
          <w:szCs w:val="28"/>
          <w:highlight w:val="none"/>
          <w:vertAlign w:val="baseline"/>
          <w:lang w:val="en-US" w:eastAsia="zh-CN"/>
        </w:rPr>
        <w:t>, Yanwen XU, Qilong Li</w:t>
      </w:r>
    </w:p>
    <w:p>
      <w:pPr>
        <w:pStyle w:val="3"/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pPr>
        <w:pStyle w:val="3"/>
        <w:jc w:val="center"/>
        <w:rPr>
          <w:rFonts w:hint="eastAsia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31750</wp:posOffset>
            </wp:positionV>
            <wp:extent cx="6127750" cy="2840355"/>
            <wp:effectExtent l="0" t="0" r="6350" b="4445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1.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Masson staining for collagen deposition in mouse liver tissue (400X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)</w:t>
      </w: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pStyle w:val="3"/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color w:val="auto"/>
          <w:highlight w:val="none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-411480</wp:posOffset>
            </wp:positionH>
            <wp:positionV relativeFrom="paragraph">
              <wp:posOffset>169545</wp:posOffset>
            </wp:positionV>
            <wp:extent cx="5902960" cy="2988945"/>
            <wp:effectExtent l="0" t="0" r="2540" b="8255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2.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Quantitative analysis of 24h or 48h cellular lipid droplets</w:t>
      </w: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pPr>
        <w:pStyle w:val="2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color w:val="auto"/>
          <w:highlight w:val="non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76200</wp:posOffset>
            </wp:positionV>
            <wp:extent cx="5270500" cy="3961765"/>
            <wp:effectExtent l="0" t="0" r="0" b="635"/>
            <wp:wrapSquare wrapText="bothSides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6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3.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Quantitative Analysis. A: Number of fat vacuoles at week 6 and 8; B: Number of foci of inflammatory necrosis at week 6 and 8</w:t>
      </w:r>
    </w:p>
    <w:p>
      <w:pP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color w:val="auto"/>
          <w:highlight w:val="none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74930</wp:posOffset>
            </wp:positionV>
            <wp:extent cx="5269230" cy="2425065"/>
            <wp:effectExtent l="0" t="0" r="1270" b="635"/>
            <wp:wrapSquare wrapText="bothSides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4.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Quantitative Analysis. A: Quantitative analysis of Masson collagen deposition at week 6; B:Quantitative analysis of Masson collagen deposition at week 8</w:t>
      </w:r>
    </w:p>
    <w:p>
      <w:pP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-353695</wp:posOffset>
            </wp:positionH>
            <wp:positionV relativeFrom="paragraph">
              <wp:posOffset>70485</wp:posOffset>
            </wp:positionV>
            <wp:extent cx="6428105" cy="3261995"/>
            <wp:effectExtent l="0" t="0" r="10795" b="1905"/>
            <wp:wrapSquare wrapText="bothSides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28105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5.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A: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6thW IL-6 mRNA expression levels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; B: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6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th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W TNF-α mRNA expression levels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; C: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6thW TGF-β1 mRNA expression levels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; D: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8thW IL-6 mRNA expression levels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; E: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TNF-α mRNA expression levels at 8thW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; F: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8thW TGF-β1 mRNA expression levels (8 mice pooled)</w:t>
      </w: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color w:val="auto"/>
          <w:highlight w:val="none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-474980</wp:posOffset>
            </wp:positionH>
            <wp:positionV relativeFrom="paragraph">
              <wp:posOffset>-584835</wp:posOffset>
            </wp:positionV>
            <wp:extent cx="6257290" cy="3602355"/>
            <wp:effectExtent l="0" t="0" r="3810" b="4445"/>
            <wp:wrapTight wrapText="bothSides">
              <wp:wrapPolygon>
                <wp:start x="0" y="0"/>
                <wp:lineTo x="0" y="21551"/>
                <wp:lineTo x="21569" y="21551"/>
                <wp:lineTo x="21569" y="0"/>
                <wp:lineTo x="0" y="0"/>
              </wp:wrapPolygon>
            </wp:wrapTight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7290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6 .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6thW IL-6, TNF-α, TGF-β1 protein immunoblot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8 mice level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)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IL-6, TNF-α, TGF-β1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β-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actin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IL-6, TNF-α, TGF-β1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β-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actin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29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)</w:t>
      </w:r>
    </w:p>
    <w:p>
      <w:pPr>
        <w:pStyle w:val="3"/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-496570</wp:posOffset>
            </wp:positionH>
            <wp:positionV relativeFrom="paragraph">
              <wp:posOffset>129540</wp:posOffset>
            </wp:positionV>
            <wp:extent cx="6184900" cy="3576955"/>
            <wp:effectExtent l="0" t="0" r="0" b="0"/>
            <wp:wrapTight wrapText="bothSides">
              <wp:wrapPolygon>
                <wp:start x="0" y="0"/>
                <wp:lineTo x="0" y="21550"/>
                <wp:lineTo x="21556" y="21550"/>
                <wp:lineTo x="21556" y="0"/>
                <wp:lineTo x="0" y="0"/>
              </wp:wrapPolygon>
            </wp:wrapTight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7.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8thW IL-6, TNF-α, TGF-β1 protein immunoblot levels</w:t>
      </w:r>
    </w:p>
    <w:p>
      <w:pPr>
        <w:jc w:val="center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8 mice level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)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IL-6, TNF-α, TGF-β1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β-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actin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IL-6, TNF-α, TGF-β1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β-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actin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243205</wp:posOffset>
            </wp:positionV>
            <wp:extent cx="5994400" cy="4922520"/>
            <wp:effectExtent l="0" t="0" r="0" b="5080"/>
            <wp:wrapTight wrapText="bothSides">
              <wp:wrapPolygon>
                <wp:start x="0" y="0"/>
                <wp:lineTo x="0" y="21567"/>
                <wp:lineTo x="21554" y="21567"/>
                <wp:lineTo x="21554" y="0"/>
                <wp:lineTo x="0" y="0"/>
              </wp:wrapPolygon>
            </wp:wrapTight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492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8.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A: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6thW IL-6 protein expression levels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; B: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TNF-α protein expression levels at 6thW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; C: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6thW TGF-β1 protein expression levels (8 mice pooled)</w:t>
      </w: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40640</wp:posOffset>
            </wp:positionV>
            <wp:extent cx="6015990" cy="5039360"/>
            <wp:effectExtent l="0" t="0" r="3810" b="2540"/>
            <wp:wrapSquare wrapText="bothSides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503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9. A: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8thW IL-6 protein expression levels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; B: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8thW TGF-β1 protein expression levels (8 mice pooled)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; C: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8thW TNF-α protein expression levels (8 mice pooled)</w:t>
      </w:r>
    </w:p>
    <w:p>
      <w:pPr>
        <w:bidi w:val="0"/>
        <w:rPr>
          <w:rFonts w:hint="default"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>
      <w:pPr>
        <w:bidi w:val="0"/>
        <w:rPr>
          <w:rFonts w:hint="default"/>
          <w:color w:val="auto"/>
          <w:highlight w:val="none"/>
          <w:lang w:val="en-US" w:eastAsia="zh-CN"/>
        </w:rPr>
      </w:pPr>
    </w:p>
    <w:p>
      <w:pPr>
        <w:pStyle w:val="2"/>
        <w:rPr>
          <w:rFonts w:hint="default"/>
          <w:color w:val="auto"/>
          <w:highlight w:val="none"/>
          <w:lang w:val="en-US" w:eastAsia="zh-CN"/>
        </w:rPr>
      </w:pPr>
    </w:p>
    <w:p>
      <w:pPr>
        <w:rPr>
          <w:rFonts w:hint="default"/>
          <w:color w:val="auto"/>
          <w:highlight w:val="none"/>
          <w:lang w:val="en-US" w:eastAsia="zh-CN"/>
        </w:rPr>
      </w:pPr>
    </w:p>
    <w:p>
      <w:pPr>
        <w:pStyle w:val="2"/>
        <w:rPr>
          <w:rFonts w:hint="default"/>
          <w:color w:val="auto"/>
          <w:highlight w:val="none"/>
          <w:lang w:val="en-US" w:eastAsia="zh-CN"/>
        </w:rPr>
      </w:pPr>
    </w:p>
    <w:p>
      <w:pPr>
        <w:rPr>
          <w:rFonts w:hint="default"/>
          <w:color w:val="auto"/>
          <w:highlight w:val="none"/>
          <w:lang w:val="en-US" w:eastAsia="zh-CN"/>
        </w:rPr>
      </w:pPr>
    </w:p>
    <w:p>
      <w:pPr>
        <w:pStyle w:val="2"/>
        <w:rPr>
          <w:rFonts w:hint="default"/>
          <w:color w:val="auto"/>
          <w:highlight w:val="none"/>
          <w:lang w:val="en-US" w:eastAsia="zh-CN"/>
        </w:rPr>
      </w:pPr>
    </w:p>
    <w:p>
      <w:pPr>
        <w:bidi w:val="0"/>
        <w:rPr>
          <w:rFonts w:hint="default"/>
          <w:color w:val="auto"/>
          <w:highlight w:val="none"/>
          <w:lang w:val="en-US" w:eastAsia="zh-CN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-625475</wp:posOffset>
            </wp:positionH>
            <wp:positionV relativeFrom="paragraph">
              <wp:posOffset>81915</wp:posOffset>
            </wp:positionV>
            <wp:extent cx="6492240" cy="2459355"/>
            <wp:effectExtent l="0" t="0" r="10160" b="4445"/>
            <wp:wrapSquare wrapText="bothSides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10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AMPK, mTOR mRNA levels (cellular level summary)</w:t>
      </w: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tabs>
          <w:tab w:val="left" w:pos="1159"/>
        </w:tabs>
        <w:bidi w:val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339725</wp:posOffset>
            </wp:positionV>
            <wp:extent cx="5647055" cy="2570480"/>
            <wp:effectExtent l="0" t="0" r="4445" b="7620"/>
            <wp:wrapSquare wrapText="bothSides"/>
            <wp:docPr id="3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7055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abs>
          <w:tab w:val="left" w:pos="1159"/>
        </w:tabs>
        <w:bidi w:val="0"/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Immunoblot levels of P62, AMPK, mTOR and LC3B proteins(cellular level summary)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AMPK, mTOR and LC3B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AMPK, mTOR and LC3B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31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)</w:t>
      </w: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69215</wp:posOffset>
            </wp:positionV>
            <wp:extent cx="6104890" cy="5703570"/>
            <wp:effectExtent l="0" t="0" r="3810" b="11430"/>
            <wp:wrapTight wrapText="bothSides">
              <wp:wrapPolygon>
                <wp:start x="0" y="0"/>
                <wp:lineTo x="0" y="21547"/>
                <wp:lineTo x="21569" y="21547"/>
                <wp:lineTo x="21569" y="0"/>
                <wp:lineTo x="0" y="0"/>
              </wp:wrapPolygon>
            </wp:wrapTight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570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AMPK, mTOR, LC3B protein expression levels levels (cellular level summary)</w:t>
      </w: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</w:p>
    <w:p>
      <w:pPr>
        <w:pStyle w:val="2"/>
        <w:tabs>
          <w:tab w:val="left" w:pos="2961"/>
        </w:tabs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cs="Arial"/>
          <w:color w:val="auto"/>
          <w:highlight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55880</wp:posOffset>
            </wp:positionV>
            <wp:extent cx="5701665" cy="4407535"/>
            <wp:effectExtent l="0" t="0" r="635" b="1206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01665" cy="44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13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P-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AMPK,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P-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mTOR expression levels at 6th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W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and 8thW</w:t>
      </w:r>
    </w:p>
    <w:p>
      <w:pPr>
        <w:bidi w:val="0"/>
        <w:rPr>
          <w:rFonts w:hint="default"/>
          <w:color w:val="auto"/>
          <w:highlight w:val="none"/>
          <w:lang w:val="en-US" w:eastAsia="zh-CN"/>
        </w:rPr>
      </w:pPr>
    </w:p>
    <w:p>
      <w:pPr>
        <w:bidi w:val="0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29845</wp:posOffset>
            </wp:positionV>
            <wp:extent cx="5266055" cy="2929255"/>
            <wp:effectExtent l="0" t="0" r="4445" b="4445"/>
            <wp:wrapSquare wrapText="bothSides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Levels of AMPK protein expression in the 6thW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B: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Levels of mTOR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protein expression in the 6thW</w:t>
      </w:r>
    </w:p>
    <w:p>
      <w:pPr>
        <w:tabs>
          <w:tab w:val="center" w:pos="4153"/>
        </w:tabs>
        <w:bidi w:val="0"/>
        <w:jc w:val="left"/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eastAsia"/>
          <w:color w:val="auto"/>
          <w:highlight w:val="none"/>
          <w:lang w:val="en-US" w:eastAsia="zh-CN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-415925</wp:posOffset>
            </wp:positionV>
            <wp:extent cx="5272405" cy="2861310"/>
            <wp:effectExtent l="0" t="0" r="10795" b="8890"/>
            <wp:wrapSquare wrapText="bothSides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15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Levels of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AMPK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protein expression in the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; B: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Levels of mTOR protein expression in the 8thW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-466090</wp:posOffset>
            </wp:positionH>
            <wp:positionV relativeFrom="paragraph">
              <wp:posOffset>86360</wp:posOffset>
            </wp:positionV>
            <wp:extent cx="6235065" cy="4872355"/>
            <wp:effectExtent l="0" t="0" r="635" b="4445"/>
            <wp:wrapSquare wrapText="bothSides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3506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6thW P62, AMPK, mTOR, LC3protein immunoblot levels</w:t>
      </w:r>
    </w:p>
    <w:p>
      <w:pPr>
        <w:pStyle w:val="2"/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8 mice level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)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LC3B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mTOR and AMPK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LC3B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mTOR and AMPK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32)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-525780</wp:posOffset>
            </wp:positionH>
            <wp:positionV relativeFrom="paragraph">
              <wp:posOffset>182245</wp:posOffset>
            </wp:positionV>
            <wp:extent cx="6383655" cy="5191125"/>
            <wp:effectExtent l="0" t="0" r="4445" b="3175"/>
            <wp:wrapSquare wrapText="bothSides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83655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Supplementary Figure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17.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 P62, AMPK, mTOR, LC3B protein immunoblot levels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(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8 mice level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)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LC3B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mTOR and AMPK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LC3B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P62, mTOR and AMPK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33)</w:t>
      </w: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cs="Arial"/>
          <w:color w:val="auto"/>
          <w:highlight w:val="none"/>
          <w:lang w:val="en-US" w:eastAsia="zh-CN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cs="Arial"/>
          <w:color w:val="auto"/>
          <w:highlight w:val="none"/>
          <w:lang w:eastAsia="zh-CN"/>
        </w:rPr>
      </w:pPr>
    </w:p>
    <w:p>
      <w:pPr>
        <w:rPr>
          <w:rFonts w:hint="default" w:ascii="Arial" w:hAnsi="Arial" w:cs="Arial"/>
          <w:color w:val="auto"/>
          <w:highlight w:val="none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57150</wp:posOffset>
            </wp:positionV>
            <wp:extent cx="5718175" cy="3105150"/>
            <wp:effectExtent l="0" t="0" r="9525" b="6350"/>
            <wp:wrapSquare wrapText="bothSides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81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18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A：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Levels of LC3BⅡ/Ⅰ protein expression in the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；</w:t>
      </w: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B：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Levels of P62 protein expression in the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</w:t>
      </w:r>
    </w:p>
    <w:p>
      <w:pPr>
        <w:tabs>
          <w:tab w:val="left" w:pos="1961"/>
        </w:tabs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ab/>
      </w:r>
    </w:p>
    <w:p>
      <w:pPr>
        <w:pStyle w:val="2"/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160020</wp:posOffset>
            </wp:positionV>
            <wp:extent cx="5702935" cy="3043555"/>
            <wp:effectExtent l="0" t="0" r="12065" b="4445"/>
            <wp:wrapSquare wrapText="bothSides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02935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C：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Levels of LC3BⅡ/Ⅰ protein expression in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D：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Levels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of P62 protein expression in the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</w:t>
      </w:r>
    </w:p>
    <w:p>
      <w:pPr>
        <w:pStyle w:val="2"/>
        <w:rPr>
          <w:rFonts w:hint="default"/>
          <w:color w:val="auto"/>
          <w:highlight w:val="none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-57150</wp:posOffset>
            </wp:positionV>
            <wp:extent cx="5812790" cy="6365240"/>
            <wp:effectExtent l="0" t="0" r="3810" b="10160"/>
            <wp:wrapSquare wrapText="bothSides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636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 A：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mR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NA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level (24-48h) (cellular level)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B：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 48h protein expression level (cellular level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)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34)</w:t>
      </w: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Arial" w:hAnsi="Arial" w:cs="Arial"/>
          <w:color w:val="auto"/>
          <w:highlight w:val="none"/>
        </w:rPr>
      </w:pPr>
      <w:r>
        <w:rPr>
          <w:color w:val="auto"/>
          <w:highlight w:val="non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33655</wp:posOffset>
            </wp:positionV>
            <wp:extent cx="5260340" cy="2327910"/>
            <wp:effectExtent l="0" t="0" r="10160" b="8890"/>
            <wp:wrapSquare wrapText="bothSides"/>
            <wp:docPr id="2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 EI24 mRNA level</w:t>
      </w:r>
    </w:p>
    <w:p>
      <w:pPr>
        <w:pStyle w:val="3"/>
        <w:jc w:val="center"/>
        <w:rPr>
          <w:rFonts w:hint="default" w:ascii="Arial" w:hAnsi="Arial" w:cs="Arial"/>
          <w:color w:val="auto"/>
          <w:highlight w:val="none"/>
        </w:rPr>
      </w:pPr>
    </w:p>
    <w:p>
      <w:pPr>
        <w:pStyle w:val="3"/>
        <w:jc w:val="center"/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r>
        <w:rPr>
          <w:color w:val="auto"/>
          <w:highlight w:val="non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51435</wp:posOffset>
            </wp:positionV>
            <wp:extent cx="5259705" cy="2273300"/>
            <wp:effectExtent l="0" t="0" r="10795" b="0"/>
            <wp:wrapSquare wrapText="bothSides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22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 EI24 mRNA level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textAlignment w:val="auto"/>
        <w:rPr>
          <w:rFonts w:hint="default" w:ascii="Arial" w:hAnsi="Arial" w:eastAsia="宋体" w:cs="Arial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92710</wp:posOffset>
            </wp:positionV>
            <wp:extent cx="5269230" cy="3027680"/>
            <wp:effectExtent l="0" t="0" r="1270" b="7620"/>
            <wp:wrapSquare wrapText="bothSides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6thW EI24 protein leve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l；B：8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 EI24 protein leve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l；</w:t>
      </w: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-314960</wp:posOffset>
            </wp:positionH>
            <wp:positionV relativeFrom="paragraph">
              <wp:posOffset>90170</wp:posOffset>
            </wp:positionV>
            <wp:extent cx="5906770" cy="2854325"/>
            <wp:effectExtent l="0" t="0" r="11430" b="3175"/>
            <wp:wrapSquare wrapText="bothSides"/>
            <wp:docPr id="3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24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6thW EI24 protein immunoblot levels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8 mice level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)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35)</w:t>
      </w: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</w:p>
    <w:p>
      <w:pPr>
        <w:jc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-395605</wp:posOffset>
            </wp:positionH>
            <wp:positionV relativeFrom="paragraph">
              <wp:posOffset>95250</wp:posOffset>
            </wp:positionV>
            <wp:extent cx="6084570" cy="3067685"/>
            <wp:effectExtent l="0" t="0" r="11430" b="5715"/>
            <wp:wrapSquare wrapText="bothSides"/>
            <wp:docPr id="3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rcRect t="1947"/>
                    <a:stretch>
                      <a:fillRect/>
                    </a:stretch>
                  </pic:blipFill>
                  <pic:spPr>
                    <a:xfrm>
                      <a:off x="0" y="0"/>
                      <a:ext cx="6084570" cy="306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thW EI24 protein immunoblot levels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8 mice level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)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(Note:This gel blot was cut in half for subsequent protein detection prior to antibody hybridization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group using multiple exposures;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blots or gels have been cropped, the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EI24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original blots or gels are shown in the Supplementary Figure 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36)</w:t>
      </w:r>
    </w:p>
    <w:p>
      <w:pPr>
        <w:pStyle w:val="2"/>
        <w:rPr>
          <w:rFonts w:hint="default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-650875</wp:posOffset>
            </wp:positionH>
            <wp:positionV relativeFrom="paragraph">
              <wp:posOffset>231775</wp:posOffset>
            </wp:positionV>
            <wp:extent cx="6512560" cy="2709545"/>
            <wp:effectExtent l="0" t="0" r="2540" b="8255"/>
            <wp:wrapSquare wrapText="bothSides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12560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-EI24 expression levels at 6thW and 8thW</w:t>
      </w: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</w:p>
    <w:p>
      <w:pPr>
        <w:pStyle w:val="2"/>
        <w:rPr>
          <w:color w:val="auto"/>
          <w:highlight w:val="none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T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t xml:space="preserve">able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fldChar w:fldCharType="begin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instrText xml:space="preserve"> SEQ Table \* ARABIC </w:instrTex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fldChar w:fldCharType="separate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fldChar w:fldCharType="end"/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2"/>
          <w:szCs w:val="22"/>
          <w:highlight w:val="none"/>
          <w:lang w:val="en-US" w:eastAsia="zh-CN" w:bidi="ar-SA"/>
        </w:rPr>
        <w:t xml:space="preserve"> Cross-reference to reagent spiki</w:t>
      </w:r>
    </w:p>
    <w:tbl>
      <w:tblPr>
        <w:tblStyle w:val="9"/>
        <w:tblpPr w:leftFromText="180" w:rightFromText="180" w:vertAnchor="page" w:horzAnchor="page" w:tblpX="1872" w:tblpY="2125"/>
        <w:tblW w:w="826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807"/>
        <w:gridCol w:w="807"/>
        <w:gridCol w:w="872"/>
        <w:gridCol w:w="851"/>
        <w:gridCol w:w="844"/>
        <w:gridCol w:w="872"/>
        <w:gridCol w:w="807"/>
        <w:gridCol w:w="805"/>
        <w:gridCol w:w="924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260" w:type="dxa"/>
            <w:gridSpan w:val="10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Arial" w:hAnsi="Arial" w:eastAsia="黑体" w:cs="Times New Roman"/>
                <w:b/>
                <w:bCs/>
                <w:color w:val="auto"/>
                <w:kern w:val="2"/>
                <w:sz w:val="20"/>
                <w:szCs w:val="24"/>
                <w:highlight w:val="none"/>
                <w:shd w:val="clear" w:fill="E7E6E6" w:themeFill="background2"/>
                <w:lang w:val="en-US" w:eastAsia="zh-CN" w:bidi="ar-SA"/>
              </w:rPr>
              <w:t>96-well plate comparison table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671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/</w:t>
            </w:r>
          </w:p>
        </w:tc>
        <w:tc>
          <w:tcPr>
            <w:tcW w:w="807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807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872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851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844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872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807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805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924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671" w:type="dxa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B</w:t>
            </w:r>
          </w:p>
        </w:tc>
        <w:tc>
          <w:tcPr>
            <w:tcW w:w="807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Blank group</w:t>
            </w:r>
          </w:p>
        </w:tc>
        <w:tc>
          <w:tcPr>
            <w:tcW w:w="807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Cell group</w:t>
            </w:r>
          </w:p>
        </w:tc>
        <w:tc>
          <w:tcPr>
            <w:tcW w:w="872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Solvent group</w:t>
            </w:r>
          </w:p>
        </w:tc>
        <w:tc>
          <w:tcPr>
            <w:tcW w:w="851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2000uM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OA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+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1000uM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PA</w:t>
            </w:r>
          </w:p>
          <w:p>
            <w:pPr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844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1000uM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OA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+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500uM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PA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872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500uM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OA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+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250uM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PA</w:t>
            </w:r>
          </w:p>
          <w:p>
            <w:pPr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807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250uM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OA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+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125uM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PA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805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125uM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OA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+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62.5uM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PA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24" w:type="dxa"/>
            <w:vMerge w:val="restart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62.5uM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OA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+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31.25uM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PA</w:t>
            </w:r>
          </w:p>
          <w:p>
            <w:pPr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671" w:type="dxa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C</w:t>
            </w: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671" w:type="dxa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D</w:t>
            </w: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671" w:type="dxa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E</w:t>
            </w: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71" w:type="dxa"/>
            <w:tcBorders>
              <w:tl2br w:val="nil"/>
              <w:tr2bl w:val="nil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F</w:t>
            </w: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</w:p>
        </w:tc>
      </w:tr>
    </w:tbl>
    <w:p>
      <w:pPr>
        <w:pStyle w:val="2"/>
        <w:rPr>
          <w:rFonts w:hint="default"/>
          <w:color w:val="auto"/>
          <w:highlight w:val="none"/>
          <w:lang w:val="en-US" w:eastAsia="zh-CN"/>
        </w:rPr>
      </w:pPr>
    </w:p>
    <w:p>
      <w:pPr>
        <w:pStyle w:val="2"/>
        <w:ind w:left="0" w:leftChars="0" w:firstLine="0" w:firstLineChars="0"/>
        <w:rPr>
          <w:color w:val="auto"/>
          <w:highlight w:val="none"/>
        </w:rPr>
      </w:pPr>
    </w:p>
    <w:p>
      <w:pPr>
        <w:jc w:val="center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 xml:space="preserve">Table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instrText xml:space="preserve"> SEQ Table \* ARABIC </w:instrTex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2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fldChar w:fldCharType="end"/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Comparison of HucMSCs-E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x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treated liver tissue steatosis, inflammation and ballooning pathology scores (x̅±s,n=8)</w:t>
      </w:r>
    </w:p>
    <w:tbl>
      <w:tblPr>
        <w:tblStyle w:val="7"/>
        <w:tblpPr w:leftFromText="180" w:rightFromText="180" w:vertAnchor="text" w:horzAnchor="page" w:tblpX="1357" w:tblpY="33"/>
        <w:tblOverlap w:val="never"/>
        <w:tblW w:w="959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194"/>
        <w:gridCol w:w="1583"/>
        <w:gridCol w:w="1607"/>
        <w:gridCol w:w="1523"/>
        <w:gridCol w:w="1312"/>
        <w:gridCol w:w="161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2" w:hRule="atLeast"/>
        </w:trPr>
        <w:tc>
          <w:tcPr>
            <w:tcW w:w="862" w:type="dxa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Time</w:t>
            </w:r>
          </w:p>
        </w:tc>
        <w:tc>
          <w:tcPr>
            <w:tcW w:w="1194" w:type="dxa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Groups</w:t>
            </w:r>
          </w:p>
        </w:tc>
        <w:tc>
          <w:tcPr>
            <w:tcW w:w="1603" w:type="dxa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Animals</w:t>
            </w:r>
          </w:p>
        </w:tc>
        <w:tc>
          <w:tcPr>
            <w:tcW w:w="1367" w:type="dxa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Steatosis</w:t>
            </w:r>
          </w:p>
        </w:tc>
        <w:tc>
          <w:tcPr>
            <w:tcW w:w="1523" w:type="dxa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Inflammation</w:t>
            </w:r>
          </w:p>
        </w:tc>
        <w:tc>
          <w:tcPr>
            <w:tcW w:w="1396" w:type="dxa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Ballooning</w:t>
            </w:r>
          </w:p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Change</w:t>
            </w:r>
          </w:p>
        </w:tc>
        <w:tc>
          <w:tcPr>
            <w:tcW w:w="1650" w:type="dxa"/>
            <w:tcBorders>
              <w:bottom w:val="single" w:color="auto" w:sz="12" w:space="0"/>
            </w:tcBorders>
            <w:shd w:val="clear" w:color="auto" w:fill="E7E6E6" w:themeFill="background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Overall</w:t>
            </w:r>
          </w:p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Score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Merge w:val="restart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week</w:t>
            </w:r>
          </w:p>
        </w:tc>
        <w:tc>
          <w:tcPr>
            <w:tcW w:w="1194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1603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highlight w:val="none"/>
              </w:rPr>
              <w:t>C57BL/6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Mice</w:t>
            </w:r>
          </w:p>
        </w:tc>
        <w:tc>
          <w:tcPr>
            <w:tcW w:w="1367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523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396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650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highlight w:val="none"/>
              </w:rPr>
              <w:t>C57BL/6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Mice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3.00±0.00</w:t>
            </w:r>
          </w:p>
        </w:tc>
        <w:tc>
          <w:tcPr>
            <w:tcW w:w="15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3.00±0.00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0.40±0.49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6.40±0.49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8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highlight w:val="none"/>
              </w:rPr>
              <w:t>C57BL/6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Mice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0.80±0.40</w:t>
            </w:r>
            <w:r>
              <w:rPr>
                <w:color w:val="auto"/>
                <w:highlight w:val="none"/>
              </w:rPr>
              <w:t>****</w:t>
            </w:r>
          </w:p>
        </w:tc>
        <w:tc>
          <w:tcPr>
            <w:tcW w:w="15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1.60±0.49</w:t>
            </w:r>
            <w:r>
              <w:rPr>
                <w:color w:val="auto"/>
                <w:highlight w:val="none"/>
              </w:rPr>
              <w:t>***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2.40±0.80</w:t>
            </w:r>
            <w:r>
              <w:rPr>
                <w:color w:val="auto"/>
                <w:highlight w:val="none"/>
              </w:rPr>
              <w:t>****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week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highlight w:val="none"/>
              </w:rPr>
              <w:t>C57BL/6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Mice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5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highlight w:val="none"/>
              </w:rPr>
              <w:t>C57BL/6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Mice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3.00±0.00</w:t>
            </w:r>
          </w:p>
        </w:tc>
        <w:tc>
          <w:tcPr>
            <w:tcW w:w="15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3.00±0.00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1.00±0.00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7.00±0.00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highlight w:val="none"/>
              </w:rPr>
              <w:t>C57BL/6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Mice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0.60±0.49</w:t>
            </w:r>
            <w:r>
              <w:rPr>
                <w:color w:val="auto"/>
                <w:highlight w:val="none"/>
              </w:rPr>
              <w:t>****</w:t>
            </w:r>
          </w:p>
        </w:tc>
        <w:tc>
          <w:tcPr>
            <w:tcW w:w="15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2.20±0.40</w:t>
            </w:r>
            <w:r>
              <w:rPr>
                <w:color w:val="auto"/>
                <w:highlight w:val="none"/>
              </w:rPr>
              <w:t>**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  <w:t>2.80±0.40</w:t>
            </w:r>
            <w:r>
              <w:rPr>
                <w:color w:val="auto"/>
                <w:highlight w:val="none"/>
              </w:rPr>
              <w:t>****</w:t>
            </w:r>
          </w:p>
        </w:tc>
      </w:tr>
    </w:tbl>
    <w:p>
      <w:pP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 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&lt;0.05）, **（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&lt;0.01）, ***（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&lt;0.001）, ****（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&lt;0.0001）</w:t>
      </w: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3"/>
        <w:jc w:val="center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Table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fldChar w:fldCharType="begin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instrText xml:space="preserve"> SEQ Table \* ARABIC </w:instrTex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fldChar w:fldCharType="separate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fldChar w:fldCharType="end"/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lang w:val="en-US" w:eastAsia="zh-CN" w:bidi="ar-SA"/>
        </w:rPr>
        <w:t>. The primers were made by DynaTech Biotechnology Ltd. and the sequences are as follows</w:t>
      </w:r>
    </w:p>
    <w:tbl>
      <w:tblPr>
        <w:tblStyle w:val="7"/>
        <w:tblW w:w="83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4204"/>
        <w:gridCol w:w="1146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Name</w:t>
            </w:r>
          </w:p>
        </w:tc>
        <w:tc>
          <w:tcPr>
            <w:tcW w:w="42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O</w:t>
            </w: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rder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B</w:t>
            </w: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 xml:space="preserve">ase </w:t>
            </w: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N</w:t>
            </w: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umber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enus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M-IL-6-F</w:t>
            </w:r>
          </w:p>
        </w:tc>
        <w:tc>
          <w:tcPr>
            <w:tcW w:w="420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GAGACTTCACAGAGGATACCACTC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24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M-IL-6-R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TGCCATTGCACAACTCTTTTCTC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  <w:t>M-TNF-α-F1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CACCACGCTCTTCTGTCTAC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  <w:t>M-TNF-α-R1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ACTTGGTGGTTTGTGAGTGT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  <w:t>M-TGF-β1-F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CCGCAACAACGCCATCTA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1</w:t>
            </w: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32"/>
                <w:highlight w:val="none"/>
              </w:rPr>
              <w:t>M-TGF-β1-R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GCCCTGTATTCCGTCTCCTT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Ei</w:t>
            </w: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24-</w:t>
            </w: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F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tabs>
                <w:tab w:val="left" w:pos="2889"/>
              </w:tabs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GGGCATCTGTACCATCTCAA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Ei</w:t>
            </w: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24-</w:t>
            </w: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R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AATACTCCACCATTCCAAGC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jc w:val="center"/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M-Gapdh-F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TGCCCAGAACATCATCCCT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82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M-Gapdh-R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GGTCCTCAGTGTAGCCCAAG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32"/>
                <w:highlight w:val="none"/>
                <w:lang w:val="en-US" w:eastAsia="zh-CN"/>
              </w:rPr>
              <w:t>Mouse</w:t>
            </w:r>
          </w:p>
        </w:tc>
      </w:tr>
    </w:tbl>
    <w:p>
      <w:pPr>
        <w:rPr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</w:p>
    <w:p>
      <w:pPr>
        <w:jc w:val="center"/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4.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Analysis of changes in body weight growth rate </w:t>
      </w: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of mice at 6W</w:t>
      </w:r>
    </w:p>
    <w:tbl>
      <w:tblPr>
        <w:tblStyle w:val="6"/>
        <w:tblpPr w:leftFromText="180" w:rightFromText="180" w:vertAnchor="text" w:horzAnchor="page" w:tblpX="2336" w:tblpY="104"/>
        <w:tblOverlap w:val="never"/>
        <w:tblW w:w="72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032"/>
        <w:gridCol w:w="906"/>
        <w:gridCol w:w="594"/>
        <w:gridCol w:w="656"/>
        <w:gridCol w:w="500"/>
        <w:gridCol w:w="376"/>
        <w:gridCol w:w="870"/>
        <w:gridCol w:w="1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07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7w</w:t>
            </w:r>
          </w:p>
        </w:tc>
        <w:tc>
          <w:tcPr>
            <w:tcW w:w="3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  <w:tc>
          <w:tcPr>
            <w:tcW w:w="8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Average weight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8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24.625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27.875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25.5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26.125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29.25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27.875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61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rowth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ate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7 week vs 10 week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6.09%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4.93%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9.31%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</w:tr>
    </w:tbl>
    <w:p>
      <w:pP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ind w:left="0" w:leftChars="0" w:firstLine="0" w:firstLineChars="0"/>
        <w:jc w:val="both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ind w:left="0" w:leftChars="0" w:firstLine="960" w:firstLineChars="400"/>
        <w:jc w:val="both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 **（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&lt;0.01）, ***（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&lt;0.001）</w:t>
      </w:r>
    </w:p>
    <w:p>
      <w:pPr>
        <w:rPr>
          <w:rFonts w:hint="eastAsia"/>
          <w:color w:val="auto"/>
          <w:highlight w:val="none"/>
          <w:lang w:val="en-US" w:eastAsia="zh-CN"/>
        </w:rPr>
      </w:pPr>
    </w:p>
    <w:p>
      <w:pPr>
        <w:rPr>
          <w:color w:val="auto"/>
          <w:highlight w:val="none"/>
        </w:rPr>
      </w:pPr>
    </w:p>
    <w:p>
      <w:pPr>
        <w:jc w:val="center"/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5.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Analysis of changes in body weight growth rate </w:t>
      </w: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of mice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at 6W</w:t>
      </w:r>
    </w:p>
    <w:tbl>
      <w:tblPr>
        <w:tblStyle w:val="6"/>
        <w:tblpPr w:leftFromText="180" w:rightFromText="180" w:vertAnchor="text" w:horzAnchor="page" w:tblpX="2336" w:tblpY="49"/>
        <w:tblOverlap w:val="never"/>
        <w:tblW w:w="72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032"/>
        <w:gridCol w:w="953"/>
        <w:gridCol w:w="547"/>
        <w:gridCol w:w="656"/>
        <w:gridCol w:w="500"/>
        <w:gridCol w:w="376"/>
        <w:gridCol w:w="874"/>
        <w:gridCol w:w="12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07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88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9w</w:t>
            </w:r>
          </w:p>
        </w:tc>
        <w:tc>
          <w:tcPr>
            <w:tcW w:w="3016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12w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reatment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reatment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Average weight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8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25.750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28.000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26.750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26.150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29.875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361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rowth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ate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7 week vs 10 week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3.88%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6.70%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4.67%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</w:tr>
    </w:tbl>
    <w:p>
      <w:pPr>
        <w:pStyle w:val="2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pPr>
        <w:ind w:firstLine="960" w:firstLineChars="400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ind w:firstLine="960" w:firstLineChars="400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 ***（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&lt;0.001）</w:t>
      </w:r>
    </w:p>
    <w:p>
      <w:pPr>
        <w:pStyle w:val="2"/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</w:p>
    <w:p>
      <w:pPr>
        <w:jc w:val="center"/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 Table 6. Analysis of Changes in Growth Rate of Liver Wet Weight</w:t>
      </w: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 xml:space="preserve"> in Mice</w:t>
      </w:r>
    </w:p>
    <w:tbl>
      <w:tblPr>
        <w:tblStyle w:val="6"/>
        <w:tblpPr w:leftFromText="180" w:rightFromText="180" w:vertAnchor="text" w:horzAnchor="page" w:tblpX="2351" w:tblpY="137"/>
        <w:tblOverlap w:val="never"/>
        <w:tblW w:w="75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032"/>
        <w:gridCol w:w="952"/>
        <w:gridCol w:w="548"/>
        <w:gridCol w:w="717"/>
        <w:gridCol w:w="439"/>
        <w:gridCol w:w="577"/>
        <w:gridCol w:w="1000"/>
        <w:gridCol w:w="12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07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24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6w</w:t>
            </w:r>
          </w:p>
        </w:tc>
        <w:tc>
          <w:tcPr>
            <w:tcW w:w="32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8w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Average weight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1.52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1.88</w:t>
            </w:r>
          </w:p>
        </w:tc>
        <w:tc>
          <w:tcPr>
            <w:tcW w:w="126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1.77</w:t>
            </w: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1.59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2.03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1.84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1.99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1.85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1.92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1.77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2.06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1.49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1.81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1.98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1.46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1.72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1.65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1.95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1.88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1.68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1.97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1.47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1.83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1.75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2.03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1.51875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1.8225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1.7125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1.63125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1.99125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1.8525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61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rowth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ate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NC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NASH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week vs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week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7.41%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9.26%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8.18%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***</w:t>
            </w:r>
          </w:p>
        </w:tc>
      </w:tr>
    </w:tbl>
    <w:p>
      <w:pPr>
        <w:pStyle w:val="2"/>
        <w:ind w:firstLine="1200" w:firstLineChars="500"/>
        <w:jc w:val="left"/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 ***（</w:t>
      </w:r>
      <w:r>
        <w:rPr>
          <w:rFonts w:hint="eastAsia" w:ascii="Times New Roman" w:hAnsi="Times New Roman" w:eastAsia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&lt;0.001）</w:t>
      </w:r>
    </w:p>
    <w:p>
      <w:pPr>
        <w:pStyle w:val="2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-297815</wp:posOffset>
            </wp:positionV>
            <wp:extent cx="5264785" cy="3437255"/>
            <wp:effectExtent l="0" t="0" r="5715" b="4445"/>
            <wp:wrapSquare wrapText="bothSides"/>
            <wp:docPr id="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27. Original full-length immunoblots of </w:t>
      </w:r>
      <w:r>
        <w:rPr>
          <w:rFonts w:hint="eastAsia" w:ascii="Times New Roman" w:hAnsi="Times New Roman" w:eastAsia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Expression of exosomes CD9, CD63 and TSG101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Figure 3D. Immunoblots were exposed for 120 sec. The black wireframe represents Figure 3D</w:t>
      </w:r>
    </w:p>
    <w:p>
      <w:pPr>
        <w:pStyle w:val="2"/>
        <w:ind w:left="0" w:leftChars="0" w:firstLine="0" w:firstLineChars="0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866775</wp:posOffset>
            </wp:positionH>
            <wp:positionV relativeFrom="paragraph">
              <wp:posOffset>42545</wp:posOffset>
            </wp:positionV>
            <wp:extent cx="3686810" cy="3894455"/>
            <wp:effectExtent l="0" t="0" r="8890" b="4445"/>
            <wp:wrapSquare wrapText="bothSides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rcRect t="1119"/>
                    <a:stretch>
                      <a:fillRect/>
                    </a:stretch>
                  </pic:blipFill>
                  <pic:spPr>
                    <a:xfrm>
                      <a:off x="0" y="0"/>
                      <a:ext cx="3686810" cy="389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ind w:left="0" w:leftChars="0" w:firstLine="0" w:firstLineChars="0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pStyle w:val="2"/>
        <w:ind w:left="0" w:leftChars="0" w:firstLine="0" w:firstLineChars="0"/>
        <w:jc w:val="center"/>
        <w:rPr>
          <w:rFonts w:hint="default"/>
          <w:color w:val="auto"/>
          <w:highlight w:val="none"/>
          <w:lang w:val="en-US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28. Original full-length immunoblot for cellular levels of IL-6, 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NF-α, and β-actin is shown in Figure 5.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The immunoblot was overexposed and exposed for 150 sec.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he multiple exposure images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37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The black wireframe represents Figure 5)</w:t>
      </w:r>
    </w:p>
    <w:p>
      <w:pPr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-1064895</wp:posOffset>
            </wp:positionH>
            <wp:positionV relativeFrom="paragraph">
              <wp:posOffset>-793115</wp:posOffset>
            </wp:positionV>
            <wp:extent cx="7480300" cy="6146165"/>
            <wp:effectExtent l="0" t="0" r="0" b="635"/>
            <wp:wrapSquare wrapText="bothSides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rcRect l="1430" t="-264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614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/>
          <w:color w:val="auto"/>
          <w:highlight w:val="none"/>
          <w:lang w:val="en-US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29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Original full-length immunoblot for IL-6, 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NF-α,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TGF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-β1and β-actin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animal level 6w are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The immunoblot was overexposed and 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0 sec.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he multiple exposures of β-actin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D group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38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6)</w:t>
      </w: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</w:p>
    <w:p>
      <w:pPr>
        <w:bidi w:val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-1172845</wp:posOffset>
            </wp:positionH>
            <wp:positionV relativeFrom="paragraph">
              <wp:posOffset>-853440</wp:posOffset>
            </wp:positionV>
            <wp:extent cx="7580630" cy="6438900"/>
            <wp:effectExtent l="0" t="0" r="1270" b="0"/>
            <wp:wrapSquare wrapText="bothSides"/>
            <wp:docPr id="6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jc w:val="center"/>
        <w:rPr>
          <w:rFonts w:hint="default" w:eastAsia="宋体"/>
          <w:color w:val="auto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Supplementary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30. Original full-length immunoblot for IL-6, 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NF-α,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TGF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-β1and β-actin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animal level 8w are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The immunoblot was overexposed and 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0 sec. An image of one of the multiple exposures of β-actin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39.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7)</w:t>
      </w:r>
    </w:p>
    <w:p>
      <w:pPr>
        <w:pStyle w:val="2"/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-916940</wp:posOffset>
            </wp:positionH>
            <wp:positionV relativeFrom="paragraph">
              <wp:posOffset>-927100</wp:posOffset>
            </wp:positionV>
            <wp:extent cx="6744970" cy="3104515"/>
            <wp:effectExtent l="0" t="0" r="11430" b="6985"/>
            <wp:wrapSquare wrapText="bothSides"/>
            <wp:docPr id="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744970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31. Original full-length immunoblot for for cellular levels of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mTO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R,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LC3B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AMPK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and β-actin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is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The immunoblot was overexposed and 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0 sec. An image of one of the multiple exposures of β-actin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40.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11)</w:t>
      </w: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-962660</wp:posOffset>
            </wp:positionH>
            <wp:positionV relativeFrom="paragraph">
              <wp:posOffset>262890</wp:posOffset>
            </wp:positionV>
            <wp:extent cx="7199630" cy="5252720"/>
            <wp:effectExtent l="0" t="0" r="1270" b="508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525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32. Original full-length immunoblot for for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LC3B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mTO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R,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AMPK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and β-actin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animal level 6w are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The immunoblot was overexposed and 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0 sec. An image of one of the multiple exposures of β-actin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41.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16)</w:t>
      </w:r>
    </w:p>
    <w:p>
      <w:pPr>
        <w:bidi w:val="0"/>
        <w:rPr>
          <w:rFonts w:hint="default"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color w:val="auto"/>
          <w:highlight w:val="none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432435</wp:posOffset>
            </wp:positionV>
            <wp:extent cx="7590790" cy="5566410"/>
            <wp:effectExtent l="0" t="0" r="0" b="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6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1"/>
                    <pic:cNvPicPr>
                      <a:picLocks noChangeAspect="1"/>
                    </pic:cNvPicPr>
                  </pic:nvPicPr>
                  <pic:blipFill>
                    <a:blip r:embed="rId36"/>
                    <a:srcRect l="2456"/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556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abs>
          <w:tab w:val="center" w:pos="4153"/>
        </w:tabs>
        <w:bidi w:val="0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tabs>
          <w:tab w:val="center" w:pos="4153"/>
        </w:tabs>
        <w:bidi w:val="0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tabs>
          <w:tab w:val="center" w:pos="4153"/>
        </w:tabs>
        <w:bidi w:val="0"/>
        <w:jc w:val="center"/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7" w:charSpace="0"/>
        </w:sect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33. Original full-length immunoblot for for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LC3B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P62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mTO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R,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AMPK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and β-actin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animal level 8w are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17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The immunoblot was overexposed and 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0 sec. An image of one of the multiple exposures of β-actin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42.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17)</w:t>
      </w:r>
    </w:p>
    <w:p>
      <w:pPr>
        <w:pStyle w:val="2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846455</wp:posOffset>
            </wp:positionH>
            <wp:positionV relativeFrom="paragraph">
              <wp:posOffset>5715</wp:posOffset>
            </wp:positionV>
            <wp:extent cx="3721735" cy="2348230"/>
            <wp:effectExtent l="0" t="0" r="12065" b="1270"/>
            <wp:wrapSquare wrapText="bothSides"/>
            <wp:docPr id="4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21735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bidi w:val="0"/>
        <w:rPr>
          <w:rFonts w:hint="default"/>
          <w:color w:val="auto"/>
          <w:highlight w:val="none"/>
          <w:lang w:val="en-US"/>
        </w:rPr>
      </w:pPr>
    </w:p>
    <w:p>
      <w:pPr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34. Original full-length immunoblot for for cellular levels of EI24 is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20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The immunoblot was overexposed and 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0 sec. An image of one of the multiple exposures of β-actin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43.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20)</w:t>
      </w:r>
    </w:p>
    <w:p>
      <w:pPr>
        <w:jc w:val="both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both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both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248920</wp:posOffset>
            </wp:positionV>
            <wp:extent cx="7588885" cy="3215640"/>
            <wp:effectExtent l="0" t="0" r="5715" b="10160"/>
            <wp:wrapSquare wrapText="bothSides"/>
            <wp:docPr id="4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35. Original full-length blot for for EI24 at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animallevel 6w are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24. 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The immunoblot was overexposed and 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0 sec. An image of one of the multiple exposures of β-actin can be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44.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24)</w:t>
      </w:r>
    </w:p>
    <w:p>
      <w:pPr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-1235075</wp:posOffset>
            </wp:positionH>
            <wp:positionV relativeFrom="paragraph">
              <wp:posOffset>-616585</wp:posOffset>
            </wp:positionV>
            <wp:extent cx="7640955" cy="3424555"/>
            <wp:effectExtent l="0" t="0" r="4445" b="4445"/>
            <wp:wrapTight wrapText="bothSides">
              <wp:wrapPolygon>
                <wp:start x="0" y="0"/>
                <wp:lineTo x="0" y="21548"/>
                <wp:lineTo x="21577" y="21548"/>
                <wp:lineTo x="21577" y="0"/>
                <wp:lineTo x="0" y="0"/>
              </wp:wrapPolygon>
            </wp:wrapTight>
            <wp:docPr id="4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640955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36. Original full-length blot for for EI24 at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animal level 8w are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shown in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25.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The immunoblot was overexposed and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exposed for 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0 sec.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he multiple exposures of β-actin can be seen in Supplementary Figure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45. The black wireframe represents </w:t>
      </w:r>
      <w:r>
        <w:rPr>
          <w:rFonts w:hint="eastAsia" w:ascii="Times New Roman" w:hAnsi="Times New Roman" w:eastAsia="Times New Roman"/>
          <w:color w:val="auto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Figure 25)</w:t>
      </w:r>
    </w:p>
    <w:p>
      <w:pPr>
        <w:pStyle w:val="2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-1073150</wp:posOffset>
            </wp:positionH>
            <wp:positionV relativeFrom="paragraph">
              <wp:posOffset>152400</wp:posOffset>
            </wp:positionV>
            <wp:extent cx="7249160" cy="3952240"/>
            <wp:effectExtent l="0" t="0" r="2540" b="10160"/>
            <wp:wrapTight wrapText="bothSides">
              <wp:wrapPolygon>
                <wp:start x="0" y="0"/>
                <wp:lineTo x="0" y="21517"/>
                <wp:lineTo x="21570" y="21517"/>
                <wp:lineTo x="21570" y="0"/>
                <wp:lineTo x="0" y="0"/>
              </wp:wrapPolygon>
            </wp:wrapTight>
            <wp:docPr id="4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24916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37. The Multiple exposure images of the original full-length immunoblot of the cellular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IL-6, TNF-α, and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pStyle w:val="2"/>
        <w:ind w:left="0" w:leftChars="0" w:firstLine="0" w:firstLineChars="0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-236855</wp:posOffset>
            </wp:positionV>
            <wp:extent cx="7614285" cy="3315970"/>
            <wp:effectExtent l="0" t="0" r="5715" b="11430"/>
            <wp:wrapSquare wrapText="bothSides"/>
            <wp:docPr id="5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614285" cy="3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38. The Multiple exposure images of the original full-length immunoblot of the 6W animal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pStyle w:val="2"/>
        <w:ind w:left="0" w:leftChars="0" w:firstLine="0" w:firstLineChars="0"/>
        <w:rPr>
          <w:rFonts w:hint="eastAsia"/>
          <w:color w:val="auto"/>
          <w:highlight w:val="none"/>
          <w:lang w:eastAsia="zh-CN"/>
        </w:rPr>
      </w:pPr>
    </w:p>
    <w:p>
      <w:pPr>
        <w:rPr>
          <w:rFonts w:hint="eastAsia"/>
          <w:color w:val="auto"/>
          <w:highlight w:val="none"/>
          <w:lang w:eastAsia="zh-CN"/>
        </w:rPr>
      </w:pPr>
    </w:p>
    <w:p>
      <w:pPr>
        <w:pStyle w:val="2"/>
        <w:rPr>
          <w:rFonts w:hint="eastAsia"/>
          <w:color w:val="auto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21590</wp:posOffset>
            </wp:positionV>
            <wp:extent cx="7549515" cy="3295650"/>
            <wp:effectExtent l="0" t="0" r="6985" b="6350"/>
            <wp:wrapSquare wrapText="bothSides"/>
            <wp:docPr id="5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39. The Multiple exposure images of the original full-length immunoblot of the 8W animal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rPr>
          <w:rFonts w:hint="eastAsia"/>
          <w:color w:val="auto"/>
          <w:highlight w:val="none"/>
          <w:lang w:eastAsia="zh-CN"/>
        </w:rPr>
      </w:pPr>
    </w:p>
    <w:p>
      <w:pPr>
        <w:pStyle w:val="2"/>
        <w:rPr>
          <w:rFonts w:hint="eastAsia"/>
          <w:color w:val="auto"/>
          <w:highlight w:val="none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color w:val="auto"/>
          <w:highlight w:val="none"/>
          <w:lang w:eastAsia="zh-CN"/>
        </w:rPr>
      </w:pPr>
    </w:p>
    <w:p>
      <w:pPr>
        <w:pStyle w:val="2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-868045</wp:posOffset>
            </wp:positionH>
            <wp:positionV relativeFrom="paragraph">
              <wp:posOffset>-374015</wp:posOffset>
            </wp:positionV>
            <wp:extent cx="6925310" cy="4055745"/>
            <wp:effectExtent l="0" t="0" r="8890" b="8255"/>
            <wp:wrapSquare wrapText="bothSides"/>
            <wp:docPr id="5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925310" cy="405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40. The Multiple exposure images of the original full-length immunoblot of the cellular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pStyle w:val="2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42545</wp:posOffset>
            </wp:positionV>
            <wp:extent cx="7411085" cy="3012440"/>
            <wp:effectExtent l="0" t="0" r="5715" b="10160"/>
            <wp:wrapSquare wrapText="bothSides"/>
            <wp:docPr id="5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411085" cy="301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41. The Multiple exposure images of the original full-length immunoblot of the 6W animal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-1097915</wp:posOffset>
            </wp:positionH>
            <wp:positionV relativeFrom="paragraph">
              <wp:posOffset>-36195</wp:posOffset>
            </wp:positionV>
            <wp:extent cx="7424420" cy="3369310"/>
            <wp:effectExtent l="0" t="0" r="0" b="0"/>
            <wp:wrapSquare wrapText="bothSides"/>
            <wp:docPr id="5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6"/>
                    <pic:cNvPicPr>
                      <a:picLocks noChangeAspect="1"/>
                    </pic:cNvPicPr>
                  </pic:nvPicPr>
                  <pic:blipFill>
                    <a:blip r:embed="rId45"/>
                    <a:srcRect l="364" r="551"/>
                    <a:stretch>
                      <a:fillRect/>
                    </a:stretch>
                  </pic:blipFill>
                  <pic:spPr>
                    <a:xfrm>
                      <a:off x="0" y="0"/>
                      <a:ext cx="742442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42. The Multiple exposure images of the original full-length immunoblot of the 8W animal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pStyle w:val="2"/>
        <w:rPr>
          <w:rFonts w:hint="eastAsia"/>
          <w:color w:val="auto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-899160</wp:posOffset>
            </wp:positionH>
            <wp:positionV relativeFrom="paragraph">
              <wp:posOffset>171450</wp:posOffset>
            </wp:positionV>
            <wp:extent cx="6797040" cy="3188970"/>
            <wp:effectExtent l="0" t="0" r="10160" b="11430"/>
            <wp:wrapSquare wrapText="bothSides"/>
            <wp:docPr id="5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797040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43. The Multiple exposure images of the original full-length immunoblot of the cellular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rPr>
          <w:rFonts w:hint="eastAsia"/>
          <w:color w:val="auto"/>
          <w:highlight w:val="none"/>
          <w:lang w:eastAsia="zh-CN"/>
        </w:rPr>
      </w:pPr>
    </w:p>
    <w:p>
      <w:pPr>
        <w:pStyle w:val="2"/>
        <w:rPr>
          <w:rFonts w:hint="eastAsia"/>
          <w:color w:val="auto"/>
          <w:highlight w:val="none"/>
          <w:lang w:eastAsia="zh-CN"/>
        </w:rPr>
      </w:pPr>
    </w:p>
    <w:p>
      <w:pPr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-985520</wp:posOffset>
            </wp:positionH>
            <wp:positionV relativeFrom="paragraph">
              <wp:posOffset>-157480</wp:posOffset>
            </wp:positionV>
            <wp:extent cx="7245350" cy="3131820"/>
            <wp:effectExtent l="0" t="0" r="6350" b="5080"/>
            <wp:wrapSquare wrapText="bothSides"/>
            <wp:docPr id="5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24535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44. The Multiple exposure images of the original full-length immunoblot of the 6W animal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pStyle w:val="2"/>
        <w:rPr>
          <w:rFonts w:hint="eastAsia"/>
          <w:color w:val="auto"/>
          <w:highlight w:val="none"/>
          <w:lang w:eastAsia="zh-CN"/>
        </w:rPr>
      </w:pPr>
    </w:p>
    <w:p>
      <w:pPr>
        <w:rPr>
          <w:rFonts w:hint="eastAsia"/>
          <w:color w:val="auto"/>
          <w:highlight w:val="none"/>
          <w:lang w:eastAsia="zh-CN"/>
        </w:rPr>
      </w:pPr>
    </w:p>
    <w:p>
      <w:pPr>
        <w:rPr>
          <w:rFonts w:hint="eastAsia"/>
          <w:color w:val="auto"/>
          <w:highlight w:val="none"/>
          <w:lang w:eastAsia="zh-CN"/>
        </w:rPr>
      </w:pPr>
      <w:r>
        <w:rPr>
          <w:color w:val="auto"/>
          <w:highlight w:val="none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-1125855</wp:posOffset>
            </wp:positionH>
            <wp:positionV relativeFrom="paragraph">
              <wp:posOffset>35560</wp:posOffset>
            </wp:positionV>
            <wp:extent cx="7588250" cy="3077845"/>
            <wp:effectExtent l="0" t="0" r="6350" b="8255"/>
            <wp:wrapTight wrapText="bothSides">
              <wp:wrapPolygon>
                <wp:start x="0" y="0"/>
                <wp:lineTo x="0" y="21480"/>
                <wp:lineTo x="21582" y="21480"/>
                <wp:lineTo x="21582" y="0"/>
                <wp:lineTo x="0" y="0"/>
              </wp:wrapPolygon>
            </wp:wrapTight>
            <wp:docPr id="5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9"/>
                    <pic:cNvPicPr>
                      <a:picLocks noChangeAspect="1"/>
                    </pic:cNvPicPr>
                  </pic:nvPicPr>
                  <pic:blipFill>
                    <a:blip r:embed="rId48"/>
                    <a:srcRect b="8183"/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307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jc w:val="center"/>
        <w:rPr>
          <w:rFonts w:hint="eastAsia"/>
          <w:color w:val="auto"/>
          <w:highlight w:val="none"/>
          <w:lang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upplementary Figure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45. The Multiple exposure images of the original full-length immunoblot of the 8W animal levels of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 β-a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ctin; The sequence is 0 exposure, 150sec, 180sec</w:t>
      </w:r>
    </w:p>
    <w:p>
      <w:pPr>
        <w:rPr>
          <w:rFonts w:hint="eastAsia"/>
          <w:color w:val="auto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P4A213B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3M2Q2MDZlZjdjMTExM2NhMTY3MWExYWJlZjgwMDMifQ=="/>
  </w:docVars>
  <w:rsids>
    <w:rsidRoot w:val="22325629"/>
    <w:rsid w:val="0060042C"/>
    <w:rsid w:val="00A81D22"/>
    <w:rsid w:val="01687703"/>
    <w:rsid w:val="01943F6A"/>
    <w:rsid w:val="021227FA"/>
    <w:rsid w:val="02396688"/>
    <w:rsid w:val="028247F4"/>
    <w:rsid w:val="03D13C09"/>
    <w:rsid w:val="040000C7"/>
    <w:rsid w:val="04510922"/>
    <w:rsid w:val="04A42800"/>
    <w:rsid w:val="050B287F"/>
    <w:rsid w:val="051D39E5"/>
    <w:rsid w:val="054A7061"/>
    <w:rsid w:val="05B9052D"/>
    <w:rsid w:val="065B3392"/>
    <w:rsid w:val="06732DD2"/>
    <w:rsid w:val="0687062B"/>
    <w:rsid w:val="06D25D4A"/>
    <w:rsid w:val="07502802"/>
    <w:rsid w:val="07B90CB8"/>
    <w:rsid w:val="09570789"/>
    <w:rsid w:val="09912148"/>
    <w:rsid w:val="09A339CE"/>
    <w:rsid w:val="09B434E5"/>
    <w:rsid w:val="0AEC271E"/>
    <w:rsid w:val="0B266665"/>
    <w:rsid w:val="0BB04180"/>
    <w:rsid w:val="0C607954"/>
    <w:rsid w:val="0DE6032D"/>
    <w:rsid w:val="0E7D2A40"/>
    <w:rsid w:val="0ECE329B"/>
    <w:rsid w:val="0EE02FCE"/>
    <w:rsid w:val="0FF630FD"/>
    <w:rsid w:val="10D95617"/>
    <w:rsid w:val="11CB1D14"/>
    <w:rsid w:val="11E119B5"/>
    <w:rsid w:val="129C348E"/>
    <w:rsid w:val="13E62E35"/>
    <w:rsid w:val="14F43330"/>
    <w:rsid w:val="15050C5E"/>
    <w:rsid w:val="15311E8E"/>
    <w:rsid w:val="15D867AD"/>
    <w:rsid w:val="180B0B11"/>
    <w:rsid w:val="18FF4051"/>
    <w:rsid w:val="19445F08"/>
    <w:rsid w:val="1A1678A4"/>
    <w:rsid w:val="1A584361"/>
    <w:rsid w:val="1A6A0C07"/>
    <w:rsid w:val="1BD01CD5"/>
    <w:rsid w:val="1C2838BF"/>
    <w:rsid w:val="1C3E520E"/>
    <w:rsid w:val="1C47468D"/>
    <w:rsid w:val="1C5D7A0C"/>
    <w:rsid w:val="1CF06AD2"/>
    <w:rsid w:val="1E3B5B2B"/>
    <w:rsid w:val="1EAA6E76"/>
    <w:rsid w:val="1EFA3C38"/>
    <w:rsid w:val="1EFA59E6"/>
    <w:rsid w:val="1F22393D"/>
    <w:rsid w:val="20531CF4"/>
    <w:rsid w:val="20F76E87"/>
    <w:rsid w:val="215F4227"/>
    <w:rsid w:val="217952E8"/>
    <w:rsid w:val="21B26104"/>
    <w:rsid w:val="21B521FF"/>
    <w:rsid w:val="22325629"/>
    <w:rsid w:val="2297354C"/>
    <w:rsid w:val="23254DF5"/>
    <w:rsid w:val="23425BAE"/>
    <w:rsid w:val="23706277"/>
    <w:rsid w:val="237A70F6"/>
    <w:rsid w:val="249A1700"/>
    <w:rsid w:val="256224D7"/>
    <w:rsid w:val="25D90D2C"/>
    <w:rsid w:val="28B74948"/>
    <w:rsid w:val="29437BE4"/>
    <w:rsid w:val="29A94291"/>
    <w:rsid w:val="29FF65A7"/>
    <w:rsid w:val="2A9767DF"/>
    <w:rsid w:val="2AAD047C"/>
    <w:rsid w:val="2B9A744F"/>
    <w:rsid w:val="2BBB64FD"/>
    <w:rsid w:val="2BCC10F5"/>
    <w:rsid w:val="2D9102FD"/>
    <w:rsid w:val="2DAA05D8"/>
    <w:rsid w:val="2DEF06E0"/>
    <w:rsid w:val="2F106B60"/>
    <w:rsid w:val="2F631386"/>
    <w:rsid w:val="2F9C6646"/>
    <w:rsid w:val="2FF43D8C"/>
    <w:rsid w:val="30405223"/>
    <w:rsid w:val="30515682"/>
    <w:rsid w:val="31A83080"/>
    <w:rsid w:val="32E058D0"/>
    <w:rsid w:val="333A23FE"/>
    <w:rsid w:val="33E5680D"/>
    <w:rsid w:val="34807FCB"/>
    <w:rsid w:val="360446C3"/>
    <w:rsid w:val="366A124C"/>
    <w:rsid w:val="37557806"/>
    <w:rsid w:val="38050CB4"/>
    <w:rsid w:val="381C26EF"/>
    <w:rsid w:val="3862667F"/>
    <w:rsid w:val="38D155B2"/>
    <w:rsid w:val="3ABB02C8"/>
    <w:rsid w:val="3ACC4283"/>
    <w:rsid w:val="3B334302"/>
    <w:rsid w:val="3C2459F9"/>
    <w:rsid w:val="3CA56B3A"/>
    <w:rsid w:val="3DC456E6"/>
    <w:rsid w:val="3E3D0FF4"/>
    <w:rsid w:val="3E9A0E65"/>
    <w:rsid w:val="3EE33949"/>
    <w:rsid w:val="3F092D59"/>
    <w:rsid w:val="3F3643C1"/>
    <w:rsid w:val="3F51763A"/>
    <w:rsid w:val="3FEA63C4"/>
    <w:rsid w:val="40E045E4"/>
    <w:rsid w:val="40EA7211"/>
    <w:rsid w:val="414E0433"/>
    <w:rsid w:val="41EC19A2"/>
    <w:rsid w:val="422624CB"/>
    <w:rsid w:val="425C5EED"/>
    <w:rsid w:val="42664FBD"/>
    <w:rsid w:val="4338699F"/>
    <w:rsid w:val="43910F3B"/>
    <w:rsid w:val="44103433"/>
    <w:rsid w:val="4420119C"/>
    <w:rsid w:val="450954B4"/>
    <w:rsid w:val="45383F3C"/>
    <w:rsid w:val="45D51846"/>
    <w:rsid w:val="46325BC0"/>
    <w:rsid w:val="465B03FE"/>
    <w:rsid w:val="466C06C8"/>
    <w:rsid w:val="470365A9"/>
    <w:rsid w:val="47A53E92"/>
    <w:rsid w:val="47B265AF"/>
    <w:rsid w:val="483F42E6"/>
    <w:rsid w:val="48B819A3"/>
    <w:rsid w:val="499C1040"/>
    <w:rsid w:val="4B771FE9"/>
    <w:rsid w:val="4C5C2F8D"/>
    <w:rsid w:val="4CBE1C24"/>
    <w:rsid w:val="4D981DA3"/>
    <w:rsid w:val="4DF06083"/>
    <w:rsid w:val="4F302BDB"/>
    <w:rsid w:val="52BC29D7"/>
    <w:rsid w:val="5373753A"/>
    <w:rsid w:val="53EE4E13"/>
    <w:rsid w:val="54176117"/>
    <w:rsid w:val="551E104B"/>
    <w:rsid w:val="552C7DA5"/>
    <w:rsid w:val="55BF269E"/>
    <w:rsid w:val="562C39D0"/>
    <w:rsid w:val="568A7075"/>
    <w:rsid w:val="56F12144"/>
    <w:rsid w:val="5701202D"/>
    <w:rsid w:val="58654F91"/>
    <w:rsid w:val="5A117E54"/>
    <w:rsid w:val="5A573EA6"/>
    <w:rsid w:val="5B8E4388"/>
    <w:rsid w:val="5C4C0928"/>
    <w:rsid w:val="5DDB5A14"/>
    <w:rsid w:val="5DF309B3"/>
    <w:rsid w:val="5EF66276"/>
    <w:rsid w:val="5F463D55"/>
    <w:rsid w:val="5F6661A5"/>
    <w:rsid w:val="60F33A68"/>
    <w:rsid w:val="61DE0274"/>
    <w:rsid w:val="61F53CFC"/>
    <w:rsid w:val="627A1A44"/>
    <w:rsid w:val="631F6D97"/>
    <w:rsid w:val="636843F0"/>
    <w:rsid w:val="63DC4C88"/>
    <w:rsid w:val="64416899"/>
    <w:rsid w:val="64686B51"/>
    <w:rsid w:val="64874BF3"/>
    <w:rsid w:val="64ED7CDD"/>
    <w:rsid w:val="65A92D87"/>
    <w:rsid w:val="661324B7"/>
    <w:rsid w:val="66ED2D08"/>
    <w:rsid w:val="67191D4F"/>
    <w:rsid w:val="6865349E"/>
    <w:rsid w:val="68B25FB7"/>
    <w:rsid w:val="68F20AA9"/>
    <w:rsid w:val="68F2471A"/>
    <w:rsid w:val="68FE2FAA"/>
    <w:rsid w:val="69216C99"/>
    <w:rsid w:val="69A17D59"/>
    <w:rsid w:val="69F525FF"/>
    <w:rsid w:val="6A963266"/>
    <w:rsid w:val="6B1D005F"/>
    <w:rsid w:val="6B361121"/>
    <w:rsid w:val="6C4258A4"/>
    <w:rsid w:val="6C7527FF"/>
    <w:rsid w:val="6CB57E24"/>
    <w:rsid w:val="6CEF1588"/>
    <w:rsid w:val="6CF375ED"/>
    <w:rsid w:val="6D31465B"/>
    <w:rsid w:val="6EE80984"/>
    <w:rsid w:val="6FF173C5"/>
    <w:rsid w:val="70347F41"/>
    <w:rsid w:val="70871AD7"/>
    <w:rsid w:val="70981F36"/>
    <w:rsid w:val="70EA01D5"/>
    <w:rsid w:val="712437CA"/>
    <w:rsid w:val="7230065F"/>
    <w:rsid w:val="725B76BF"/>
    <w:rsid w:val="72844FF9"/>
    <w:rsid w:val="741B7106"/>
    <w:rsid w:val="74822CE1"/>
    <w:rsid w:val="74E14787"/>
    <w:rsid w:val="762A1882"/>
    <w:rsid w:val="7682438C"/>
    <w:rsid w:val="77083F34"/>
    <w:rsid w:val="77316C41"/>
    <w:rsid w:val="77770AF7"/>
    <w:rsid w:val="77E048EF"/>
    <w:rsid w:val="78415C5F"/>
    <w:rsid w:val="78505021"/>
    <w:rsid w:val="7A9F0953"/>
    <w:rsid w:val="7B29550A"/>
    <w:rsid w:val="7BE40725"/>
    <w:rsid w:val="7C2E1420"/>
    <w:rsid w:val="7C611D76"/>
    <w:rsid w:val="7CC540B3"/>
    <w:rsid w:val="7DCB482D"/>
    <w:rsid w:val="7F187DBF"/>
    <w:rsid w:val="7F8C2C66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网格型1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9" Type="http://schemas.openxmlformats.org/officeDocument/2006/relationships/fontTable" Target="fontTable.xml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1790</Words>
  <Characters>9881</Characters>
  <Lines>0</Lines>
  <Paragraphs>0</Paragraphs>
  <TotalTime>21</TotalTime>
  <ScaleCrop>false</ScaleCrop>
  <LinksUpToDate>false</LinksUpToDate>
  <CharactersWithSpaces>11443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2023-06-13T06:22:00Z</dcterms:created>
  <dc:creator>Overwhelminglylw</dc:creator>
  <cp:lastModifiedBy>Overwhelminglylw</cp:lastModifiedBy>
  <dcterms:modified xsi:type="dcterms:W3CDTF">2023-10-10T07:47:59Z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BCEA31BD25FD4B45871D794367742759_13</vt:lpwstr>
  </property>
</Properties>
</file>