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5A42" w14:textId="517A1EFF" w:rsidR="00037A14" w:rsidRPr="00FB085D" w:rsidRDefault="00037A14" w:rsidP="00037A14">
      <w:pPr>
        <w:spacing w:line="360" w:lineRule="auto"/>
        <w:jc w:val="both"/>
        <w:rPr>
          <w:rFonts w:ascii="Verdana" w:hAnsi="Verdana"/>
          <w:b/>
          <w:bCs/>
          <w:sz w:val="18"/>
          <w:szCs w:val="18"/>
          <w:lang w:val="en-US"/>
        </w:rPr>
      </w:pPr>
      <w:r w:rsidRPr="00FB085D">
        <w:rPr>
          <w:rFonts w:ascii="Verdana" w:hAnsi="Verdana"/>
          <w:b/>
          <w:bCs/>
          <w:sz w:val="18"/>
          <w:szCs w:val="18"/>
          <w:lang w:val="en-US"/>
        </w:rPr>
        <w:t xml:space="preserve">Supplementary </w:t>
      </w:r>
      <w:r>
        <w:rPr>
          <w:rFonts w:ascii="Verdana" w:hAnsi="Verdana"/>
          <w:b/>
          <w:bCs/>
          <w:sz w:val="18"/>
          <w:szCs w:val="18"/>
          <w:lang w:val="en-US"/>
        </w:rPr>
        <w:t>Information</w:t>
      </w:r>
    </w:p>
    <w:p w14:paraId="0A3275D0" w14:textId="77777777" w:rsidR="00037A14" w:rsidRPr="00FB085D" w:rsidRDefault="00037A14" w:rsidP="00037A14">
      <w:pPr>
        <w:spacing w:line="360" w:lineRule="auto"/>
        <w:jc w:val="both"/>
        <w:rPr>
          <w:rFonts w:ascii="Verdana" w:hAnsi="Verdana"/>
          <w:sz w:val="18"/>
          <w:szCs w:val="18"/>
          <w:lang w:val="en-US"/>
        </w:rPr>
      </w:pPr>
      <w:r w:rsidRPr="00FB085D">
        <w:rPr>
          <w:rFonts w:ascii="Verdana" w:hAnsi="Verdana"/>
          <w:sz w:val="18"/>
          <w:szCs w:val="18"/>
          <w:lang w:val="en-US"/>
        </w:rPr>
        <w:t>Supplementary Figure 1:</w:t>
      </w:r>
    </w:p>
    <w:p w14:paraId="272861DD" w14:textId="5D0CB6E4" w:rsidR="0060454D" w:rsidRDefault="00037A14">
      <w:r>
        <w:rPr>
          <w:noProof/>
        </w:rPr>
        <w:drawing>
          <wp:inline distT="0" distB="0" distL="0" distR="0" wp14:anchorId="7480CB54" wp14:editId="1FBAD1BB">
            <wp:extent cx="5584190" cy="6322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632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1B2E5" w14:textId="27514F0F" w:rsidR="00037A14" w:rsidRPr="00037A14" w:rsidRDefault="00037A14" w:rsidP="00037A14">
      <w:pPr>
        <w:spacing w:line="360" w:lineRule="auto"/>
        <w:jc w:val="both"/>
        <w:rPr>
          <w:rFonts w:ascii="Verdana" w:hAnsi="Verdana"/>
          <w:sz w:val="18"/>
          <w:szCs w:val="18"/>
          <w:lang w:val="en-US"/>
        </w:rPr>
      </w:pPr>
      <w:r w:rsidRPr="00FB085D">
        <w:rPr>
          <w:rFonts w:ascii="Verdana" w:hAnsi="Verdana"/>
          <w:b/>
          <w:bCs/>
          <w:sz w:val="18"/>
          <w:szCs w:val="18"/>
          <w:lang w:val="en-US"/>
        </w:rPr>
        <w:t>Supplementary Figure 1: IL-15 modulates the immune cell activation.</w:t>
      </w:r>
      <w:r w:rsidRPr="00FB085D">
        <w:rPr>
          <w:rFonts w:ascii="Verdana" w:hAnsi="Verdana"/>
          <w:sz w:val="18"/>
          <w:szCs w:val="18"/>
          <w:lang w:val="en-US"/>
        </w:rPr>
        <w:t xml:space="preserve"> (A) Gating strategy for discrimination of CD3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-</w:t>
      </w:r>
      <w:r w:rsidRPr="00FB085D">
        <w:rPr>
          <w:rFonts w:ascii="Verdana" w:hAnsi="Verdana"/>
          <w:sz w:val="18"/>
          <w:szCs w:val="18"/>
          <w:lang w:val="en-US"/>
        </w:rPr>
        <w:t xml:space="preserve"> CD56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NK cells, CD3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CD4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T cells and CD3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CD8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T cells. (B) Expression of activation markers CD134 (left panel), CD137 (middle panel) and PD-1 (right panel) on CD3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-</w:t>
      </w:r>
      <w:r w:rsidRPr="00FB085D">
        <w:rPr>
          <w:rFonts w:ascii="Verdana" w:hAnsi="Verdana"/>
          <w:sz w:val="18"/>
          <w:szCs w:val="18"/>
          <w:lang w:val="en-US"/>
        </w:rPr>
        <w:t xml:space="preserve"> CD56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NK cells (upper row), CD3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CD4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T cells (middle row) and CD3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CD8</w:t>
      </w:r>
      <w:r w:rsidRPr="00FB085D">
        <w:rPr>
          <w:rFonts w:ascii="Verdana" w:hAnsi="Verdana"/>
          <w:sz w:val="18"/>
          <w:szCs w:val="18"/>
          <w:vertAlign w:val="superscript"/>
          <w:lang w:val="en-US"/>
        </w:rPr>
        <w:t>+</w:t>
      </w:r>
      <w:r w:rsidRPr="00FB085D">
        <w:rPr>
          <w:rFonts w:ascii="Verdana" w:hAnsi="Verdana"/>
          <w:sz w:val="18"/>
          <w:szCs w:val="18"/>
          <w:lang w:val="en-US"/>
        </w:rPr>
        <w:t xml:space="preserve"> T cells (lower row), measured in flow cytometry after 48 hours in co-culture.</w:t>
      </w:r>
    </w:p>
    <w:sectPr w:rsidR="00037A14" w:rsidRPr="00037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14"/>
    <w:rsid w:val="00037A14"/>
    <w:rsid w:val="000857A4"/>
    <w:rsid w:val="00FC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CEDD1"/>
  <w15:chartTrackingRefBased/>
  <w15:docId w15:val="{ABF0E48C-593B-4893-91B7-3C87D01E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A1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Maximilian Awad</dc:creator>
  <cp:keywords/>
  <dc:description/>
  <cp:lastModifiedBy>Robin Maximilian Awad</cp:lastModifiedBy>
  <cp:revision>1</cp:revision>
  <dcterms:created xsi:type="dcterms:W3CDTF">2022-11-14T17:10:00Z</dcterms:created>
  <dcterms:modified xsi:type="dcterms:W3CDTF">2022-11-14T17:14:00Z</dcterms:modified>
</cp:coreProperties>
</file>