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37BBB" w14:textId="77777777" w:rsidR="00E55951" w:rsidRPr="00D62B34" w:rsidRDefault="00E55951" w:rsidP="00E55951">
      <w:pPr>
        <w:spacing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D62B34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Engineered CHO cells as a novel AAV production platform for gene therapy delivery </w:t>
      </w:r>
    </w:p>
    <w:p w14:paraId="2C0E98BD" w14:textId="77777777" w:rsidR="00E55951" w:rsidRPr="00D62B34" w:rsidRDefault="00E55951" w:rsidP="00E55951">
      <w:p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  <w:vertAlign w:val="superscript"/>
        </w:rPr>
      </w:pPr>
      <w:r w:rsidRPr="00D62B34">
        <w:rPr>
          <w:rFonts w:asciiTheme="majorBidi" w:eastAsia="Times New Roman" w:hAnsiTheme="majorBidi" w:cstheme="majorBidi"/>
          <w:sz w:val="24"/>
          <w:szCs w:val="24"/>
        </w:rPr>
        <w:t>Abdou Nagy</w:t>
      </w:r>
      <w:r w:rsidRPr="00D62B34">
        <w:rPr>
          <w:rFonts w:asciiTheme="majorBidi" w:eastAsia="Times New Roman" w:hAnsiTheme="majorBidi" w:cstheme="majorBidi"/>
          <w:sz w:val="24"/>
          <w:szCs w:val="24"/>
          <w:vertAlign w:val="superscript"/>
        </w:rPr>
        <w:t>1*</w:t>
      </w:r>
      <w:r w:rsidRPr="00D62B34">
        <w:rPr>
          <w:rFonts w:asciiTheme="majorBidi" w:eastAsia="Times New Roman" w:hAnsiTheme="majorBidi" w:cstheme="majorBidi"/>
          <w:sz w:val="24"/>
          <w:szCs w:val="24"/>
        </w:rPr>
        <w:t>, Lina Chakrabarti</w:t>
      </w:r>
      <w:r w:rsidRPr="00D62B34">
        <w:rPr>
          <w:rFonts w:asciiTheme="majorBidi" w:eastAsia="Times New Roman" w:hAnsiTheme="majorBidi" w:cstheme="majorBidi"/>
          <w:sz w:val="24"/>
          <w:szCs w:val="24"/>
          <w:vertAlign w:val="superscript"/>
        </w:rPr>
        <w:t>1</w:t>
      </w:r>
      <w:r w:rsidRPr="00D62B34">
        <w:rPr>
          <w:rFonts w:asciiTheme="majorBidi" w:eastAsia="Times New Roman" w:hAnsiTheme="majorBidi" w:cstheme="majorBidi"/>
          <w:sz w:val="24"/>
          <w:szCs w:val="24"/>
        </w:rPr>
        <w:t>, James Kurasawa</w:t>
      </w:r>
      <w:r w:rsidRPr="00D62B34">
        <w:rPr>
          <w:rFonts w:asciiTheme="majorBidi" w:eastAsia="Times New Roman" w:hAnsiTheme="majorBidi" w:cstheme="majorBidi"/>
          <w:sz w:val="24"/>
          <w:szCs w:val="24"/>
          <w:vertAlign w:val="superscript"/>
        </w:rPr>
        <w:t>2</w:t>
      </w:r>
      <w:r w:rsidRPr="00D62B34">
        <w:rPr>
          <w:rFonts w:asciiTheme="majorBidi" w:eastAsia="Times New Roman" w:hAnsiTheme="majorBidi" w:cstheme="majorBidi"/>
          <w:sz w:val="24"/>
          <w:szCs w:val="24"/>
        </w:rPr>
        <w:t>, Sri Hari Raju Mulagapati</w:t>
      </w:r>
      <w:r w:rsidRPr="00D62B34">
        <w:rPr>
          <w:rFonts w:asciiTheme="majorBidi" w:eastAsia="Times New Roman" w:hAnsiTheme="majorBidi" w:cstheme="majorBidi"/>
          <w:sz w:val="24"/>
          <w:szCs w:val="24"/>
          <w:vertAlign w:val="superscript"/>
        </w:rPr>
        <w:t>3</w:t>
      </w:r>
      <w:r w:rsidRPr="00D62B34">
        <w:rPr>
          <w:rFonts w:asciiTheme="majorBidi" w:eastAsia="Times New Roman" w:hAnsiTheme="majorBidi" w:cstheme="majorBidi"/>
          <w:sz w:val="24"/>
          <w:szCs w:val="24"/>
        </w:rPr>
        <w:t>, Paul Devine</w:t>
      </w:r>
      <w:r w:rsidRPr="00D62B34">
        <w:rPr>
          <w:rFonts w:asciiTheme="majorBidi" w:eastAsia="Times New Roman" w:hAnsiTheme="majorBidi" w:cstheme="majorBidi"/>
          <w:sz w:val="24"/>
          <w:szCs w:val="24"/>
          <w:vertAlign w:val="superscript"/>
        </w:rPr>
        <w:t>4</w:t>
      </w:r>
      <w:r w:rsidRPr="00D62B34">
        <w:rPr>
          <w:rFonts w:asciiTheme="majorBidi" w:eastAsia="Times New Roman" w:hAnsiTheme="majorBidi" w:cstheme="majorBidi"/>
          <w:sz w:val="24"/>
          <w:szCs w:val="24"/>
        </w:rPr>
        <w:t>, Jamy Therres</w:t>
      </w:r>
      <w:r w:rsidRPr="00D62B34">
        <w:rPr>
          <w:rFonts w:asciiTheme="majorBidi" w:eastAsia="Times New Roman" w:hAnsiTheme="majorBidi" w:cstheme="majorBidi"/>
          <w:sz w:val="24"/>
          <w:szCs w:val="24"/>
          <w:vertAlign w:val="superscript"/>
        </w:rPr>
        <w:t>1</w:t>
      </w:r>
      <w:r w:rsidRPr="00D62B34">
        <w:rPr>
          <w:rFonts w:asciiTheme="majorBidi" w:eastAsia="Times New Roman" w:hAnsiTheme="majorBidi" w:cstheme="majorBidi"/>
          <w:sz w:val="24"/>
          <w:szCs w:val="24"/>
        </w:rPr>
        <w:t>, Zhongying Chen</w:t>
      </w:r>
      <w:r w:rsidRPr="00D62B34">
        <w:rPr>
          <w:rFonts w:asciiTheme="majorBidi" w:eastAsia="Times New Roman" w:hAnsiTheme="majorBidi" w:cstheme="majorBidi"/>
          <w:sz w:val="24"/>
          <w:szCs w:val="24"/>
          <w:vertAlign w:val="superscript"/>
        </w:rPr>
        <w:t>5</w:t>
      </w:r>
      <w:r w:rsidRPr="00D62B34">
        <w:rPr>
          <w:rFonts w:asciiTheme="majorBidi" w:eastAsia="Times New Roman" w:hAnsiTheme="majorBidi" w:cstheme="majorBidi"/>
          <w:sz w:val="24"/>
          <w:szCs w:val="24"/>
        </w:rPr>
        <w:t xml:space="preserve">, Albert 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E </w:t>
      </w:r>
      <w:r w:rsidRPr="00D62B34">
        <w:rPr>
          <w:rFonts w:asciiTheme="majorBidi" w:eastAsia="Times New Roman" w:hAnsiTheme="majorBidi" w:cstheme="majorBidi"/>
          <w:sz w:val="24"/>
          <w:szCs w:val="24"/>
        </w:rPr>
        <w:t>Schmelzer</w:t>
      </w:r>
      <w:r w:rsidRPr="00D62B34">
        <w:rPr>
          <w:rFonts w:asciiTheme="majorBidi" w:eastAsia="Times New Roman" w:hAnsiTheme="majorBidi" w:cstheme="majorBidi"/>
          <w:sz w:val="24"/>
          <w:szCs w:val="24"/>
          <w:vertAlign w:val="superscript"/>
        </w:rPr>
        <w:t>1*</w:t>
      </w:r>
    </w:p>
    <w:p w14:paraId="47066267" w14:textId="77777777" w:rsidR="00E55951" w:rsidRPr="00D62B34" w:rsidRDefault="00E55951" w:rsidP="00E55951">
      <w:p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D62B34">
        <w:rPr>
          <w:rFonts w:asciiTheme="majorBidi" w:eastAsia="Times New Roman" w:hAnsiTheme="majorBidi" w:cstheme="majorBidi"/>
          <w:sz w:val="24"/>
          <w:szCs w:val="24"/>
          <w:vertAlign w:val="superscript"/>
        </w:rPr>
        <w:t>1</w:t>
      </w:r>
      <w:r w:rsidRPr="00D62B34">
        <w:rPr>
          <w:rFonts w:asciiTheme="majorBidi" w:eastAsia="Times New Roman" w:hAnsiTheme="majorBidi" w:cstheme="majorBidi"/>
          <w:sz w:val="24"/>
          <w:szCs w:val="24"/>
        </w:rPr>
        <w:t xml:space="preserve"> Cell Culture and Fermentation Sciences, Biopharmaceutical Development, BioPharmaceuticals R&amp;D, AstraZeneca, One MedImmune Way, Gaithersburg, MD 20878, USA.</w:t>
      </w:r>
    </w:p>
    <w:p w14:paraId="5AF9D7CB" w14:textId="77777777" w:rsidR="00E55951" w:rsidRPr="00D62B34" w:rsidRDefault="00E55951" w:rsidP="00E55951">
      <w:p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D62B34">
        <w:rPr>
          <w:rFonts w:asciiTheme="majorBidi" w:eastAsia="Times New Roman" w:hAnsiTheme="majorBidi" w:cstheme="majorBidi"/>
          <w:sz w:val="24"/>
          <w:szCs w:val="24"/>
          <w:vertAlign w:val="superscript"/>
        </w:rPr>
        <w:t>2</w:t>
      </w:r>
      <w:r w:rsidRPr="00D62B34">
        <w:rPr>
          <w:rFonts w:asciiTheme="majorBidi" w:eastAsia="Segoe UI" w:hAnsiTheme="majorBidi" w:cstheme="majorBidi"/>
          <w:sz w:val="24"/>
          <w:szCs w:val="24"/>
        </w:rPr>
        <w:t xml:space="preserve"> </w:t>
      </w:r>
      <w:r w:rsidRPr="00D62B34">
        <w:rPr>
          <w:rFonts w:asciiTheme="majorBidi" w:eastAsia="Times New Roman" w:hAnsiTheme="majorBidi" w:cstheme="majorBidi"/>
          <w:sz w:val="24"/>
          <w:szCs w:val="24"/>
        </w:rPr>
        <w:t>Biologics Engineering, R&amp;D, AstraZeneca, One MedImmune Way, Gaithersburg, MD 20878, USA.</w:t>
      </w:r>
    </w:p>
    <w:p w14:paraId="3DD86070" w14:textId="77777777" w:rsidR="00E55951" w:rsidRPr="00D62B34" w:rsidRDefault="00E55951" w:rsidP="00E55951">
      <w:p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D62B34">
        <w:rPr>
          <w:rFonts w:asciiTheme="majorBidi" w:eastAsia="Times New Roman" w:hAnsiTheme="majorBidi" w:cstheme="majorBidi"/>
          <w:sz w:val="24"/>
          <w:szCs w:val="24"/>
          <w:vertAlign w:val="superscript"/>
        </w:rPr>
        <w:t>3</w:t>
      </w:r>
      <w:r w:rsidRPr="00D62B34">
        <w:rPr>
          <w:rFonts w:asciiTheme="majorBidi" w:eastAsia="Times New Roman" w:hAnsiTheme="majorBidi" w:cstheme="majorBidi"/>
          <w:sz w:val="24"/>
          <w:szCs w:val="24"/>
        </w:rPr>
        <w:t xml:space="preserve"> Analytical Science, Biopharmaceutical Development, Biopharma R&amp;D, AstraZeneca, One MedImmune Way, Gaithersburg, MD 20878, USA. </w:t>
      </w:r>
    </w:p>
    <w:p w14:paraId="30F86C6D" w14:textId="77777777" w:rsidR="00E55951" w:rsidRPr="00D62B34" w:rsidRDefault="00E55951" w:rsidP="00E55951">
      <w:p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D62B34">
        <w:rPr>
          <w:rFonts w:asciiTheme="majorBidi" w:eastAsia="Times New Roman" w:hAnsiTheme="majorBidi" w:cstheme="majorBidi"/>
          <w:sz w:val="24"/>
          <w:szCs w:val="24"/>
          <w:vertAlign w:val="superscript"/>
        </w:rPr>
        <w:t>4</w:t>
      </w:r>
      <w:r w:rsidRPr="00D62B34">
        <w:rPr>
          <w:rFonts w:asciiTheme="majorBidi" w:eastAsia="Times New Roman" w:hAnsiTheme="majorBidi" w:cstheme="majorBidi"/>
          <w:sz w:val="24"/>
          <w:szCs w:val="24"/>
        </w:rPr>
        <w:t xml:space="preserve"> Analytical Science, Biopharmaceutical Development, Biopharma R&amp;D, AstraZeneca, Milstein Building, Granta Park, Cambridge, CB216GH, UK.</w:t>
      </w:r>
    </w:p>
    <w:p w14:paraId="45644CDE" w14:textId="77777777" w:rsidR="00E55951" w:rsidRPr="00D62B34" w:rsidRDefault="00E55951" w:rsidP="00E55951">
      <w:p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D62B34">
        <w:rPr>
          <w:rFonts w:asciiTheme="majorBidi" w:eastAsia="Times New Roman" w:hAnsiTheme="majorBidi" w:cstheme="majorBidi"/>
          <w:sz w:val="24"/>
          <w:szCs w:val="24"/>
          <w:vertAlign w:val="superscript"/>
        </w:rPr>
        <w:t>5</w:t>
      </w:r>
      <w:r w:rsidRPr="00D62B34">
        <w:rPr>
          <w:rFonts w:asciiTheme="majorBidi" w:eastAsia="Times New Roman" w:hAnsiTheme="majorBidi" w:cstheme="majorBidi"/>
          <w:sz w:val="24"/>
          <w:szCs w:val="24"/>
        </w:rPr>
        <w:t xml:space="preserve"> Clinical Pharmacology and Safety Sciences, AstraZeneca, One MedImmune Way, Gaithersburg, MD 20878, USA.</w:t>
      </w:r>
    </w:p>
    <w:p w14:paraId="1DF920CF" w14:textId="7505BB4B" w:rsidR="005D054A" w:rsidRDefault="005D054A">
      <w:pPr>
        <w:rPr>
          <w:noProof/>
        </w:rPr>
      </w:pPr>
      <w:r>
        <w:rPr>
          <w:noProof/>
        </w:rPr>
        <w:br w:type="page"/>
      </w:r>
    </w:p>
    <w:p w14:paraId="5178E799" w14:textId="28E9B66C" w:rsidR="002334DC" w:rsidRDefault="00E40F24" w:rsidP="0039005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8533A7F" wp14:editId="3C5E218C">
            <wp:extent cx="5952805" cy="468908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20" t="23549" r="16987" b="11347"/>
                    <a:stretch/>
                  </pic:blipFill>
                  <pic:spPr bwMode="auto">
                    <a:xfrm>
                      <a:off x="0" y="0"/>
                      <a:ext cx="5962966" cy="4697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C5C6C" w:rsidRPr="00BC5C6C">
        <w:rPr>
          <w:b/>
          <w:bCs/>
        </w:rPr>
        <w:t>Figure S1</w:t>
      </w:r>
      <w:r w:rsidR="00384772">
        <w:rPr>
          <w:b/>
          <w:bCs/>
        </w:rPr>
        <w:t>.</w:t>
      </w:r>
      <w:r w:rsidR="00BC5C6C">
        <w:t xml:space="preserve"> Flow cytometry gating strategy. High and medium HVEM-expressing clones were identified and selected for single cell deposition (P2 and P3, respectively).</w:t>
      </w:r>
    </w:p>
    <w:p w14:paraId="5C29D35E" w14:textId="29080A87" w:rsidR="0039005C" w:rsidRDefault="0039005C">
      <w:pPr>
        <w:rPr>
          <w:noProof/>
        </w:rPr>
      </w:pPr>
      <w:r>
        <w:rPr>
          <w:noProof/>
        </w:rPr>
        <w:br w:type="page"/>
      </w:r>
    </w:p>
    <w:p w14:paraId="5252B3EA" w14:textId="73CA8902" w:rsidR="000C76BA" w:rsidRDefault="00C80BA5" w:rsidP="0039005C">
      <w:pPr>
        <w:rPr>
          <w:b/>
          <w:bCs/>
          <w:sz w:val="24"/>
          <w:szCs w:val="24"/>
        </w:rPr>
      </w:pPr>
      <w:r w:rsidRPr="00C80BA5">
        <w:lastRenderedPageBreak/>
        <w:t xml:space="preserve"> </w:t>
      </w:r>
      <w:r>
        <w:object w:dxaOrig="8275" w:dyaOrig="4750" w14:anchorId="0F7FC8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14pt;height:237.5pt" o:ole="">
            <v:imagedata r:id="rId5" o:title=""/>
          </v:shape>
          <o:OLEObject Type="Embed" ProgID="Prism9.Document" ShapeID="_x0000_i1027" DrawAspect="Content" ObjectID="_1759667081" r:id="rId6"/>
        </w:object>
      </w:r>
      <w:r>
        <w:rPr>
          <w:noProof/>
        </w:rPr>
        <w:t xml:space="preserve"> </w:t>
      </w:r>
      <w:r w:rsidR="005E618F">
        <w:object w:dxaOrig="6165" w:dyaOrig="4685" w14:anchorId="0514388F">
          <v:shape id="_x0000_i1028" type="#_x0000_t75" style="width:308.5pt;height:234.5pt" o:ole="">
            <v:imagedata r:id="rId7" o:title=""/>
          </v:shape>
          <o:OLEObject Type="Embed" ProgID="Prism9.Document" ShapeID="_x0000_i1028" DrawAspect="Content" ObjectID="_1759667082" r:id="rId8"/>
        </w:object>
      </w:r>
    </w:p>
    <w:p w14:paraId="07ACA578" w14:textId="425E5062" w:rsidR="002334DC" w:rsidRPr="00570269" w:rsidRDefault="00E40F24" w:rsidP="0039005C">
      <w:pPr>
        <w:rPr>
          <w:sz w:val="24"/>
          <w:szCs w:val="24"/>
        </w:rPr>
      </w:pPr>
      <w:r w:rsidRPr="00570269">
        <w:rPr>
          <w:b/>
          <w:bCs/>
          <w:sz w:val="24"/>
          <w:szCs w:val="24"/>
        </w:rPr>
        <w:t>Figure S2.</w:t>
      </w:r>
      <w:r w:rsidRPr="00570269">
        <w:rPr>
          <w:sz w:val="24"/>
          <w:szCs w:val="24"/>
        </w:rPr>
        <w:t xml:space="preserve"> Temperature switch post rHSV-1 co-infection. (</w:t>
      </w:r>
      <w:r w:rsidR="00DC7AD7">
        <w:rPr>
          <w:sz w:val="24"/>
          <w:szCs w:val="24"/>
        </w:rPr>
        <w:t>a</w:t>
      </w:r>
      <w:r w:rsidRPr="00570269">
        <w:rPr>
          <w:sz w:val="24"/>
          <w:szCs w:val="24"/>
        </w:rPr>
        <w:t>) Effect of temperature switch on cell viability post co-infection. (</w:t>
      </w:r>
      <w:r w:rsidR="00DC7AD7">
        <w:rPr>
          <w:sz w:val="24"/>
          <w:szCs w:val="24"/>
        </w:rPr>
        <w:t>b</w:t>
      </w:r>
      <w:r w:rsidRPr="00570269">
        <w:rPr>
          <w:sz w:val="24"/>
          <w:szCs w:val="24"/>
        </w:rPr>
        <w:t>) Effect of temperature switch on rAAV6.2 titers in cell culture medium and cell lysate.</w:t>
      </w:r>
    </w:p>
    <w:p w14:paraId="1CE38950" w14:textId="2693F2C6" w:rsidR="0039005C" w:rsidRDefault="0039005C">
      <w:r>
        <w:br w:type="page"/>
      </w:r>
    </w:p>
    <w:p w14:paraId="2393BA36" w14:textId="7A69D769" w:rsidR="002334DC" w:rsidRDefault="002334DC" w:rsidP="002334DC">
      <w:pPr>
        <w:tabs>
          <w:tab w:val="left" w:pos="1000"/>
        </w:tabs>
      </w:pPr>
      <w:r>
        <w:rPr>
          <w:noProof/>
        </w:rPr>
        <w:lastRenderedPageBreak/>
        <w:drawing>
          <wp:inline distT="0" distB="0" distL="0" distR="0" wp14:anchorId="5275D52F" wp14:editId="204B67C2">
            <wp:extent cx="6400996" cy="154869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4" t="45247" r="11037" b="29318"/>
                    <a:stretch/>
                  </pic:blipFill>
                  <pic:spPr bwMode="auto">
                    <a:xfrm>
                      <a:off x="0" y="0"/>
                      <a:ext cx="6501960" cy="157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946D53" w14:textId="5532DA00" w:rsidR="002334DC" w:rsidRPr="002334DC" w:rsidRDefault="002334DC" w:rsidP="002334DC"/>
    <w:p w14:paraId="1AE20B78" w14:textId="0C5667CA" w:rsidR="002334DC" w:rsidRPr="002334DC" w:rsidRDefault="003800AE" w:rsidP="0039005C">
      <w:r w:rsidRPr="003800AE">
        <w:rPr>
          <w:b/>
          <w:bCs/>
        </w:rPr>
        <w:t>Figure S3.</w:t>
      </w:r>
      <w:r>
        <w:t xml:space="preserve"> Workflow of the PEG-Chloroform rAAV purification method used for CHO cells.</w:t>
      </w:r>
      <w:r w:rsidR="0037272D">
        <w:t xml:space="preserve"> The figure was generated with BioRender.com</w:t>
      </w:r>
    </w:p>
    <w:p w14:paraId="72DF4561" w14:textId="6F7D6FA4" w:rsidR="0039005C" w:rsidRDefault="0039005C">
      <w:r>
        <w:br w:type="page"/>
      </w:r>
    </w:p>
    <w:p w14:paraId="634B117B" w14:textId="4716C9F3" w:rsidR="002334DC" w:rsidRDefault="009D27F2" w:rsidP="002334DC">
      <w:pPr>
        <w:jc w:val="right"/>
      </w:pPr>
      <w:r w:rsidRPr="009D27F2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126B14B3" wp14:editId="626DAEDB">
            <wp:extent cx="5943600" cy="4487545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E2712" w14:textId="17F5A98A" w:rsidR="002334DC" w:rsidRDefault="00EE7271" w:rsidP="00B0024B">
      <w:r w:rsidRPr="00EE7271">
        <w:rPr>
          <w:b/>
          <w:bCs/>
        </w:rPr>
        <w:t>Figure S</w:t>
      </w:r>
      <w:r w:rsidR="00EC53D7">
        <w:rPr>
          <w:b/>
          <w:bCs/>
        </w:rPr>
        <w:t>4</w:t>
      </w:r>
      <w:r w:rsidRPr="00EE7271">
        <w:rPr>
          <w:b/>
          <w:bCs/>
        </w:rPr>
        <w:t>.</w:t>
      </w:r>
      <w:r>
        <w:t xml:space="preserve"> Evaluation of infectious rHSV-1 residues in purified rAAVs on V27 cells. Complementing V27 cells that stably express HSV-1 ICP27 protein were tested for any infectious residues of rHSV-1 vectors used in production of rAAVs in CHO-HV-C1 clone. PBS was used as a mock infection control.</w:t>
      </w:r>
    </w:p>
    <w:p w14:paraId="0712D7FC" w14:textId="77777777" w:rsidR="002334DC" w:rsidRPr="002334DC" w:rsidRDefault="002334DC" w:rsidP="002334DC">
      <w:pPr>
        <w:jc w:val="right"/>
      </w:pPr>
    </w:p>
    <w:sectPr w:rsidR="002334DC" w:rsidRPr="002334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20A"/>
    <w:rsid w:val="000C76BA"/>
    <w:rsid w:val="0011046B"/>
    <w:rsid w:val="00172E59"/>
    <w:rsid w:val="002334DC"/>
    <w:rsid w:val="0037272D"/>
    <w:rsid w:val="003800AE"/>
    <w:rsid w:val="00384772"/>
    <w:rsid w:val="0039005C"/>
    <w:rsid w:val="003A6F82"/>
    <w:rsid w:val="003E5D7F"/>
    <w:rsid w:val="00570269"/>
    <w:rsid w:val="005D054A"/>
    <w:rsid w:val="005E618F"/>
    <w:rsid w:val="006B77E7"/>
    <w:rsid w:val="00723138"/>
    <w:rsid w:val="0074520A"/>
    <w:rsid w:val="007E5E0C"/>
    <w:rsid w:val="009D27F2"/>
    <w:rsid w:val="00B0024B"/>
    <w:rsid w:val="00BC5C6C"/>
    <w:rsid w:val="00C80BA5"/>
    <w:rsid w:val="00DC7AD7"/>
    <w:rsid w:val="00E40F24"/>
    <w:rsid w:val="00E55951"/>
    <w:rsid w:val="00E85B70"/>
    <w:rsid w:val="00EC53D7"/>
    <w:rsid w:val="00EE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6B0D428"/>
  <w15:chartTrackingRefBased/>
  <w15:docId w15:val="{AD2F52CA-2F90-43EA-8F52-CF7612495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C76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76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76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76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76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Nagy, Abdou</dc:creator>
  <cp:keywords/>
  <dc:description/>
  <cp:lastModifiedBy>Nagy, Abdou</cp:lastModifiedBy>
  <cp:revision>11</cp:revision>
  <dcterms:created xsi:type="dcterms:W3CDTF">2023-10-24T14:46:00Z</dcterms:created>
  <dcterms:modified xsi:type="dcterms:W3CDTF">2023-10-24T19:38:00Z</dcterms:modified>
</cp:coreProperties>
</file>