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759" w:rsidRPr="007D6DEB" w:rsidRDefault="00356759" w:rsidP="00356759">
      <w:pPr>
        <w:spacing w:line="480" w:lineRule="auto"/>
        <w:jc w:val="left"/>
        <w:rPr>
          <w:b/>
          <w:bCs/>
          <w:sz w:val="22"/>
        </w:rPr>
      </w:pPr>
      <w:r w:rsidRPr="007D6DEB">
        <w:rPr>
          <w:b/>
          <w:bCs/>
          <w:sz w:val="22"/>
        </w:rPr>
        <w:t>Supplementary Material</w:t>
      </w:r>
    </w:p>
    <w:p w:rsidR="00356759" w:rsidRPr="007D6DEB" w:rsidRDefault="00356759" w:rsidP="00356759">
      <w:pPr>
        <w:spacing w:line="480" w:lineRule="auto"/>
        <w:jc w:val="left"/>
        <w:rPr>
          <w:b/>
          <w:bCs/>
          <w:spacing w:val="15"/>
          <w:sz w:val="22"/>
        </w:rPr>
      </w:pPr>
      <w:r w:rsidRPr="007D6DEB">
        <w:rPr>
          <w:b/>
          <w:bCs/>
          <w:sz w:val="22"/>
        </w:rPr>
        <w:t>Supplementary Methods.</w:t>
      </w:r>
    </w:p>
    <w:p w:rsidR="00356759" w:rsidRPr="007D6DEB" w:rsidRDefault="00356759" w:rsidP="00356759">
      <w:pPr>
        <w:spacing w:beforeLines="50" w:before="120" w:afterLines="50" w:after="120" w:line="360" w:lineRule="auto"/>
        <w:jc w:val="left"/>
        <w:rPr>
          <w:spacing w:val="15"/>
          <w:sz w:val="22"/>
        </w:rPr>
      </w:pPr>
      <w:r w:rsidRPr="007D6DEB">
        <w:rPr>
          <w:b/>
          <w:bCs/>
          <w:sz w:val="22"/>
        </w:rPr>
        <w:t>Table S1</w:t>
      </w:r>
      <w:r w:rsidRPr="007D6DEB">
        <w:rPr>
          <w:sz w:val="22"/>
        </w:rPr>
        <w:t xml:space="preserve"> Numbers and ASRs per 100,000 in incidence, deaths, and DALYs for CKD-T2D in 2019, and percentage change from 1990 globally and by SDI quintile.</w:t>
      </w:r>
    </w:p>
    <w:p w:rsidR="00356759" w:rsidRPr="007D6DEB" w:rsidRDefault="00356759" w:rsidP="00356759">
      <w:pPr>
        <w:spacing w:beforeLines="50" w:before="120" w:afterLines="50" w:after="120" w:line="360" w:lineRule="auto"/>
        <w:jc w:val="left"/>
        <w:rPr>
          <w:spacing w:val="15"/>
          <w:sz w:val="22"/>
        </w:rPr>
      </w:pPr>
      <w:r w:rsidRPr="007D6DEB">
        <w:rPr>
          <w:b/>
          <w:bCs/>
          <w:sz w:val="22"/>
        </w:rPr>
        <w:t>Table S2</w:t>
      </w:r>
      <w:r w:rsidRPr="007D6DEB">
        <w:rPr>
          <w:sz w:val="22"/>
        </w:rPr>
        <w:t xml:space="preserve"> The average annual percentage change of incidence, death and DALYs in CKD-T2D by age, from 1990 to 2019.</w:t>
      </w:r>
      <w:bookmarkStart w:id="0" w:name="_GoBack"/>
      <w:bookmarkEnd w:id="0"/>
    </w:p>
    <w:p w:rsidR="00356759" w:rsidRPr="007D6DEB" w:rsidRDefault="00356759" w:rsidP="00356759">
      <w:pPr>
        <w:spacing w:beforeLines="50" w:before="120" w:afterLines="50" w:after="120" w:line="360" w:lineRule="auto"/>
        <w:jc w:val="left"/>
        <w:rPr>
          <w:spacing w:val="15"/>
          <w:sz w:val="22"/>
        </w:rPr>
      </w:pPr>
      <w:r w:rsidRPr="007D6DEB">
        <w:rPr>
          <w:b/>
          <w:bCs/>
          <w:sz w:val="22"/>
        </w:rPr>
        <w:t>Table S3</w:t>
      </w:r>
      <w:r w:rsidRPr="007D6DEB">
        <w:rPr>
          <w:sz w:val="22"/>
        </w:rPr>
        <w:t xml:space="preserve"> Age, period, and cohort effects on the global incidence, death and DALYs relative risk of CKD-T2D.</w:t>
      </w:r>
    </w:p>
    <w:p w:rsidR="00356759" w:rsidRPr="007D6DEB" w:rsidRDefault="00356759" w:rsidP="00356759">
      <w:pPr>
        <w:spacing w:beforeLines="50" w:before="120" w:afterLines="50" w:after="120" w:line="360" w:lineRule="auto"/>
        <w:jc w:val="left"/>
        <w:rPr>
          <w:spacing w:val="15"/>
          <w:sz w:val="22"/>
        </w:rPr>
      </w:pPr>
      <w:r w:rsidRPr="007D6DEB">
        <w:rPr>
          <w:b/>
          <w:bCs/>
          <w:sz w:val="22"/>
        </w:rPr>
        <w:t>Table S4</w:t>
      </w:r>
      <w:r w:rsidRPr="007D6DEB">
        <w:rPr>
          <w:sz w:val="22"/>
        </w:rPr>
        <w:t xml:space="preserve"> Changes in DALYs number according to population-level determinants from 1990 to 2019 globally and by SDI quintile.</w:t>
      </w:r>
    </w:p>
    <w:p w:rsidR="00356759" w:rsidRPr="007D6DEB" w:rsidRDefault="00356759" w:rsidP="00356759">
      <w:pPr>
        <w:spacing w:beforeLines="50" w:before="120" w:afterLines="50" w:after="120" w:line="360" w:lineRule="auto"/>
        <w:jc w:val="left"/>
        <w:rPr>
          <w:sz w:val="22"/>
        </w:rPr>
      </w:pPr>
      <w:r w:rsidRPr="007D6DEB">
        <w:rPr>
          <w:b/>
          <w:bCs/>
          <w:sz w:val="22"/>
        </w:rPr>
        <w:t>Table S5</w:t>
      </w:r>
      <w:r w:rsidRPr="007D6DEB">
        <w:rPr>
          <w:sz w:val="22"/>
        </w:rPr>
        <w:t xml:space="preserve"> Attributable risk factors for DALYs in CKD-T2D.</w:t>
      </w:r>
    </w:p>
    <w:p w:rsidR="00356759" w:rsidRPr="007D6DEB" w:rsidRDefault="00356759" w:rsidP="00356759">
      <w:pPr>
        <w:spacing w:beforeLines="50" w:before="120" w:afterLines="50" w:after="120" w:line="360" w:lineRule="auto"/>
        <w:jc w:val="left"/>
        <w:rPr>
          <w:spacing w:val="15"/>
          <w:sz w:val="22"/>
        </w:rPr>
      </w:pPr>
      <w:r w:rsidRPr="007D6DEB">
        <w:rPr>
          <w:b/>
          <w:bCs/>
          <w:sz w:val="22"/>
        </w:rPr>
        <w:t>Fig. S1</w:t>
      </w:r>
      <w:r w:rsidRPr="007D6DEB">
        <w:rPr>
          <w:sz w:val="22"/>
        </w:rPr>
        <w:t xml:space="preserve"> Age distribution of global male and female chronic kidney disease due to type 2 diabetes (CKD-T2D) incidence and deaths rate in 1990 and 2019. (a) incidence rate; (b) deaths rate.</w:t>
      </w:r>
    </w:p>
    <w:p w:rsidR="00356759" w:rsidRPr="007D6DEB" w:rsidRDefault="00356759" w:rsidP="00356759">
      <w:pPr>
        <w:spacing w:beforeLines="50" w:before="120" w:afterLines="50" w:after="120" w:line="360" w:lineRule="auto"/>
        <w:jc w:val="left"/>
        <w:rPr>
          <w:spacing w:val="15"/>
          <w:sz w:val="22"/>
        </w:rPr>
      </w:pPr>
      <w:r w:rsidRPr="007D6DEB">
        <w:rPr>
          <w:b/>
          <w:bCs/>
          <w:sz w:val="22"/>
        </w:rPr>
        <w:t>Fig. S2</w:t>
      </w:r>
      <w:r w:rsidRPr="007D6DEB">
        <w:rPr>
          <w:sz w:val="22"/>
        </w:rPr>
        <w:t xml:space="preserve"> Trends for crude rate and age-standardized rate (per 100,000 population) of chronic kidney disease due to type 2 diabetes (CKD-T2D) patients aged 20-59 years.</w:t>
      </w:r>
    </w:p>
    <w:p w:rsidR="00356759" w:rsidRPr="007D6DEB" w:rsidRDefault="00356759" w:rsidP="00356759">
      <w:pPr>
        <w:spacing w:beforeLines="50" w:before="120" w:afterLines="50" w:after="120" w:line="360" w:lineRule="auto"/>
        <w:jc w:val="left"/>
        <w:rPr>
          <w:spacing w:val="15"/>
          <w:sz w:val="22"/>
        </w:rPr>
      </w:pPr>
      <w:r w:rsidRPr="007D6DEB">
        <w:rPr>
          <w:b/>
          <w:bCs/>
          <w:sz w:val="22"/>
        </w:rPr>
        <w:t>Fig. S3</w:t>
      </w:r>
      <w:r w:rsidRPr="007D6DEB">
        <w:rPr>
          <w:sz w:val="22"/>
        </w:rPr>
        <w:t xml:space="preserve"> Worldwide percentage change of chronic kidney disease due to type 2 diabetes (CKD-T2D) patients aged 20-59 years per 100,000 population in 2019. (a) age-standardized incidence, (b) age-standardized deaths rate, (c) </w:t>
      </w:r>
      <w:bookmarkStart w:id="1" w:name="_Hlk130724556"/>
      <w:r w:rsidRPr="007D6DEB">
        <w:rPr>
          <w:sz w:val="22"/>
        </w:rPr>
        <w:t>age-standardized disability adjusted life years (DALYs)</w:t>
      </w:r>
      <w:bookmarkEnd w:id="1"/>
      <w:r w:rsidRPr="007D6DEB">
        <w:rPr>
          <w:sz w:val="22"/>
        </w:rPr>
        <w:t>.</w:t>
      </w:r>
    </w:p>
    <w:p w:rsidR="00356759" w:rsidRPr="007D6DEB" w:rsidRDefault="00356759" w:rsidP="00356759">
      <w:pPr>
        <w:spacing w:beforeLines="50" w:before="120" w:afterLines="50" w:after="120" w:line="360" w:lineRule="auto"/>
        <w:jc w:val="left"/>
        <w:rPr>
          <w:spacing w:val="15"/>
          <w:sz w:val="22"/>
        </w:rPr>
      </w:pPr>
      <w:r w:rsidRPr="007D6DEB">
        <w:rPr>
          <w:b/>
          <w:bCs/>
          <w:sz w:val="22"/>
        </w:rPr>
        <w:t>Fig. S4</w:t>
      </w:r>
      <w:r w:rsidRPr="007D6DEB">
        <w:rPr>
          <w:sz w:val="22"/>
        </w:rPr>
        <w:t xml:space="preserve"> Worldwide total number and rate of chronic kidney disease due to type 2 diabetes (CKD-T2D) patients aged 20-59 years, by age and sex in 2019. (a) incidence, (b) deaths, (c) disability adjusted life years (DALYs). Rate is per 100,000 population.</w:t>
      </w:r>
      <w:r w:rsidRPr="007D6DEB">
        <w:rPr>
          <w:spacing w:val="15"/>
          <w:sz w:val="22"/>
        </w:rPr>
        <w:t xml:space="preserve"> </w:t>
      </w:r>
    </w:p>
    <w:p w:rsidR="00356759" w:rsidRPr="007D6DEB" w:rsidRDefault="00356759" w:rsidP="00356759">
      <w:pPr>
        <w:spacing w:beforeLines="50" w:before="120" w:afterLines="50" w:after="120" w:line="360" w:lineRule="auto"/>
        <w:jc w:val="left"/>
        <w:rPr>
          <w:spacing w:val="15"/>
          <w:sz w:val="22"/>
        </w:rPr>
      </w:pPr>
      <w:r w:rsidRPr="007D6DEB">
        <w:rPr>
          <w:b/>
          <w:bCs/>
          <w:sz w:val="22"/>
        </w:rPr>
        <w:t>Fig. S5</w:t>
      </w:r>
      <w:r w:rsidRPr="007D6DEB">
        <w:rPr>
          <w:sz w:val="22"/>
        </w:rPr>
        <w:t xml:space="preserve"> Global age-specific tends of chronic kidney disease due to type 2 diabetes (CKD-T2D) in different birth cohorts. (a) incidence; (b) deaths rate; (c) </w:t>
      </w:r>
      <w:bookmarkStart w:id="2" w:name="_Hlk130724664"/>
      <w:r w:rsidRPr="007D6DEB">
        <w:rPr>
          <w:sz w:val="22"/>
        </w:rPr>
        <w:t>disability adjusted life years (DALYs)</w:t>
      </w:r>
      <w:bookmarkEnd w:id="2"/>
      <w:r w:rsidRPr="007D6DEB">
        <w:rPr>
          <w:sz w:val="22"/>
        </w:rPr>
        <w:t>.</w:t>
      </w:r>
    </w:p>
    <w:p w:rsidR="00356759" w:rsidRPr="007D6DEB" w:rsidRDefault="00356759" w:rsidP="00356759">
      <w:pPr>
        <w:spacing w:beforeLines="50" w:before="120" w:afterLines="50" w:after="120" w:line="360" w:lineRule="auto"/>
        <w:jc w:val="left"/>
        <w:rPr>
          <w:spacing w:val="15"/>
          <w:sz w:val="22"/>
        </w:rPr>
      </w:pPr>
      <w:r w:rsidRPr="007D6DEB">
        <w:rPr>
          <w:b/>
          <w:bCs/>
          <w:sz w:val="22"/>
        </w:rPr>
        <w:t>Fig. S6</w:t>
      </w:r>
      <w:r w:rsidRPr="007D6DEB">
        <w:rPr>
          <w:sz w:val="22"/>
        </w:rPr>
        <w:t xml:space="preserve"> Changes in chronic kidney disease due to type 2 diabetes (CKD-T2D) patients aged 20-59 years disability adjusted life years (DALYs) percent according to population-level determinants from 1990 to 2019 at the global level and by </w:t>
      </w:r>
      <w:bookmarkStart w:id="3" w:name="_Hlk130724718"/>
      <w:r w:rsidRPr="007D6DEB">
        <w:rPr>
          <w:sz w:val="22"/>
        </w:rPr>
        <w:t>socio-demographic index (SDI)</w:t>
      </w:r>
      <w:bookmarkEnd w:id="3"/>
      <w:r w:rsidRPr="007D6DEB">
        <w:rPr>
          <w:sz w:val="22"/>
        </w:rPr>
        <w:t xml:space="preserve"> quintile.</w:t>
      </w:r>
    </w:p>
    <w:p w:rsidR="00356759" w:rsidRPr="007D6DEB" w:rsidRDefault="00356759" w:rsidP="00356759">
      <w:pPr>
        <w:spacing w:beforeLines="50" w:before="120" w:afterLines="50" w:after="120" w:line="360" w:lineRule="auto"/>
        <w:jc w:val="left"/>
        <w:rPr>
          <w:spacing w:val="15"/>
          <w:sz w:val="22"/>
        </w:rPr>
      </w:pPr>
      <w:r w:rsidRPr="007D6DEB">
        <w:rPr>
          <w:b/>
          <w:bCs/>
          <w:sz w:val="22"/>
        </w:rPr>
        <w:t>Fig. S7</w:t>
      </w:r>
      <w:r w:rsidRPr="007D6DEB">
        <w:rPr>
          <w:sz w:val="22"/>
        </w:rPr>
        <w:t xml:space="preserve"> Proportion of disability adjusted life years (DALYs) attribute to 6 risk factors in chronic kidney disease due to type 2 diabetes (CKD-T2D) patients aged 20-59 years from 1990 to 2019 at the global level and by socio-demographic index (SDI) quintile.</w:t>
      </w:r>
    </w:p>
    <w:p w:rsidR="00356759" w:rsidRPr="007D6DEB" w:rsidRDefault="00356759" w:rsidP="00356759">
      <w:pPr>
        <w:spacing w:beforeLines="50" w:before="120" w:afterLines="50" w:after="120" w:line="360" w:lineRule="auto"/>
        <w:jc w:val="left"/>
        <w:rPr>
          <w:spacing w:val="15"/>
          <w:sz w:val="22"/>
        </w:rPr>
      </w:pPr>
      <w:r w:rsidRPr="007D6DEB">
        <w:rPr>
          <w:b/>
          <w:bCs/>
          <w:sz w:val="22"/>
        </w:rPr>
        <w:lastRenderedPageBreak/>
        <w:t>Fig. S8</w:t>
      </w:r>
      <w:r w:rsidRPr="007D6DEB">
        <w:rPr>
          <w:sz w:val="22"/>
        </w:rPr>
        <w:t xml:space="preserve"> Proportion of disability adjusted life years (DALYs) attribute to 6 risk factors in chronic kidney disease due to type 2 diabetes (CKD-T2D) patients aged 20-59 years in 2019 at the global level and by socio-demographic index (SDI) quintile. </w:t>
      </w:r>
    </w:p>
    <w:p w:rsidR="00356759" w:rsidRPr="007D6DEB" w:rsidRDefault="00356759" w:rsidP="00356759">
      <w:pPr>
        <w:spacing w:beforeLines="50" w:before="120" w:afterLines="50" w:after="120" w:line="360" w:lineRule="auto"/>
        <w:jc w:val="left"/>
        <w:rPr>
          <w:spacing w:val="15"/>
          <w:sz w:val="22"/>
        </w:rPr>
      </w:pPr>
      <w:r w:rsidRPr="007D6DEB">
        <w:rPr>
          <w:b/>
          <w:bCs/>
          <w:sz w:val="22"/>
        </w:rPr>
        <w:t>Fig. S9</w:t>
      </w:r>
      <w:r w:rsidRPr="007D6DEB">
        <w:rPr>
          <w:sz w:val="22"/>
        </w:rPr>
        <w:t xml:space="preserve"> </w:t>
      </w:r>
      <w:bookmarkStart w:id="4" w:name="OLE_LINK9"/>
      <w:r w:rsidRPr="007D6DEB">
        <w:rPr>
          <w:sz w:val="22"/>
        </w:rPr>
        <w:t>The population attributable fractions (PAFs) of disability adjusted life years (DALYs) in chronic kidney disease due to type 2 diabetes (CKD-T2D) patients aged 20-59 years across 204 countries and territories from low socio-demographic index (SDI) to high SDI in 2019.</w:t>
      </w:r>
      <w:bookmarkEnd w:id="4"/>
      <w:r w:rsidRPr="007D6DEB">
        <w:rPr>
          <w:sz w:val="22"/>
        </w:rPr>
        <w:t xml:space="preserve"> </w:t>
      </w:r>
    </w:p>
    <w:p w:rsidR="00545FAF" w:rsidRPr="007D6DEB" w:rsidRDefault="00545FAF" w:rsidP="00356759"/>
    <w:sectPr w:rsidR="00545FAF" w:rsidRPr="007D6D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898"/>
    <w:rsid w:val="00133898"/>
    <w:rsid w:val="00356759"/>
    <w:rsid w:val="00545FAF"/>
    <w:rsid w:val="007D6DEB"/>
    <w:rsid w:val="00C22FB5"/>
    <w:rsid w:val="00EE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3C3806-3BE0-4BD4-8B24-B374669C3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759"/>
    <w:pPr>
      <w:widowControl w:val="0"/>
      <w:spacing w:after="0" w:line="240" w:lineRule="auto"/>
      <w:jc w:val="both"/>
    </w:pPr>
    <w:rPr>
      <w:rFonts w:ascii="Times New Roman" w:eastAsia="SimSun" w:hAnsi="Times New Roman"/>
      <w:kern w:val="2"/>
      <w:sz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Ramya G</dc:creator>
  <cp:keywords/>
  <dc:description/>
  <cp:lastModifiedBy>Ramya G</cp:lastModifiedBy>
  <cp:revision>3</cp:revision>
  <dcterms:created xsi:type="dcterms:W3CDTF">2023-11-09T12:13:00Z</dcterms:created>
  <dcterms:modified xsi:type="dcterms:W3CDTF">2023-11-09T14:05:00Z</dcterms:modified>
</cp:coreProperties>
</file>