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60" w:lineRule="auto"/>
        <w:rPr>
          <w:rStyle w:val="4"/>
          <w:rFonts w:hint="eastAsia" w:ascii="Times New Roman" w:hAnsi="Times New Roman" w:eastAsia="宋体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eastAsia="zh-CN"/>
        </w:rPr>
        <w:t>Supplementary Figure S</w:t>
      </w: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1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Style w:val="5"/>
          <w:rFonts w:hint="default" w:ascii="Times New Roman" w:hAnsi="Times New Roman" w:eastAsia="宋体" w:cs="Times New Roman"/>
          <w:b w:val="0"/>
          <w:bCs/>
          <w:color w:val="auto"/>
          <w:sz w:val="28"/>
          <w:szCs w:val="28"/>
        </w:rPr>
        <w:t>Necroptosis scores did not differ significantly between early and advanced tumors</w:t>
      </w:r>
      <w:r>
        <w:rPr>
          <w:rStyle w:val="5"/>
          <w:rFonts w:hint="eastAsia" w:ascii="Times New Roman" w:hAnsi="Times New Roman" w:eastAsia="宋体" w:cs="Times New Roman"/>
          <w:b w:val="0"/>
          <w:bCs/>
          <w:color w:val="auto"/>
          <w:sz w:val="28"/>
          <w:szCs w:val="28"/>
          <w:lang w:val="en-US" w:eastAsia="zh-CN"/>
        </w:rPr>
        <w:t>.</w:t>
      </w:r>
    </w:p>
    <w:p>
      <w:pPr>
        <w:adjustRightInd w:val="0"/>
        <w:snapToGrid w:val="0"/>
        <w:spacing w:line="360" w:lineRule="auto"/>
        <w:rPr>
          <w:rFonts w:hint="default" w:ascii="Times New Roman" w:hAnsi="Times New Roman" w:cs="Times New Roman"/>
          <w:b/>
          <w:bCs/>
          <w:sz w:val="28"/>
          <w:szCs w:val="28"/>
          <w:lang w:eastAsia="zh-CN"/>
        </w:rPr>
      </w:pPr>
    </w:p>
    <w:p>
      <w:pPr>
        <w:adjustRightInd w:val="0"/>
        <w:snapToGrid w:val="0"/>
        <w:spacing w:line="360" w:lineRule="auto"/>
        <w:rPr>
          <w:rStyle w:val="4"/>
          <w:rFonts w:hint="default" w:ascii="Times New Roman" w:hAnsi="Times New Roman" w:cs="Times New Roman" w:eastAsiaTheme="minorEastAsia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eastAsia="zh-CN"/>
        </w:rPr>
        <w:t>Supplementary Figure S</w:t>
      </w: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2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 xml:space="preserve">(A) </w:t>
      </w:r>
      <w:r>
        <w:rPr>
          <w:rStyle w:val="4"/>
          <w:rFonts w:hint="default" w:ascii="Times New Roman" w:hAnsi="Times New Roman" w:cs="Times New Roman"/>
          <w:color w:val="auto"/>
          <w:sz w:val="28"/>
          <w:szCs w:val="28"/>
        </w:rPr>
        <w:t xml:space="preserve">94 </w:t>
      </w:r>
      <w:r>
        <w:rPr>
          <w:rStyle w:val="4"/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  <w:t>prognostic genes</w:t>
      </w:r>
      <w:r>
        <w:rPr>
          <w:rStyle w:val="4"/>
          <w:rFonts w:hint="default" w:ascii="Times New Roman" w:hAnsi="Times New Roman" w:cs="Times New Roman"/>
          <w:color w:val="auto"/>
          <w:sz w:val="28"/>
          <w:szCs w:val="28"/>
        </w:rPr>
        <w:t xml:space="preserve"> were selected by univa</w:t>
      </w:r>
      <w:bookmarkStart w:id="0" w:name="_GoBack"/>
      <w:bookmarkEnd w:id="0"/>
      <w:r>
        <w:rPr>
          <w:rStyle w:val="4"/>
          <w:rFonts w:hint="default" w:ascii="Times New Roman" w:hAnsi="Times New Roman" w:cs="Times New Roman"/>
          <w:color w:val="auto"/>
          <w:sz w:val="28"/>
          <w:szCs w:val="28"/>
        </w:rPr>
        <w:t>riate Cox analysis (p &lt;0</w:t>
      </w:r>
      <w:r>
        <w:rPr>
          <w:rStyle w:val="4"/>
          <w:rFonts w:hint="default" w:ascii="Times New Roman" w:hAnsi="Times New Roman" w:cs="Times New Roman"/>
          <w:color w:val="auto"/>
          <w:sz w:val="28"/>
          <w:szCs w:val="28"/>
          <w:lang w:eastAsia="zh-CN"/>
        </w:rPr>
        <w:t>.0</w:t>
      </w:r>
      <w:r>
        <w:rPr>
          <w:rStyle w:val="4"/>
          <w:rFonts w:hint="default" w:ascii="Times New Roman" w:hAnsi="Times New Roman" w:cs="Times New Roman"/>
          <w:color w:val="auto"/>
          <w:sz w:val="28"/>
          <w:szCs w:val="28"/>
        </w:rPr>
        <w:t xml:space="preserve">5). </w:t>
      </w:r>
      <w:r>
        <w:rPr>
          <w:rStyle w:val="4"/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  <w:t xml:space="preserve">(B) </w:t>
      </w:r>
      <w:r>
        <w:rPr>
          <w:rFonts w:hint="default" w:ascii="Times New Roman" w:hAnsi="Times New Roman" w:cs="Times New Roman"/>
          <w:sz w:val="28"/>
          <w:szCs w:val="28"/>
        </w:rPr>
        <w:t xml:space="preserve">Consensus matrix heatmap defining two 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gene</w:t>
      </w:r>
      <w:r>
        <w:rPr>
          <w:rFonts w:hint="default" w:ascii="Times New Roman" w:hAnsi="Times New Roman" w:cs="Times New Roman"/>
          <w:sz w:val="28"/>
          <w:szCs w:val="28"/>
        </w:rPr>
        <w:t xml:space="preserve"> clusters (k = 2).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 xml:space="preserve"> (C) 15 genes were applied in constructing the signature by </w:t>
      </w:r>
      <w:r>
        <w:rPr>
          <w:rFonts w:hint="default" w:ascii="Times New Roman" w:hAnsi="Times New Roman" w:cs="Times New Roman"/>
          <w:sz w:val="28"/>
          <w:szCs w:val="28"/>
        </w:rPr>
        <w:t>multivariate Cox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analysis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.</w:t>
      </w:r>
    </w:p>
    <w:p>
      <w:pPr>
        <w:adjustRightInd w:val="0"/>
        <w:snapToGrid w:val="0"/>
        <w:spacing w:line="360" w:lineRule="auto"/>
        <w:rPr>
          <w:rStyle w:val="4"/>
          <w:rFonts w:hint="default" w:ascii="Times New Roman" w:hAnsi="Times New Roman" w:cs="Times New Roman"/>
          <w:color w:val="auto"/>
          <w:sz w:val="28"/>
          <w:szCs w:val="28"/>
        </w:rPr>
      </w:pPr>
    </w:p>
    <w:p>
      <w:pPr>
        <w:spacing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eastAsia="zh-CN"/>
        </w:rPr>
        <w:t xml:space="preserve">Supplementary Figure </w:t>
      </w: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S3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</w:rPr>
        <w:t xml:space="preserve"> (A-D) The Kaplan-Meier analysis, expression profiles, survival status, and risk scores in the training cohort. (E) The ROC curves in the training cohort. </w:t>
      </w:r>
    </w:p>
    <w:p>
      <w:pPr>
        <w:spacing w:line="360" w:lineRule="auto"/>
        <w:rPr>
          <w:rFonts w:hint="default" w:ascii="Times New Roman" w:hAnsi="Times New Roman" w:cs="Times New Roman"/>
          <w:sz w:val="28"/>
          <w:szCs w:val="28"/>
        </w:rPr>
      </w:pPr>
    </w:p>
    <w:p>
      <w:pPr>
        <w:spacing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eastAsia="zh-CN"/>
        </w:rPr>
        <w:t xml:space="preserve">Supplementary Figure </w:t>
      </w: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S4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hint="default" w:ascii="Times New Roman" w:hAnsi="Times New Roman" w:cs="Times New Roman"/>
          <w:sz w:val="28"/>
          <w:szCs w:val="28"/>
        </w:rPr>
        <w:t xml:space="preserve">(A-D) The Kaplan-Meier analysis, expression profiles, survival status, and risk scores in the testing cohort. (E) The ROC curves in the testing cohort. </w:t>
      </w:r>
    </w:p>
    <w:p>
      <w:pPr>
        <w:spacing w:line="360" w:lineRule="auto"/>
        <w:rPr>
          <w:rFonts w:hint="default" w:ascii="Times New Roman" w:hAnsi="Times New Roman" w:cs="Times New Roman"/>
          <w:sz w:val="28"/>
          <w:szCs w:val="28"/>
        </w:rPr>
      </w:pPr>
    </w:p>
    <w:p>
      <w:pPr>
        <w:spacing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eastAsia="zh-CN"/>
        </w:rPr>
        <w:t xml:space="preserve">Supplementary Figure </w:t>
      </w: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S5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</w:rPr>
        <w:t xml:space="preserve"> Recognition of anti-tumor drugs for the model.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nionPro-Regular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wNTM0YTZjNTM2YzlmOGNiM2UyNWFkN2YzMWE2MDcifQ=="/>
  </w:docVars>
  <w:rsids>
    <w:rsidRoot w:val="00000000"/>
    <w:rsid w:val="25C278C4"/>
    <w:rsid w:val="79233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style21"/>
    <w:basedOn w:val="3"/>
    <w:qFormat/>
    <w:uiPriority w:val="0"/>
    <w:rPr>
      <w:rFonts w:hint="default" w:ascii="MinionPro-Regular" w:hAnsi="MinionPro-Regular"/>
      <w:color w:val="000000"/>
      <w:sz w:val="20"/>
      <w:szCs w:val="20"/>
    </w:rPr>
  </w:style>
  <w:style w:type="character" w:customStyle="1" w:styleId="5">
    <w:name w:val="transsent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93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2023-09-17T08:01:00Z</dcterms:created>
  <dc:creator>1</dc:creator>
  <cp:lastModifiedBy>User</cp:lastModifiedBy>
  <dcterms:modified xsi:type="dcterms:W3CDTF">2023-11-05T09:43:28Z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1C0E7E64047340F595FB71B970E66D3D_12</vt:lpwstr>
  </property>
</Properties>
</file>