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D46F" w14:textId="2F58474F" w:rsidR="006001E7" w:rsidRPr="007950CD" w:rsidRDefault="006001E7" w:rsidP="006001E7">
      <w:pPr>
        <w:rPr>
          <w:rFonts w:ascii="Times New Roman" w:hAnsi="Times New Roman" w:cs="Times New Roman"/>
        </w:rPr>
      </w:pPr>
      <w:r w:rsidRPr="007950CD">
        <w:rPr>
          <w:rFonts w:ascii="Times New Roman" w:hAnsi="Times New Roman" w:cs="Times New Roman"/>
          <w:b/>
          <w:bCs/>
        </w:rPr>
        <w:t xml:space="preserve">Submission ID: </w:t>
      </w:r>
      <w:r w:rsidRPr="007950CD">
        <w:rPr>
          <w:rFonts w:ascii="Times New Roman" w:hAnsi="Times New Roman" w:cs="Times New Roman"/>
        </w:rPr>
        <w:t>21bd5688-62b1-484b-8864-4b8ceea68817</w:t>
      </w:r>
      <w:r w:rsidR="0060326F">
        <w:rPr>
          <w:rFonts w:ascii="Times New Roman" w:hAnsi="Times New Roman" w:cs="Times New Roman"/>
        </w:rPr>
        <w:t>-R3</w:t>
      </w:r>
    </w:p>
    <w:p w14:paraId="6DD2F929" w14:textId="77777777" w:rsidR="00AC0A84" w:rsidRPr="007950CD" w:rsidRDefault="00AC0A84">
      <w:pPr>
        <w:rPr>
          <w:rFonts w:ascii="Times New Roman" w:hAnsi="Times New Roman" w:cs="Times New Roman"/>
        </w:rPr>
      </w:pPr>
    </w:p>
    <w:p w14:paraId="50568503" w14:textId="4CDA4243" w:rsidR="006001E7" w:rsidRPr="004D2106" w:rsidRDefault="006001E7" w:rsidP="006001E7">
      <w:pPr>
        <w:jc w:val="both"/>
        <w:rPr>
          <w:rFonts w:ascii="Times New Roman" w:hAnsi="Times New Roman" w:cs="Times New Roman"/>
          <w:b/>
          <w:bCs/>
        </w:rPr>
      </w:pPr>
      <w:r w:rsidRPr="004D2106">
        <w:rPr>
          <w:rFonts w:ascii="Times New Roman" w:hAnsi="Times New Roman" w:cs="Times New Roman"/>
          <w:b/>
          <w:bCs/>
        </w:rPr>
        <w:t xml:space="preserve">Title: Synthesis, molecular docking, and in vivo antidiabetic evaluation of new </w:t>
      </w:r>
      <w:proofErr w:type="spellStart"/>
      <w:r w:rsidRPr="004D2106">
        <w:rPr>
          <w:rFonts w:ascii="Times New Roman" w:hAnsi="Times New Roman" w:cs="Times New Roman"/>
          <w:b/>
          <w:bCs/>
        </w:rPr>
        <w:t>benzylidine</w:t>
      </w:r>
      <w:proofErr w:type="spellEnd"/>
      <w:r w:rsidRPr="004D2106">
        <w:rPr>
          <w:rFonts w:ascii="Times New Roman" w:hAnsi="Times New Roman" w:cs="Times New Roman"/>
          <w:b/>
          <w:bCs/>
        </w:rPr>
        <w:t xml:space="preserve"> 2,4-thiazolidinediones as partial PPAR-γ agonists</w:t>
      </w:r>
    </w:p>
    <w:p w14:paraId="117854B6" w14:textId="77777777" w:rsidR="006001E7" w:rsidRDefault="006001E7"/>
    <w:p w14:paraId="1073FAF7" w14:textId="2F38117A" w:rsidR="006001E7" w:rsidRDefault="006001E7">
      <w:pPr>
        <w:rPr>
          <w:noProof/>
        </w:rPr>
      </w:pPr>
      <w:r>
        <w:rPr>
          <w:noProof/>
        </w:rPr>
        <w:drawing>
          <wp:inline distT="0" distB="0" distL="0" distR="0" wp14:anchorId="6249DF33" wp14:editId="145184F6">
            <wp:extent cx="5731510" cy="5558155"/>
            <wp:effectExtent l="0" t="0" r="2540" b="4445"/>
            <wp:docPr id="797795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0FEDD" w14:textId="77777777" w:rsidR="006001E7" w:rsidRDefault="006001E7" w:rsidP="006001E7">
      <w:pPr>
        <w:rPr>
          <w:noProof/>
        </w:rPr>
      </w:pPr>
    </w:p>
    <w:p w14:paraId="75FDE338" w14:textId="7D114BD6" w:rsidR="006001E7" w:rsidRPr="006001E7" w:rsidRDefault="006001E7" w:rsidP="006001E7">
      <w:pPr>
        <w:jc w:val="both"/>
        <w:rPr>
          <w:rFonts w:ascii="Times New Roman" w:hAnsi="Times New Roman" w:cs="Times New Roman"/>
        </w:rPr>
      </w:pPr>
      <w:r w:rsidRPr="006001E7">
        <w:rPr>
          <w:rFonts w:ascii="Times New Roman" w:hAnsi="Times New Roman" w:cs="Times New Roman"/>
          <w:b/>
          <w:bCs/>
        </w:rPr>
        <w:t xml:space="preserve">Figure S1- </w:t>
      </w:r>
      <w:r w:rsidRPr="006001E7">
        <w:rPr>
          <w:rFonts w:ascii="Times New Roman" w:hAnsi="Times New Roman" w:cs="Times New Roman"/>
        </w:rPr>
        <w:t>Timeline graph delineating the interactions such as H-bonds, hydrophobic, ionic, and water bridges between compound 5c and PPAR-γ residues during the simulation period of 150 ns.</w:t>
      </w:r>
      <w:r>
        <w:rPr>
          <w:rFonts w:ascii="Times New Roman" w:hAnsi="Times New Roman" w:cs="Times New Roman"/>
        </w:rPr>
        <w:t xml:space="preserve"> </w:t>
      </w:r>
      <w:r w:rsidRPr="006001E7">
        <w:rPr>
          <w:rFonts w:ascii="Times New Roman" w:hAnsi="Times New Roman" w:cs="Times New Roman"/>
        </w:rPr>
        <w:t>A deeper shade of orange indicates specific residues making more than one contact with the ligand.</w:t>
      </w:r>
    </w:p>
    <w:p w14:paraId="5C44A7E5" w14:textId="2802E391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10BF9A8F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0865AFF4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094EB219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163B9722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3431A059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53AB26B8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5E6167D9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17AF6865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47605EB0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1DF89B12" w14:textId="4B90EF8D" w:rsidR="006001E7" w:rsidRDefault="006001E7" w:rsidP="006001E7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70BE427" wp14:editId="1B973ED0">
            <wp:extent cx="5731510" cy="5558155"/>
            <wp:effectExtent l="0" t="0" r="2540" b="4445"/>
            <wp:docPr id="14146522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56524" w14:textId="77777777" w:rsidR="006001E7" w:rsidRDefault="006001E7" w:rsidP="006001E7">
      <w:pPr>
        <w:jc w:val="both"/>
        <w:rPr>
          <w:rFonts w:ascii="Times New Roman" w:hAnsi="Times New Roman" w:cs="Times New Roman"/>
        </w:rPr>
      </w:pPr>
    </w:p>
    <w:p w14:paraId="3AE5CFB4" w14:textId="2FFF22F8" w:rsidR="006001E7" w:rsidRPr="006001E7" w:rsidRDefault="006001E7" w:rsidP="006001E7">
      <w:pPr>
        <w:jc w:val="both"/>
        <w:rPr>
          <w:rFonts w:ascii="Times New Roman" w:hAnsi="Times New Roman" w:cs="Times New Roman"/>
        </w:rPr>
      </w:pPr>
      <w:r w:rsidRPr="006001E7">
        <w:rPr>
          <w:rFonts w:ascii="Times New Roman" w:hAnsi="Times New Roman" w:cs="Times New Roman"/>
          <w:b/>
          <w:bCs/>
        </w:rPr>
        <w:t>Figure S2</w:t>
      </w:r>
      <w:r w:rsidRPr="006001E7">
        <w:rPr>
          <w:rFonts w:ascii="Times New Roman" w:hAnsi="Times New Roman" w:cs="Times New Roman"/>
        </w:rPr>
        <w:t xml:space="preserve">- A timeline depicts the interactions such as H-bonds, hydrophobic, ionic, and water bridges between compound nTZDpa and PPAR-γ residues during the simulation period of 100 ns. A deeper shade of orange indicates specific residues making more than one </w:t>
      </w:r>
      <w:proofErr w:type="gramStart"/>
      <w:r w:rsidRPr="006001E7">
        <w:rPr>
          <w:rFonts w:ascii="Times New Roman" w:hAnsi="Times New Roman" w:cs="Times New Roman"/>
        </w:rPr>
        <w:t>particular contact</w:t>
      </w:r>
      <w:proofErr w:type="gramEnd"/>
      <w:r w:rsidRPr="006001E7">
        <w:rPr>
          <w:rFonts w:ascii="Times New Roman" w:hAnsi="Times New Roman" w:cs="Times New Roman"/>
        </w:rPr>
        <w:t xml:space="preserve"> with the ligand.</w:t>
      </w:r>
    </w:p>
    <w:sectPr w:rsidR="006001E7" w:rsidRPr="00600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wMAVS5hbGlqbmxko6SsGpxcWZ+XkgBYa1AIvEcVwsAAAA"/>
  </w:docVars>
  <w:rsids>
    <w:rsidRoot w:val="00AC0A84"/>
    <w:rsid w:val="004D2106"/>
    <w:rsid w:val="006001E7"/>
    <w:rsid w:val="0060326F"/>
    <w:rsid w:val="007950CD"/>
    <w:rsid w:val="00AC0A84"/>
    <w:rsid w:val="00EF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B6491E"/>
  <w15:chartTrackingRefBased/>
  <w15:docId w15:val="{92001693-D719-4717-8FC5-348933CA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1E7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Neelaveni Thangavel</dc:creator>
  <cp:keywords/>
  <dc:description/>
  <cp:lastModifiedBy>Waquar Ahsan</cp:lastModifiedBy>
  <cp:revision>10</cp:revision>
  <dcterms:created xsi:type="dcterms:W3CDTF">2023-10-05T18:48:00Z</dcterms:created>
  <dcterms:modified xsi:type="dcterms:W3CDTF">2023-10-07T20:30:00Z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c2f90788fd26df5971fc0fec9a5b0a2bdb9efa27435bbed5152769e3a4fdcbc6</vt:lpwstr>
  </property>
</Properties>
</file>