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A02" w:rsidRPr="00F52199" w:rsidRDefault="00D93A02" w:rsidP="00D93A02">
      <w:pPr>
        <w:rPr>
          <w:rFonts w:ascii="Times New Roman" w:hAnsi="Times New Roman" w:cs="Times New Roman"/>
          <w:sz w:val="22"/>
        </w:rPr>
      </w:pPr>
      <w:r w:rsidRPr="00F52199">
        <w:rPr>
          <w:rFonts w:ascii="Times New Roman" w:hAnsi="Times New Roman" w:cs="Times New Roman"/>
          <w:sz w:val="22"/>
        </w:rPr>
        <w:t xml:space="preserve">Table S1. Baseline laboratory and </w:t>
      </w:r>
      <w:r w:rsidR="00D61B29" w:rsidRPr="00F52199">
        <w:rPr>
          <w:rFonts w:ascii="Times New Roman" w:hAnsi="Times New Roman" w:cs="Times New Roman"/>
          <w:sz w:val="22"/>
        </w:rPr>
        <w:t>patient-reported outcomes</w:t>
      </w:r>
      <w:r w:rsidRPr="00F52199">
        <w:rPr>
          <w:rFonts w:ascii="Times New Roman" w:hAnsi="Times New Roman" w:cs="Times New Roman"/>
          <w:sz w:val="22"/>
        </w:rPr>
        <w:t xml:space="preserve"> of target achievers and non-achievers</w:t>
      </w:r>
      <w:r w:rsidR="00DE0C24" w:rsidRPr="00F52199">
        <w:rPr>
          <w:rFonts w:ascii="Times New Roman" w:hAnsi="Times New Roman" w:cs="Times New Roman"/>
          <w:sz w:val="22"/>
        </w:rPr>
        <w:t xml:space="preserve"> </w:t>
      </w:r>
      <w:r w:rsidRPr="00F52199">
        <w:rPr>
          <w:rFonts w:ascii="Times New Roman" w:hAnsi="Times New Roman" w:cs="Times New Roman"/>
          <w:sz w:val="22"/>
        </w:rPr>
        <w:t>(</w:t>
      </w:r>
      <w:r w:rsidR="00FC6AE9" w:rsidRPr="00F52199">
        <w:rPr>
          <w:rFonts w:ascii="Times New Roman" w:hAnsi="Times New Roman" w:cs="Times New Roman"/>
          <w:sz w:val="22"/>
        </w:rPr>
        <w:t>N</w:t>
      </w:r>
      <w:r w:rsidRPr="00F52199">
        <w:rPr>
          <w:rFonts w:ascii="Times New Roman" w:hAnsi="Times New Roman" w:cs="Times New Roman"/>
          <w:sz w:val="22"/>
        </w:rPr>
        <w:t>=117)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8"/>
        <w:gridCol w:w="1558"/>
        <w:gridCol w:w="1558"/>
        <w:gridCol w:w="1557"/>
        <w:gridCol w:w="945"/>
      </w:tblGrid>
      <w:tr w:rsidR="00D93A02" w:rsidRPr="00F52199" w:rsidTr="00FC6AE9">
        <w:trPr>
          <w:trHeight w:val="398"/>
        </w:trPr>
        <w:tc>
          <w:tcPr>
            <w:tcW w:w="339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93A02" w:rsidRPr="00F52199" w:rsidRDefault="00D93A02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Characteristics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93A02" w:rsidRPr="00F52199" w:rsidRDefault="00D93A02" w:rsidP="00FC6AE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Total (</w:t>
            </w:r>
            <w:r w:rsidR="00FC6AE9" w:rsidRPr="00F52199">
              <w:rPr>
                <w:rFonts w:ascii="Times New Roman" w:hAnsi="Times New Roman" w:cs="Times New Roman"/>
                <w:sz w:val="22"/>
              </w:rPr>
              <w:t>N</w:t>
            </w:r>
            <w:r w:rsidRPr="00F52199">
              <w:rPr>
                <w:rFonts w:ascii="Times New Roman" w:hAnsi="Times New Roman" w:cs="Times New Roman"/>
                <w:sz w:val="22"/>
              </w:rPr>
              <w:t>=117)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93A02" w:rsidRPr="00F52199" w:rsidRDefault="00D93A02" w:rsidP="00FC6AE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Achievers (</w:t>
            </w:r>
            <w:r w:rsidR="00FC6AE9" w:rsidRPr="00F52199">
              <w:rPr>
                <w:rFonts w:ascii="Times New Roman" w:hAnsi="Times New Roman" w:cs="Times New Roman"/>
                <w:sz w:val="22"/>
              </w:rPr>
              <w:t>N</w:t>
            </w:r>
            <w:r w:rsidRPr="00F52199">
              <w:rPr>
                <w:rFonts w:ascii="Times New Roman" w:hAnsi="Times New Roman" w:cs="Times New Roman"/>
                <w:sz w:val="22"/>
              </w:rPr>
              <w:t>=83)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93A02" w:rsidRPr="00F52199" w:rsidRDefault="00D93A02" w:rsidP="00FC6AE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Non-achievers (</w:t>
            </w:r>
            <w:r w:rsidR="00FC6AE9" w:rsidRPr="00F52199">
              <w:rPr>
                <w:rFonts w:ascii="Times New Roman" w:hAnsi="Times New Roman" w:cs="Times New Roman"/>
                <w:sz w:val="22"/>
              </w:rPr>
              <w:t>N</w:t>
            </w:r>
            <w:r w:rsidRPr="00F52199">
              <w:rPr>
                <w:rFonts w:ascii="Times New Roman" w:hAnsi="Times New Roman" w:cs="Times New Roman"/>
                <w:sz w:val="22"/>
              </w:rPr>
              <w:t>=34)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93A02" w:rsidRPr="00F52199" w:rsidRDefault="00385FFE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D93A02" w:rsidRPr="00F52199">
              <w:rPr>
                <w:rFonts w:ascii="Times New Roman" w:hAnsi="Times New Roman" w:cs="Times New Roman"/>
                <w:sz w:val="22"/>
              </w:rPr>
              <w:t>value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tcBorders>
              <w:right w:val="nil"/>
            </w:tcBorders>
            <w:vAlign w:val="center"/>
          </w:tcPr>
          <w:p w:rsidR="00D93A02" w:rsidRPr="00F52199" w:rsidRDefault="00D93A02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Laboratory results</w:t>
            </w:r>
            <w:r w:rsidR="00EB7809" w:rsidRPr="00F52199">
              <w:rPr>
                <w:rFonts w:ascii="Times New Roman" w:hAnsi="Times New Roman" w:cs="Times New Roman"/>
                <w:sz w:val="22"/>
              </w:rPr>
              <w:t xml:space="preserve">, mean </w:t>
            </w:r>
            <w:r w:rsidR="00EB7809" w:rsidRPr="00F52199">
              <w:rPr>
                <w:rFonts w:ascii="Times New Roman" w:eastAsiaTheme="minorHAnsi" w:hAnsi="Times New Roman" w:cs="Times New Roman"/>
                <w:sz w:val="22"/>
              </w:rPr>
              <w:t xml:space="preserve">± </w:t>
            </w:r>
            <w:r w:rsidR="00EB7809" w:rsidRPr="00F52199">
              <w:rPr>
                <w:rFonts w:ascii="Times New Roman" w:hAnsi="Times New Roman" w:cs="Times New Roman"/>
                <w:sz w:val="22"/>
              </w:rPr>
              <w:t>SD</w:t>
            </w:r>
          </w:p>
        </w:tc>
        <w:tc>
          <w:tcPr>
            <w:tcW w:w="1560" w:type="dxa"/>
            <w:tcBorders>
              <w:left w:val="nil"/>
              <w:right w:val="nil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46" w:type="dxa"/>
            <w:tcBorders>
              <w:left w:val="nil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EB7809">
            <w:pPr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HB (g/dL)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13.6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2.2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13.4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2.2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13.8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2.3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0.47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EB7809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 WBC (/uL)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7.8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2.4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8.1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2.5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7.2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2.0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0.11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hAnsi="Times New Roman" w:cs="Times New Roman"/>
                <w:sz w:val="22"/>
                <w:szCs w:val="22"/>
              </w:rPr>
              <w:t xml:space="preserve"> Platelet (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10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  <w:vertAlign w:val="superscript"/>
              </w:rPr>
              <w:t>3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/uL)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259.2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85.8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268.8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87.6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239.5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79.7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0.12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ind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AST (U/L)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30.7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16.3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29.6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14.6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33.3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19.9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0.28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ALT (U/L)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27.8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29.5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34.6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21.2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45.2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43.1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0.19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ind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Total bilirubin (mg/dL)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0.7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0.3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0.6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0.3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0.7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0.4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0.26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Total cholesterol (mg/dL)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184.8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49.0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184.5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48.1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185.5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51.8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0.93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HDL (mg/dL)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44.8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10.9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44.4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10.9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46.2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11.3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0.56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LDL (mg/dL)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110.8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44.0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109.2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42.3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116.0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50.2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0.58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ind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TG (mg/dL)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228.0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239.1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242.3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267.4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184.4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111.5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0.38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BUN (mg/dL)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19.6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10.5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20.0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10.2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18.6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11.4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0.52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ind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Creatinine (mg/dL)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1.1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0.3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1.1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0.3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1.2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0.4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0.24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EGFR (mL/min/1.73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㎡</w:t>
            </w: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77.0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26.0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76.8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25.7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77.4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27.1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0.91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vAlign w:val="center"/>
          </w:tcPr>
          <w:p w:rsidR="00D93A02" w:rsidRPr="00F52199" w:rsidRDefault="00D93A02" w:rsidP="00985B26">
            <w:pPr>
              <w:pStyle w:val="1"/>
              <w:ind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ESR (mm/hr)</w:t>
            </w:r>
          </w:p>
        </w:tc>
        <w:tc>
          <w:tcPr>
            <w:tcW w:w="1560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23.0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24.0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23.3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24.4</w:t>
            </w:r>
          </w:p>
        </w:tc>
        <w:tc>
          <w:tcPr>
            <w:tcW w:w="1559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22.4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23.6</w:t>
            </w:r>
          </w:p>
        </w:tc>
        <w:tc>
          <w:tcPr>
            <w:tcW w:w="946" w:type="dxa"/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0.88</w:t>
            </w:r>
          </w:p>
        </w:tc>
      </w:tr>
      <w:tr w:rsidR="00D93A02" w:rsidRPr="00F52199" w:rsidTr="00FC6AE9">
        <w:trPr>
          <w:trHeight w:val="398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D93A02" w:rsidRPr="00F52199" w:rsidRDefault="00D93A02" w:rsidP="003D60D5">
            <w:pPr>
              <w:pStyle w:val="1"/>
              <w:ind w:firstLineChars="50" w:firstLine="110"/>
              <w:rPr>
                <w:rFonts w:ascii="Times New Roman" w:hAnsi="Times New Roman" w:cs="Times New Roman"/>
                <w:sz w:val="22"/>
                <w:szCs w:val="22"/>
              </w:rPr>
            </w:pPr>
            <w:r w:rsidRPr="00F52199">
              <w:rPr>
                <w:rFonts w:ascii="Times New Roman" w:eastAsia="Malgun Gothic" w:hAnsi="Times New Roman" w:cs="Times New Roman"/>
                <w:sz w:val="22"/>
                <w:szCs w:val="22"/>
              </w:rPr>
              <w:t>CRP (mg/dL)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3.4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1.5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3.8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1.4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2.6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0.90</w:t>
            </w:r>
          </w:p>
        </w:tc>
      </w:tr>
      <w:tr w:rsidR="00FC6AE9" w:rsidRPr="00F52199" w:rsidTr="00632399">
        <w:trPr>
          <w:trHeight w:val="398"/>
        </w:trPr>
        <w:tc>
          <w:tcPr>
            <w:tcW w:w="9016" w:type="dxa"/>
            <w:gridSpan w:val="5"/>
            <w:vAlign w:val="center"/>
          </w:tcPr>
          <w:p w:rsidR="00FC6AE9" w:rsidRPr="00F52199" w:rsidRDefault="00FC6AE9" w:rsidP="00FC6AE9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Gout 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impact scale (0-100), mean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 xml:space="preserve">± </w:t>
            </w:r>
            <w:r w:rsidRPr="00F52199">
              <w:rPr>
                <w:rFonts w:ascii="Times New Roman" w:hAnsi="Times New Roman" w:cs="Times New Roman"/>
                <w:sz w:val="22"/>
              </w:rPr>
              <w:t>SD</w:t>
            </w: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vAlign w:val="center"/>
          </w:tcPr>
          <w:p w:rsidR="00D93A02" w:rsidRPr="00F52199" w:rsidRDefault="00D93A02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 Gout concern overall</w:t>
            </w:r>
          </w:p>
        </w:tc>
        <w:tc>
          <w:tcPr>
            <w:tcW w:w="1558" w:type="dxa"/>
            <w:vAlign w:val="center"/>
          </w:tcPr>
          <w:p w:rsidR="00D93A02" w:rsidRPr="00F52199" w:rsidRDefault="004E4DFA" w:rsidP="00D61B2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7</w:t>
            </w:r>
            <w:r w:rsidR="00D61B29" w:rsidRPr="00F52199">
              <w:rPr>
                <w:rFonts w:ascii="Times New Roman" w:hAnsi="Times New Roman" w:cs="Times New Roman"/>
                <w:sz w:val="22"/>
              </w:rPr>
              <w:t>8.0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</w:t>
            </w:r>
            <w:r w:rsidR="00D61B29" w:rsidRPr="00F52199">
              <w:rPr>
                <w:rFonts w:ascii="Times New Roman" w:eastAsiaTheme="minorHAnsi" w:hAnsi="Times New Roman" w:cs="Times New Roman"/>
                <w:sz w:val="22"/>
              </w:rPr>
              <w:t xml:space="preserve"> 20.0</w:t>
            </w:r>
          </w:p>
        </w:tc>
        <w:tc>
          <w:tcPr>
            <w:tcW w:w="1558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78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±21.6</w:t>
            </w:r>
          </w:p>
        </w:tc>
        <w:tc>
          <w:tcPr>
            <w:tcW w:w="1557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83.8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15.2</w:t>
            </w:r>
          </w:p>
        </w:tc>
        <w:tc>
          <w:tcPr>
            <w:tcW w:w="945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0.</w:t>
            </w:r>
            <w:r w:rsidRPr="00F52199">
              <w:rPr>
                <w:rFonts w:ascii="Times New Roman" w:hAnsi="Times New Roman" w:cs="Times New Roman"/>
                <w:sz w:val="22"/>
              </w:rPr>
              <w:t>18</w:t>
            </w: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vAlign w:val="center"/>
          </w:tcPr>
          <w:p w:rsidR="00D93A02" w:rsidRPr="00F52199" w:rsidRDefault="00D93A02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 Gout medication side effects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62.1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23.7</w:t>
            </w:r>
          </w:p>
        </w:tc>
        <w:tc>
          <w:tcPr>
            <w:tcW w:w="1558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61.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6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±24.4</w:t>
            </w:r>
          </w:p>
        </w:tc>
        <w:tc>
          <w:tcPr>
            <w:tcW w:w="1557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63.2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22.2</w:t>
            </w:r>
          </w:p>
        </w:tc>
        <w:tc>
          <w:tcPr>
            <w:tcW w:w="945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0.74</w:t>
            </w: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vAlign w:val="center"/>
          </w:tcPr>
          <w:p w:rsidR="00D93A02" w:rsidRPr="00F52199" w:rsidRDefault="00D93A02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 Unmet gout treatment needs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7.2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14.1</w:t>
            </w:r>
          </w:p>
        </w:tc>
        <w:tc>
          <w:tcPr>
            <w:tcW w:w="1558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46.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8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13.7</w:t>
            </w:r>
          </w:p>
        </w:tc>
        <w:tc>
          <w:tcPr>
            <w:tcW w:w="1557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48.3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15.2</w:t>
            </w:r>
          </w:p>
        </w:tc>
        <w:tc>
          <w:tcPr>
            <w:tcW w:w="945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0.</w:t>
            </w:r>
            <w:r w:rsidRPr="00F52199">
              <w:rPr>
                <w:rFonts w:ascii="Times New Roman" w:hAnsi="Times New Roman" w:cs="Times New Roman"/>
                <w:sz w:val="22"/>
              </w:rPr>
              <w:t>60</w:t>
            </w: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vAlign w:val="center"/>
          </w:tcPr>
          <w:p w:rsidR="00D93A02" w:rsidRPr="00F52199" w:rsidRDefault="00D93A02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 Well-being during attack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55.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7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26.3</w:t>
            </w:r>
          </w:p>
        </w:tc>
        <w:tc>
          <w:tcPr>
            <w:tcW w:w="1558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56.6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±26.8</w:t>
            </w:r>
          </w:p>
        </w:tc>
        <w:tc>
          <w:tcPr>
            <w:tcW w:w="1557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53.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1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25.1</w:t>
            </w:r>
          </w:p>
        </w:tc>
        <w:tc>
          <w:tcPr>
            <w:tcW w:w="945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0.55</w:t>
            </w: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tcBorders>
              <w:bottom w:val="single" w:sz="4" w:space="0" w:color="auto"/>
            </w:tcBorders>
            <w:vAlign w:val="center"/>
          </w:tcPr>
          <w:p w:rsidR="00D93A02" w:rsidRPr="00F52199" w:rsidRDefault="00D93A02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 Gout concern during attack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58.9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22.7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59.3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23.5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57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.9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21.0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0.76</w:t>
            </w: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tcBorders>
              <w:right w:val="nil"/>
            </w:tcBorders>
            <w:vAlign w:val="center"/>
          </w:tcPr>
          <w:p w:rsidR="00D93A02" w:rsidRPr="00F52199" w:rsidRDefault="00EB7809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EQ</w:t>
            </w:r>
            <w:r w:rsidRPr="00F52199">
              <w:rPr>
                <w:rFonts w:ascii="Times New Roman" w:hAnsi="Times New Roman" w:cs="Times New Roman"/>
                <w:sz w:val="22"/>
              </w:rPr>
              <w:t>-5D-3L</w:t>
            </w:r>
            <w:r w:rsidR="004E4DFA" w:rsidRPr="00F52199">
              <w:rPr>
                <w:rFonts w:ascii="Times New Roman" w:hAnsi="Times New Roman" w:cs="Times New Roman"/>
                <w:sz w:val="22"/>
              </w:rPr>
              <w:t xml:space="preserve"> (1-3), mean </w:t>
            </w:r>
            <w:r w:rsidR="004E4DFA" w:rsidRPr="00F52199">
              <w:rPr>
                <w:rFonts w:ascii="Times New Roman" w:eastAsiaTheme="minorHAnsi" w:hAnsi="Times New Roman" w:cs="Times New Roman"/>
                <w:sz w:val="22"/>
              </w:rPr>
              <w:t xml:space="preserve">± </w:t>
            </w:r>
            <w:r w:rsidR="004E4DFA" w:rsidRPr="00F52199">
              <w:rPr>
                <w:rFonts w:ascii="Times New Roman" w:hAnsi="Times New Roman" w:cs="Times New Roman"/>
                <w:sz w:val="22"/>
              </w:rPr>
              <w:t>SD</w:t>
            </w:r>
          </w:p>
        </w:tc>
        <w:tc>
          <w:tcPr>
            <w:tcW w:w="1558" w:type="dxa"/>
            <w:tcBorders>
              <w:left w:val="nil"/>
              <w:right w:val="nil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8" w:type="dxa"/>
            <w:tcBorders>
              <w:left w:val="nil"/>
              <w:right w:val="nil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7" w:type="dxa"/>
            <w:tcBorders>
              <w:left w:val="nil"/>
              <w:right w:val="nil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45" w:type="dxa"/>
            <w:tcBorders>
              <w:left w:val="nil"/>
            </w:tcBorders>
            <w:vAlign w:val="center"/>
          </w:tcPr>
          <w:p w:rsidR="00D93A02" w:rsidRPr="00F52199" w:rsidRDefault="00D93A02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vAlign w:val="center"/>
          </w:tcPr>
          <w:p w:rsidR="00D93A02" w:rsidRPr="00F52199" w:rsidRDefault="00EB7809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4E4DFA" w:rsidRPr="00F52199">
              <w:rPr>
                <w:rFonts w:ascii="Times New Roman" w:hAnsi="Times New Roman" w:cs="Times New Roman"/>
                <w:sz w:val="22"/>
              </w:rPr>
              <w:t>Mobility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1.4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0.6</w:t>
            </w:r>
          </w:p>
        </w:tc>
        <w:tc>
          <w:tcPr>
            <w:tcW w:w="1558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1.4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0.5</w:t>
            </w:r>
          </w:p>
        </w:tc>
        <w:tc>
          <w:tcPr>
            <w:tcW w:w="1557" w:type="dxa"/>
            <w:vAlign w:val="center"/>
          </w:tcPr>
          <w:p w:rsidR="00D93A02" w:rsidRPr="00F52199" w:rsidRDefault="004E4DFA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1.4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</w:t>
            </w:r>
            <w:r w:rsidR="00D61B29" w:rsidRPr="00F52199">
              <w:rPr>
                <w:rFonts w:ascii="Times New Roman" w:eastAsiaTheme="minorHAnsi" w:hAnsi="Times New Roman" w:cs="Times New Roman"/>
                <w:sz w:val="22"/>
              </w:rPr>
              <w:t xml:space="preserve"> 0.6</w:t>
            </w:r>
          </w:p>
        </w:tc>
        <w:tc>
          <w:tcPr>
            <w:tcW w:w="945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52199">
              <w:rPr>
                <w:rFonts w:ascii="Times New Roman" w:hAnsi="Times New Roman" w:cs="Times New Roman"/>
                <w:sz w:val="22"/>
              </w:rPr>
              <w:t>.90</w:t>
            </w: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vAlign w:val="center"/>
          </w:tcPr>
          <w:p w:rsidR="00D93A02" w:rsidRPr="00F52199" w:rsidRDefault="004E4DFA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 Se</w:t>
            </w:r>
            <w:r w:rsidRPr="00F52199">
              <w:rPr>
                <w:rFonts w:ascii="Times New Roman" w:hAnsi="Times New Roman" w:cs="Times New Roman"/>
                <w:sz w:val="22"/>
              </w:rPr>
              <w:t>lf-care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.1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±0.4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1.1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0.4</w:t>
            </w:r>
          </w:p>
        </w:tc>
        <w:tc>
          <w:tcPr>
            <w:tcW w:w="1557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1.1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0.4</w:t>
            </w:r>
          </w:p>
        </w:tc>
        <w:tc>
          <w:tcPr>
            <w:tcW w:w="945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0.6</w:t>
            </w:r>
            <w:r w:rsidRPr="00F52199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vAlign w:val="center"/>
          </w:tcPr>
          <w:p w:rsidR="00D93A02" w:rsidRPr="00F52199" w:rsidRDefault="004E4DFA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 Usual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 activity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0.5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1.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0.5</w:t>
            </w:r>
          </w:p>
        </w:tc>
        <w:tc>
          <w:tcPr>
            <w:tcW w:w="1557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1.4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0.6</w:t>
            </w:r>
          </w:p>
        </w:tc>
        <w:tc>
          <w:tcPr>
            <w:tcW w:w="945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0.8</w:t>
            </w:r>
            <w:r w:rsidRPr="00F52199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vAlign w:val="center"/>
          </w:tcPr>
          <w:p w:rsidR="00D93A02" w:rsidRPr="00F52199" w:rsidRDefault="004E4DFA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F52199">
              <w:rPr>
                <w:rFonts w:ascii="Times New Roman" w:hAnsi="Times New Roman" w:cs="Times New Roman"/>
                <w:sz w:val="22"/>
              </w:rPr>
              <w:t>Pain/discomfort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.7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0.6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1.7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0.6</w:t>
            </w:r>
          </w:p>
        </w:tc>
        <w:tc>
          <w:tcPr>
            <w:tcW w:w="1557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1.7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0.7</w:t>
            </w:r>
          </w:p>
        </w:tc>
        <w:tc>
          <w:tcPr>
            <w:tcW w:w="945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0.8</w:t>
            </w:r>
            <w:r w:rsidRPr="00F52199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  <w:tr w:rsidR="00D93A02" w:rsidRPr="00F52199" w:rsidTr="00FC6AE9">
        <w:trPr>
          <w:trHeight w:val="398"/>
        </w:trPr>
        <w:tc>
          <w:tcPr>
            <w:tcW w:w="3398" w:type="dxa"/>
            <w:vAlign w:val="center"/>
          </w:tcPr>
          <w:p w:rsidR="00D93A02" w:rsidRPr="00F52199" w:rsidRDefault="004E4DFA" w:rsidP="003D60D5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F52199">
              <w:rPr>
                <w:rFonts w:ascii="Times New Roman" w:hAnsi="Times New Roman" w:cs="Times New Roman"/>
                <w:sz w:val="22"/>
              </w:rPr>
              <w:t>Anxiety/depression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 xml:space="preserve">1.3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0.6</w:t>
            </w:r>
          </w:p>
        </w:tc>
        <w:tc>
          <w:tcPr>
            <w:tcW w:w="1558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.3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0.6</w:t>
            </w:r>
          </w:p>
        </w:tc>
        <w:tc>
          <w:tcPr>
            <w:tcW w:w="1557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1.3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F52199">
              <w:rPr>
                <w:rFonts w:ascii="Times New Roman" w:eastAsiaTheme="minorHAnsi" w:hAnsi="Times New Roman" w:cs="Times New Roman"/>
                <w:sz w:val="22"/>
              </w:rPr>
              <w:t>± 0.5</w:t>
            </w:r>
          </w:p>
        </w:tc>
        <w:tc>
          <w:tcPr>
            <w:tcW w:w="945" w:type="dxa"/>
            <w:vAlign w:val="center"/>
          </w:tcPr>
          <w:p w:rsidR="00D93A02" w:rsidRPr="00F52199" w:rsidRDefault="00D61B29" w:rsidP="003D60D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 w:hint="eastAsia"/>
                <w:sz w:val="22"/>
              </w:rPr>
              <w:t>0.</w:t>
            </w:r>
            <w:r w:rsidRPr="00F52199">
              <w:rPr>
                <w:rFonts w:ascii="Times New Roman" w:hAnsi="Times New Roman" w:cs="Times New Roman"/>
                <w:sz w:val="22"/>
              </w:rPr>
              <w:t>72</w:t>
            </w:r>
          </w:p>
        </w:tc>
      </w:tr>
    </w:tbl>
    <w:p w:rsidR="00A732D2" w:rsidRPr="00F52199" w:rsidRDefault="00D93A02">
      <w:pPr>
        <w:rPr>
          <w:rFonts w:ascii="Times New Roman" w:eastAsia="Malgun Gothic" w:hAnsi="Times New Roman" w:cs="Times New Roman"/>
          <w:sz w:val="22"/>
        </w:rPr>
      </w:pPr>
      <w:r w:rsidRPr="00F52199">
        <w:rPr>
          <w:rFonts w:ascii="Times New Roman" w:hAnsi="Times New Roman" w:cs="Times New Roman"/>
          <w:sz w:val="22"/>
        </w:rPr>
        <w:t>HB, hemoglobin; WBC, white blood cell; AST, a</w:t>
      </w:r>
      <w:r w:rsidRPr="00F52199">
        <w:rPr>
          <w:rFonts w:ascii="Times New Roman" w:eastAsia="Malgun Gothic" w:hAnsi="Times New Roman" w:cs="Times New Roman"/>
          <w:sz w:val="22"/>
        </w:rPr>
        <w:t>spartate aminotransferase</w:t>
      </w:r>
      <w:r w:rsidRPr="00F52199">
        <w:rPr>
          <w:rFonts w:ascii="Times New Roman" w:hAnsi="Times New Roman" w:cs="Times New Roman"/>
          <w:sz w:val="22"/>
        </w:rPr>
        <w:t>; ALT, a</w:t>
      </w:r>
      <w:r w:rsidRPr="00F52199">
        <w:rPr>
          <w:rFonts w:ascii="Times New Roman" w:eastAsia="Malgun Gothic" w:hAnsi="Times New Roman" w:cs="Times New Roman"/>
          <w:sz w:val="22"/>
        </w:rPr>
        <w:t xml:space="preserve">lanine aminotransferase; HDL, high density lipoprotein; LDL, low density lipoprotein; TG, Triglyceride; BUN, blood urea nitrogen, EGFR, estimated glomerular filtration rate; ESR, erythrocyte sedimentation rate; </w:t>
      </w:r>
      <w:r w:rsidRPr="00F52199">
        <w:rPr>
          <w:rFonts w:ascii="Times New Roman" w:eastAsia="Malgun Gothic" w:hAnsi="Times New Roman" w:cs="Times New Roman"/>
          <w:sz w:val="22"/>
        </w:rPr>
        <w:lastRenderedPageBreak/>
        <w:t xml:space="preserve">CRP, C-reactive protein; </w:t>
      </w:r>
      <w:r w:rsidR="00D61B29" w:rsidRPr="00F52199">
        <w:rPr>
          <w:rFonts w:ascii="Times New Roman" w:eastAsia="Malgun Gothic" w:hAnsi="Times New Roman" w:cs="Times New Roman"/>
          <w:sz w:val="22"/>
        </w:rPr>
        <w:t>EQ-5D-3L, EuroQol-5 dimension-3 level</w:t>
      </w:r>
    </w:p>
    <w:p w:rsidR="004E749D" w:rsidRPr="00F52199" w:rsidRDefault="004E749D">
      <w:pPr>
        <w:rPr>
          <w:rFonts w:ascii="Times New Roman" w:eastAsia="Malgun Gothic" w:hAnsi="Times New Roman" w:cs="Times New Roman"/>
          <w:sz w:val="22"/>
        </w:rPr>
      </w:pPr>
    </w:p>
    <w:p w:rsidR="004E749D" w:rsidRPr="00F52199" w:rsidRDefault="004E749D">
      <w:pPr>
        <w:rPr>
          <w:rFonts w:ascii="Times New Roman" w:eastAsia="Malgun Gothic" w:hAnsi="Times New Roman" w:cs="Times New Roman"/>
          <w:sz w:val="22"/>
        </w:rPr>
      </w:pPr>
      <w:r w:rsidRPr="00F52199">
        <w:rPr>
          <w:rFonts w:ascii="Times New Roman" w:eastAsia="Malgun Gothic" w:hAnsi="Times New Roman" w:cs="Times New Roman"/>
          <w:sz w:val="22"/>
        </w:rPr>
        <w:t xml:space="preserve">Table </w:t>
      </w:r>
      <w:r w:rsidR="00883CB7" w:rsidRPr="00F52199">
        <w:rPr>
          <w:rFonts w:ascii="Times New Roman" w:eastAsia="Malgun Gothic" w:hAnsi="Times New Roman" w:cs="Times New Roman"/>
          <w:sz w:val="22"/>
        </w:rPr>
        <w:t>S</w:t>
      </w:r>
      <w:r w:rsidRPr="00F52199">
        <w:rPr>
          <w:rFonts w:ascii="Times New Roman" w:eastAsia="Malgun Gothic" w:hAnsi="Times New Roman" w:cs="Times New Roman"/>
          <w:sz w:val="22"/>
        </w:rPr>
        <w:t>2. Univaria</w:t>
      </w:r>
      <w:r w:rsidR="00AF61F2" w:rsidRPr="00F52199">
        <w:rPr>
          <w:rFonts w:ascii="Times New Roman" w:eastAsia="Malgun Gothic" w:hAnsi="Times New Roman" w:cs="Times New Roman"/>
          <w:sz w:val="22"/>
        </w:rPr>
        <w:t>te</w:t>
      </w:r>
      <w:r w:rsidRPr="00F52199">
        <w:rPr>
          <w:rFonts w:ascii="Times New Roman" w:eastAsia="Malgun Gothic" w:hAnsi="Times New Roman" w:cs="Times New Roman"/>
          <w:sz w:val="22"/>
        </w:rPr>
        <w:t xml:space="preserve"> analysis of fa</w:t>
      </w:r>
      <w:r w:rsidRPr="00F52199">
        <w:rPr>
          <w:rFonts w:ascii="Times New Roman" w:hAnsi="Times New Roman" w:cs="Times New Roman"/>
          <w:color w:val="000000" w:themeColor="text1"/>
          <w:sz w:val="22"/>
        </w:rPr>
        <w:t>ctors associated with achieving target serum uric acid levels at 6 months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098"/>
        <w:gridCol w:w="1134"/>
        <w:gridCol w:w="1560"/>
        <w:gridCol w:w="1275"/>
      </w:tblGrid>
      <w:tr w:rsidR="00415C7E" w:rsidRPr="00F52199" w:rsidTr="00883CB7">
        <w:trPr>
          <w:trHeight w:val="397"/>
        </w:trPr>
        <w:tc>
          <w:tcPr>
            <w:tcW w:w="5098" w:type="dxa"/>
            <w:shd w:val="clear" w:color="auto" w:fill="D0CECE" w:themeFill="background2" w:themeFillShade="E6"/>
            <w:vAlign w:val="center"/>
          </w:tcPr>
          <w:p w:rsidR="00415C7E" w:rsidRPr="00F52199" w:rsidRDefault="00415C7E" w:rsidP="00883CB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:rsidR="00415C7E" w:rsidRPr="00F52199" w:rsidRDefault="00415C7E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OR</w:t>
            </w:r>
          </w:p>
        </w:tc>
        <w:tc>
          <w:tcPr>
            <w:tcW w:w="1560" w:type="dxa"/>
            <w:shd w:val="clear" w:color="auto" w:fill="D0CECE" w:themeFill="background2" w:themeFillShade="E6"/>
            <w:vAlign w:val="center"/>
          </w:tcPr>
          <w:p w:rsidR="00415C7E" w:rsidRPr="00F52199" w:rsidRDefault="00415C7E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95% CI</w:t>
            </w:r>
          </w:p>
        </w:tc>
        <w:tc>
          <w:tcPr>
            <w:tcW w:w="1275" w:type="dxa"/>
            <w:shd w:val="clear" w:color="auto" w:fill="D0CECE" w:themeFill="background2" w:themeFillShade="E6"/>
            <w:vAlign w:val="center"/>
          </w:tcPr>
          <w:p w:rsidR="00415C7E" w:rsidRPr="00F52199" w:rsidRDefault="00415C7E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F52199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415C7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415C7E" w:rsidRPr="00F52199" w:rsidRDefault="00415C7E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Age</w:t>
            </w:r>
          </w:p>
        </w:tc>
        <w:tc>
          <w:tcPr>
            <w:tcW w:w="1134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1.01</w:t>
            </w:r>
          </w:p>
        </w:tc>
        <w:tc>
          <w:tcPr>
            <w:tcW w:w="1560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0.99-1.03</w:t>
            </w:r>
          </w:p>
        </w:tc>
        <w:tc>
          <w:tcPr>
            <w:tcW w:w="1275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0.30</w:t>
            </w:r>
          </w:p>
        </w:tc>
      </w:tr>
      <w:tr w:rsidR="00883CB7" w:rsidRPr="00F52199" w:rsidTr="00883CB7">
        <w:trPr>
          <w:trHeight w:val="397"/>
        </w:trPr>
        <w:tc>
          <w:tcPr>
            <w:tcW w:w="9067" w:type="dxa"/>
            <w:gridSpan w:val="4"/>
            <w:vAlign w:val="center"/>
          </w:tcPr>
          <w:p w:rsidR="00883CB7" w:rsidRPr="00F52199" w:rsidRDefault="00883CB7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Sex</w:t>
            </w:r>
          </w:p>
        </w:tc>
      </w:tr>
      <w:tr w:rsidR="00D346F3" w:rsidRPr="00F52199" w:rsidTr="00883CB7">
        <w:trPr>
          <w:trHeight w:val="397"/>
        </w:trPr>
        <w:tc>
          <w:tcPr>
            <w:tcW w:w="5098" w:type="dxa"/>
            <w:vAlign w:val="center"/>
          </w:tcPr>
          <w:p w:rsidR="00D346F3" w:rsidRPr="00F52199" w:rsidRDefault="00D346F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 Female</w:t>
            </w:r>
          </w:p>
        </w:tc>
        <w:tc>
          <w:tcPr>
            <w:tcW w:w="1134" w:type="dxa"/>
            <w:vAlign w:val="center"/>
          </w:tcPr>
          <w:p w:rsidR="00D346F3" w:rsidRPr="00F52199" w:rsidRDefault="00D346F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Ref</w:t>
            </w:r>
          </w:p>
        </w:tc>
        <w:tc>
          <w:tcPr>
            <w:tcW w:w="1560" w:type="dxa"/>
            <w:vAlign w:val="center"/>
          </w:tcPr>
          <w:p w:rsidR="00D346F3" w:rsidRPr="00F52199" w:rsidRDefault="00D346F3" w:rsidP="00883CB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vAlign w:val="center"/>
          </w:tcPr>
          <w:p w:rsidR="00D346F3" w:rsidRPr="00F52199" w:rsidRDefault="00D346F3" w:rsidP="00883CB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D346F3" w:rsidRPr="00F52199" w:rsidTr="00883CB7">
        <w:trPr>
          <w:trHeight w:val="397"/>
        </w:trPr>
        <w:tc>
          <w:tcPr>
            <w:tcW w:w="5098" w:type="dxa"/>
            <w:vAlign w:val="center"/>
          </w:tcPr>
          <w:p w:rsidR="00D346F3" w:rsidRPr="00F52199" w:rsidRDefault="00D346F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 xml:space="preserve"> Male</w:t>
            </w:r>
          </w:p>
        </w:tc>
        <w:tc>
          <w:tcPr>
            <w:tcW w:w="1134" w:type="dxa"/>
            <w:vAlign w:val="center"/>
          </w:tcPr>
          <w:p w:rsidR="00D346F3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0.63</w:t>
            </w:r>
          </w:p>
        </w:tc>
        <w:tc>
          <w:tcPr>
            <w:tcW w:w="1560" w:type="dxa"/>
            <w:vAlign w:val="center"/>
          </w:tcPr>
          <w:p w:rsidR="00D346F3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0.17-2.43</w:t>
            </w:r>
          </w:p>
        </w:tc>
        <w:tc>
          <w:tcPr>
            <w:tcW w:w="1275" w:type="dxa"/>
            <w:vAlign w:val="center"/>
          </w:tcPr>
          <w:p w:rsidR="00D346F3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0.51</w:t>
            </w:r>
          </w:p>
        </w:tc>
      </w:tr>
      <w:tr w:rsidR="00415C7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415C7E" w:rsidRPr="00F52199" w:rsidRDefault="00415C7E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BMI</w:t>
            </w:r>
          </w:p>
        </w:tc>
        <w:tc>
          <w:tcPr>
            <w:tcW w:w="1134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1.02</w:t>
            </w:r>
          </w:p>
        </w:tc>
        <w:tc>
          <w:tcPr>
            <w:tcW w:w="1560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0.91-1.14</w:t>
            </w:r>
          </w:p>
        </w:tc>
        <w:tc>
          <w:tcPr>
            <w:tcW w:w="1275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0.72</w:t>
            </w:r>
          </w:p>
        </w:tc>
      </w:tr>
      <w:tr w:rsidR="00415C7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415C7E" w:rsidRPr="00F52199" w:rsidRDefault="00415C7E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Systolic BP</w:t>
            </w:r>
          </w:p>
        </w:tc>
        <w:tc>
          <w:tcPr>
            <w:tcW w:w="1134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1.01</w:t>
            </w:r>
          </w:p>
        </w:tc>
        <w:tc>
          <w:tcPr>
            <w:tcW w:w="1560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0.99-1.04</w:t>
            </w:r>
          </w:p>
        </w:tc>
        <w:tc>
          <w:tcPr>
            <w:tcW w:w="1275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0.27</w:t>
            </w:r>
          </w:p>
        </w:tc>
      </w:tr>
      <w:tr w:rsidR="00415C7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415C7E" w:rsidRPr="00F52199" w:rsidRDefault="00415C7E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Diastolic BP</w:t>
            </w:r>
          </w:p>
        </w:tc>
        <w:tc>
          <w:tcPr>
            <w:tcW w:w="1134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1.00</w:t>
            </w:r>
          </w:p>
        </w:tc>
        <w:tc>
          <w:tcPr>
            <w:tcW w:w="1560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0.97-1.03</w:t>
            </w:r>
          </w:p>
        </w:tc>
        <w:tc>
          <w:tcPr>
            <w:tcW w:w="1275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0.78</w:t>
            </w:r>
          </w:p>
        </w:tc>
      </w:tr>
      <w:tr w:rsidR="00415C7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415C7E" w:rsidRPr="00F52199" w:rsidRDefault="00415C7E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Disease duration</w:t>
            </w:r>
          </w:p>
        </w:tc>
        <w:tc>
          <w:tcPr>
            <w:tcW w:w="1134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1.00</w:t>
            </w:r>
          </w:p>
        </w:tc>
        <w:tc>
          <w:tcPr>
            <w:tcW w:w="1560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0.93-1.06</w:t>
            </w:r>
          </w:p>
        </w:tc>
        <w:tc>
          <w:tcPr>
            <w:tcW w:w="1275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0.97</w:t>
            </w:r>
          </w:p>
        </w:tc>
      </w:tr>
      <w:tr w:rsidR="00415C7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415C7E" w:rsidRPr="00F52199" w:rsidRDefault="00415C7E" w:rsidP="00883CB7">
            <w:pPr>
              <w:wordWrap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Gout flares </w:t>
            </w:r>
            <w:r w:rsidRPr="00F52199">
              <w:rPr>
                <w:rFonts w:ascii="Times New Roman" w:eastAsiaTheme="minorHAnsi" w:hAnsi="Times New Roman" w:cs="Times New Roman"/>
                <w:color w:val="000000" w:themeColor="text1"/>
                <w:sz w:val="22"/>
              </w:rPr>
              <w:t>≥</w:t>
            </w: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2/year</w:t>
            </w:r>
          </w:p>
        </w:tc>
        <w:tc>
          <w:tcPr>
            <w:tcW w:w="1134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1.53</w:t>
            </w:r>
          </w:p>
        </w:tc>
        <w:tc>
          <w:tcPr>
            <w:tcW w:w="1560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0.57-4.09</w:t>
            </w:r>
          </w:p>
        </w:tc>
        <w:tc>
          <w:tcPr>
            <w:tcW w:w="1275" w:type="dxa"/>
            <w:vAlign w:val="center"/>
          </w:tcPr>
          <w:p w:rsidR="00415C7E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0.40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Presence of tophi</w:t>
            </w:r>
          </w:p>
        </w:tc>
        <w:tc>
          <w:tcPr>
            <w:tcW w:w="1134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0.89</w:t>
            </w:r>
          </w:p>
        </w:tc>
        <w:tc>
          <w:tcPr>
            <w:tcW w:w="1560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0.34-2.32</w:t>
            </w:r>
          </w:p>
        </w:tc>
        <w:tc>
          <w:tcPr>
            <w:tcW w:w="1275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0.82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Erosion on joint X ray </w:t>
            </w:r>
          </w:p>
        </w:tc>
        <w:tc>
          <w:tcPr>
            <w:tcW w:w="1134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2.50</w:t>
            </w:r>
          </w:p>
        </w:tc>
        <w:tc>
          <w:tcPr>
            <w:tcW w:w="1560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0.79-7.94</w:t>
            </w:r>
          </w:p>
        </w:tc>
        <w:tc>
          <w:tcPr>
            <w:tcW w:w="1275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0.12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Familial history of gout </w:t>
            </w:r>
          </w:p>
        </w:tc>
        <w:tc>
          <w:tcPr>
            <w:tcW w:w="1134" w:type="dxa"/>
            <w:vAlign w:val="center"/>
          </w:tcPr>
          <w:p w:rsidR="00272534" w:rsidRPr="00F52199" w:rsidRDefault="00272534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0.26</w:t>
            </w:r>
          </w:p>
        </w:tc>
        <w:tc>
          <w:tcPr>
            <w:tcW w:w="1560" w:type="dxa"/>
            <w:vAlign w:val="center"/>
          </w:tcPr>
          <w:p w:rsidR="00272534" w:rsidRPr="00F52199" w:rsidRDefault="00272534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0.10-0.70</w:t>
            </w:r>
          </w:p>
        </w:tc>
        <w:tc>
          <w:tcPr>
            <w:tcW w:w="1275" w:type="dxa"/>
            <w:vAlign w:val="center"/>
          </w:tcPr>
          <w:p w:rsidR="00272534" w:rsidRPr="00F52199" w:rsidRDefault="00272534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&lt;0.01**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:rsidR="00272534" w:rsidRPr="00F52199" w:rsidRDefault="00272534" w:rsidP="00883CB7">
            <w:pPr>
              <w:wordWrap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History of urinary stones </w:t>
            </w:r>
          </w:p>
        </w:tc>
        <w:tc>
          <w:tcPr>
            <w:tcW w:w="1134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0.52</w:t>
            </w:r>
          </w:p>
        </w:tc>
        <w:tc>
          <w:tcPr>
            <w:tcW w:w="1560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0.11-2.47</w:t>
            </w:r>
          </w:p>
        </w:tc>
        <w:tc>
          <w:tcPr>
            <w:tcW w:w="1275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0.41</w:t>
            </w:r>
          </w:p>
        </w:tc>
      </w:tr>
      <w:tr w:rsidR="00883CB7" w:rsidRPr="00F52199" w:rsidTr="00883CB7">
        <w:trPr>
          <w:trHeight w:val="397"/>
        </w:trPr>
        <w:tc>
          <w:tcPr>
            <w:tcW w:w="9067" w:type="dxa"/>
            <w:gridSpan w:val="4"/>
            <w:vAlign w:val="center"/>
          </w:tcPr>
          <w:p w:rsidR="00883CB7" w:rsidRPr="00F52199" w:rsidRDefault="00883CB7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Smoking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Non-smoker </w:t>
            </w:r>
          </w:p>
        </w:tc>
        <w:tc>
          <w:tcPr>
            <w:tcW w:w="1134" w:type="dxa"/>
            <w:vAlign w:val="center"/>
          </w:tcPr>
          <w:p w:rsidR="00272534" w:rsidRPr="00F52199" w:rsidRDefault="0008343E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Ref</w:t>
            </w:r>
          </w:p>
        </w:tc>
        <w:tc>
          <w:tcPr>
            <w:tcW w:w="1560" w:type="dxa"/>
            <w:vAlign w:val="center"/>
          </w:tcPr>
          <w:p w:rsidR="00272534" w:rsidRPr="00F52199" w:rsidRDefault="00272534" w:rsidP="00883CB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vAlign w:val="center"/>
          </w:tcPr>
          <w:p w:rsidR="00272534" w:rsidRPr="00F52199" w:rsidRDefault="00272534" w:rsidP="00883CB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Past smoker </w:t>
            </w:r>
          </w:p>
        </w:tc>
        <w:tc>
          <w:tcPr>
            <w:tcW w:w="1134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0.72</w:t>
            </w:r>
          </w:p>
        </w:tc>
        <w:tc>
          <w:tcPr>
            <w:tcW w:w="1560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0.28-1.81</w:t>
            </w:r>
          </w:p>
        </w:tc>
        <w:tc>
          <w:tcPr>
            <w:tcW w:w="1275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0.48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:rsidR="00272534" w:rsidRPr="00F52199" w:rsidRDefault="00272534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Current smoker </w:t>
            </w:r>
          </w:p>
        </w:tc>
        <w:tc>
          <w:tcPr>
            <w:tcW w:w="1134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0.61</w:t>
            </w:r>
          </w:p>
        </w:tc>
        <w:tc>
          <w:tcPr>
            <w:tcW w:w="1560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0.20-1.81</w:t>
            </w:r>
          </w:p>
        </w:tc>
        <w:tc>
          <w:tcPr>
            <w:tcW w:w="1275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0.37</w:t>
            </w:r>
          </w:p>
        </w:tc>
      </w:tr>
      <w:tr w:rsidR="00883CB7" w:rsidRPr="00F52199" w:rsidTr="00883CB7">
        <w:trPr>
          <w:trHeight w:val="397"/>
        </w:trPr>
        <w:tc>
          <w:tcPr>
            <w:tcW w:w="9067" w:type="dxa"/>
            <w:gridSpan w:val="4"/>
            <w:vAlign w:val="center"/>
          </w:tcPr>
          <w:p w:rsidR="00883CB7" w:rsidRPr="00F52199" w:rsidRDefault="00883CB7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Alcohol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Non-drinker </w:t>
            </w:r>
          </w:p>
        </w:tc>
        <w:tc>
          <w:tcPr>
            <w:tcW w:w="1134" w:type="dxa"/>
            <w:vAlign w:val="center"/>
          </w:tcPr>
          <w:p w:rsidR="00272534" w:rsidRPr="00F52199" w:rsidRDefault="0008343E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Ref</w:t>
            </w:r>
          </w:p>
        </w:tc>
        <w:tc>
          <w:tcPr>
            <w:tcW w:w="1560" w:type="dxa"/>
            <w:vAlign w:val="center"/>
          </w:tcPr>
          <w:p w:rsidR="00272534" w:rsidRPr="00F52199" w:rsidRDefault="00272534" w:rsidP="00883CB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vAlign w:val="center"/>
          </w:tcPr>
          <w:p w:rsidR="00272534" w:rsidRPr="00F52199" w:rsidRDefault="00272534" w:rsidP="00883CB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Past drinker </w:t>
            </w:r>
          </w:p>
        </w:tc>
        <w:tc>
          <w:tcPr>
            <w:tcW w:w="1134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</w:t>
            </w:r>
            <w:r w:rsidR="0039746B" w:rsidRPr="00F52199">
              <w:rPr>
                <w:rFonts w:ascii="Times New Roman" w:hAnsi="Times New Roman" w:cs="Times New Roman"/>
                <w:sz w:val="22"/>
              </w:rPr>
              <w:t>59</w:t>
            </w:r>
          </w:p>
        </w:tc>
        <w:tc>
          <w:tcPr>
            <w:tcW w:w="1560" w:type="dxa"/>
            <w:vAlign w:val="center"/>
          </w:tcPr>
          <w:p w:rsidR="00272534" w:rsidRPr="00F52199" w:rsidRDefault="0039746B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0.19-1.88</w:t>
            </w:r>
          </w:p>
        </w:tc>
        <w:tc>
          <w:tcPr>
            <w:tcW w:w="1275" w:type="dxa"/>
            <w:vAlign w:val="center"/>
          </w:tcPr>
          <w:p w:rsidR="00272534" w:rsidRPr="00F52199" w:rsidRDefault="0039746B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0.37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Current drinker </w:t>
            </w:r>
          </w:p>
        </w:tc>
        <w:tc>
          <w:tcPr>
            <w:tcW w:w="1134" w:type="dxa"/>
            <w:vAlign w:val="center"/>
          </w:tcPr>
          <w:p w:rsidR="00272534" w:rsidRPr="00F52199" w:rsidRDefault="0039746B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1.32</w:t>
            </w:r>
          </w:p>
        </w:tc>
        <w:tc>
          <w:tcPr>
            <w:tcW w:w="1560" w:type="dxa"/>
            <w:vAlign w:val="center"/>
          </w:tcPr>
          <w:p w:rsidR="00272534" w:rsidRPr="00F52199" w:rsidRDefault="0039746B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0.48-3.58</w:t>
            </w:r>
          </w:p>
        </w:tc>
        <w:tc>
          <w:tcPr>
            <w:tcW w:w="1275" w:type="dxa"/>
            <w:vAlign w:val="center"/>
          </w:tcPr>
          <w:p w:rsidR="00272534" w:rsidRPr="00F52199" w:rsidRDefault="0039746B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0.59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Acute flare within 7 days </w:t>
            </w:r>
          </w:p>
        </w:tc>
        <w:tc>
          <w:tcPr>
            <w:tcW w:w="1134" w:type="dxa"/>
            <w:vAlign w:val="center"/>
          </w:tcPr>
          <w:p w:rsidR="00272534" w:rsidRPr="00F52199" w:rsidRDefault="0039746B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1.05</w:t>
            </w:r>
          </w:p>
        </w:tc>
        <w:tc>
          <w:tcPr>
            <w:tcW w:w="1560" w:type="dxa"/>
            <w:vAlign w:val="center"/>
          </w:tcPr>
          <w:p w:rsidR="00272534" w:rsidRPr="00F52199" w:rsidRDefault="0039746B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0.47-2.34</w:t>
            </w:r>
          </w:p>
        </w:tc>
        <w:tc>
          <w:tcPr>
            <w:tcW w:w="1275" w:type="dxa"/>
            <w:vAlign w:val="center"/>
          </w:tcPr>
          <w:p w:rsidR="00272534" w:rsidRPr="00F52199" w:rsidRDefault="0039746B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0.91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Acute flare joint count</w:t>
            </w:r>
          </w:p>
        </w:tc>
        <w:tc>
          <w:tcPr>
            <w:tcW w:w="1134" w:type="dxa"/>
            <w:vAlign w:val="center"/>
          </w:tcPr>
          <w:p w:rsidR="00272534" w:rsidRPr="00F52199" w:rsidRDefault="0039746B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1.11</w:t>
            </w:r>
          </w:p>
        </w:tc>
        <w:tc>
          <w:tcPr>
            <w:tcW w:w="1560" w:type="dxa"/>
            <w:vAlign w:val="center"/>
          </w:tcPr>
          <w:p w:rsidR="00272534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0.54-2.30</w:t>
            </w:r>
          </w:p>
        </w:tc>
        <w:tc>
          <w:tcPr>
            <w:tcW w:w="1275" w:type="dxa"/>
            <w:vAlign w:val="center"/>
          </w:tcPr>
          <w:p w:rsidR="00272534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0.78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vAlign w:val="center"/>
          </w:tcPr>
          <w:p w:rsidR="00272534" w:rsidRPr="00F52199" w:rsidRDefault="00272534" w:rsidP="00883CB7">
            <w:pPr>
              <w:wordWrap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Previous flare number</w:t>
            </w:r>
          </w:p>
        </w:tc>
        <w:tc>
          <w:tcPr>
            <w:tcW w:w="1134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0.97</w:t>
            </w:r>
          </w:p>
        </w:tc>
        <w:tc>
          <w:tcPr>
            <w:tcW w:w="1560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0.90-1.05</w:t>
            </w:r>
          </w:p>
        </w:tc>
        <w:tc>
          <w:tcPr>
            <w:tcW w:w="1275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0.49</w:t>
            </w:r>
          </w:p>
        </w:tc>
      </w:tr>
      <w:tr w:rsidR="00272534" w:rsidRPr="00F52199" w:rsidTr="00883CB7">
        <w:trPr>
          <w:trHeight w:val="397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:rsidR="00272534" w:rsidRPr="00F52199" w:rsidRDefault="00272534" w:rsidP="00883CB7">
            <w:pPr>
              <w:wordWrap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MSU positive</w:t>
            </w:r>
          </w:p>
        </w:tc>
        <w:tc>
          <w:tcPr>
            <w:tcW w:w="1134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0.65</w:t>
            </w:r>
          </w:p>
        </w:tc>
        <w:tc>
          <w:tcPr>
            <w:tcW w:w="1560" w:type="dxa"/>
            <w:vAlign w:val="center"/>
          </w:tcPr>
          <w:p w:rsidR="00272534" w:rsidRPr="00F52199" w:rsidRDefault="00DE360D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0.18-2.36</w:t>
            </w:r>
          </w:p>
        </w:tc>
        <w:tc>
          <w:tcPr>
            <w:tcW w:w="1275" w:type="dxa"/>
            <w:vAlign w:val="center"/>
          </w:tcPr>
          <w:p w:rsidR="00272534" w:rsidRPr="00F52199" w:rsidRDefault="00882C2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0.51</w:t>
            </w:r>
          </w:p>
        </w:tc>
      </w:tr>
      <w:tr w:rsidR="00883CB7" w:rsidRPr="00F52199" w:rsidTr="00883CB7">
        <w:trPr>
          <w:trHeight w:val="397"/>
        </w:trPr>
        <w:tc>
          <w:tcPr>
            <w:tcW w:w="9067" w:type="dxa"/>
            <w:gridSpan w:val="4"/>
            <w:vAlign w:val="center"/>
          </w:tcPr>
          <w:p w:rsidR="00883CB7" w:rsidRPr="00F52199" w:rsidRDefault="00883CB7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ULT agents</w:t>
            </w: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BB4EDE" w:rsidRPr="00F52199" w:rsidRDefault="00BB4EDE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Allopurinol </w:t>
            </w:r>
          </w:p>
        </w:tc>
        <w:tc>
          <w:tcPr>
            <w:tcW w:w="1134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Ref</w:t>
            </w:r>
          </w:p>
        </w:tc>
        <w:tc>
          <w:tcPr>
            <w:tcW w:w="1560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5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BB4EDE" w:rsidRPr="00F52199" w:rsidRDefault="00BB4EDE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Febuxostat </w:t>
            </w:r>
          </w:p>
        </w:tc>
        <w:tc>
          <w:tcPr>
            <w:tcW w:w="1134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2.42</w:t>
            </w:r>
          </w:p>
        </w:tc>
        <w:tc>
          <w:tcPr>
            <w:tcW w:w="1560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0.93–6.27</w:t>
            </w:r>
          </w:p>
        </w:tc>
        <w:tc>
          <w:tcPr>
            <w:tcW w:w="1275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0.07</w:t>
            </w: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:rsidR="00BB4EDE" w:rsidRPr="00F52199" w:rsidRDefault="00BB4EDE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 xml:space="preserve">Benzbromarone </w:t>
            </w:r>
          </w:p>
        </w:tc>
        <w:tc>
          <w:tcPr>
            <w:tcW w:w="1134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10.92</w:t>
            </w:r>
          </w:p>
        </w:tc>
        <w:tc>
          <w:tcPr>
            <w:tcW w:w="1560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1.33–106.73</w:t>
            </w:r>
          </w:p>
        </w:tc>
        <w:tc>
          <w:tcPr>
            <w:tcW w:w="1275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0.03*</w:t>
            </w:r>
          </w:p>
        </w:tc>
      </w:tr>
      <w:tr w:rsidR="00883CB7" w:rsidRPr="00F52199" w:rsidTr="00883CB7">
        <w:trPr>
          <w:trHeight w:val="397"/>
        </w:trPr>
        <w:tc>
          <w:tcPr>
            <w:tcW w:w="9067" w:type="dxa"/>
            <w:gridSpan w:val="4"/>
            <w:vAlign w:val="center"/>
          </w:tcPr>
          <w:p w:rsidR="00883CB7" w:rsidRPr="00F52199" w:rsidRDefault="00883CB7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Combined medications</w:t>
            </w: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BB4EDE" w:rsidRPr="00F52199" w:rsidRDefault="00BB4EDE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Diuretics </w:t>
            </w:r>
          </w:p>
        </w:tc>
        <w:tc>
          <w:tcPr>
            <w:tcW w:w="1134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0.98</w:t>
            </w:r>
          </w:p>
        </w:tc>
        <w:tc>
          <w:tcPr>
            <w:tcW w:w="1560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0.32-3.03</w:t>
            </w:r>
          </w:p>
        </w:tc>
        <w:tc>
          <w:tcPr>
            <w:tcW w:w="1275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0.97</w:t>
            </w: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BB4EDE" w:rsidRPr="00F52199" w:rsidRDefault="00BB4EDE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Antihypertensive agents  </w:t>
            </w:r>
          </w:p>
        </w:tc>
        <w:tc>
          <w:tcPr>
            <w:tcW w:w="1134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2.33</w:t>
            </w:r>
          </w:p>
        </w:tc>
        <w:tc>
          <w:tcPr>
            <w:tcW w:w="1560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1.03–5.28</w:t>
            </w:r>
          </w:p>
        </w:tc>
        <w:tc>
          <w:tcPr>
            <w:tcW w:w="1275" w:type="dxa"/>
            <w:vAlign w:val="center"/>
          </w:tcPr>
          <w:p w:rsidR="00BB4EDE" w:rsidRPr="00F52199" w:rsidRDefault="00BB4EDE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0.04*</w:t>
            </w: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BB4EDE" w:rsidRPr="00F52199" w:rsidRDefault="00BB4EDE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Aspirin</w:t>
            </w:r>
          </w:p>
        </w:tc>
        <w:tc>
          <w:tcPr>
            <w:tcW w:w="1134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1.03</w:t>
            </w:r>
          </w:p>
        </w:tc>
        <w:tc>
          <w:tcPr>
            <w:tcW w:w="1560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0.30-3.53</w:t>
            </w:r>
          </w:p>
        </w:tc>
        <w:tc>
          <w:tcPr>
            <w:tcW w:w="1275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0.97</w:t>
            </w: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BB4EDE" w:rsidRPr="00F52199" w:rsidRDefault="00BB4EDE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Antiplatelet agent</w:t>
            </w:r>
          </w:p>
        </w:tc>
        <w:tc>
          <w:tcPr>
            <w:tcW w:w="1134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0.29</w:t>
            </w:r>
          </w:p>
        </w:tc>
        <w:tc>
          <w:tcPr>
            <w:tcW w:w="1560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0.07-1.17</w:t>
            </w:r>
          </w:p>
        </w:tc>
        <w:tc>
          <w:tcPr>
            <w:tcW w:w="1275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0.08</w:t>
            </w: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BB4EDE" w:rsidRPr="00F52199" w:rsidRDefault="00BB4EDE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Anticoagulant</w:t>
            </w:r>
          </w:p>
        </w:tc>
        <w:tc>
          <w:tcPr>
            <w:tcW w:w="1134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1.95</w:t>
            </w:r>
          </w:p>
        </w:tc>
        <w:tc>
          <w:tcPr>
            <w:tcW w:w="1560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0.40-9.51</w:t>
            </w:r>
          </w:p>
        </w:tc>
        <w:tc>
          <w:tcPr>
            <w:tcW w:w="1275" w:type="dxa"/>
            <w:vAlign w:val="center"/>
          </w:tcPr>
          <w:p w:rsidR="00BB4EDE" w:rsidRPr="00F52199" w:rsidRDefault="007E15C3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0.41</w:t>
            </w: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BB4EDE" w:rsidRPr="00F52199" w:rsidRDefault="00BB4EDE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Hypoglycemic agent</w:t>
            </w:r>
          </w:p>
        </w:tc>
        <w:tc>
          <w:tcPr>
            <w:tcW w:w="1134" w:type="dxa"/>
            <w:vAlign w:val="center"/>
          </w:tcPr>
          <w:p w:rsidR="00BB4EDE" w:rsidRPr="00F52199" w:rsidRDefault="005E1C29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0.65</w:t>
            </w:r>
          </w:p>
        </w:tc>
        <w:tc>
          <w:tcPr>
            <w:tcW w:w="1560" w:type="dxa"/>
            <w:vAlign w:val="center"/>
          </w:tcPr>
          <w:p w:rsidR="00BB4EDE" w:rsidRPr="00F52199" w:rsidRDefault="005E1C29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0.23-1.83</w:t>
            </w:r>
          </w:p>
        </w:tc>
        <w:tc>
          <w:tcPr>
            <w:tcW w:w="1275" w:type="dxa"/>
            <w:vAlign w:val="center"/>
          </w:tcPr>
          <w:p w:rsidR="00BB4EDE" w:rsidRPr="00F52199" w:rsidRDefault="005E1C29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0.42</w:t>
            </w: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:rsidR="00BB4EDE" w:rsidRPr="00F52199" w:rsidRDefault="00BB4EDE" w:rsidP="00883CB7">
            <w:pPr>
              <w:wordWrap/>
              <w:ind w:firstLineChars="50" w:firstLine="11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Statin</w:t>
            </w:r>
          </w:p>
        </w:tc>
        <w:tc>
          <w:tcPr>
            <w:tcW w:w="1134" w:type="dxa"/>
            <w:vAlign w:val="center"/>
          </w:tcPr>
          <w:p w:rsidR="00BB4EDE" w:rsidRPr="00F52199" w:rsidRDefault="005E1C29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1.90</w:t>
            </w:r>
          </w:p>
        </w:tc>
        <w:tc>
          <w:tcPr>
            <w:tcW w:w="1560" w:type="dxa"/>
            <w:vAlign w:val="center"/>
          </w:tcPr>
          <w:p w:rsidR="00BB4EDE" w:rsidRPr="00F52199" w:rsidRDefault="005E1C29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0.70-5.17</w:t>
            </w:r>
          </w:p>
        </w:tc>
        <w:tc>
          <w:tcPr>
            <w:tcW w:w="1275" w:type="dxa"/>
            <w:vAlign w:val="center"/>
          </w:tcPr>
          <w:p w:rsidR="00BB4EDE" w:rsidRPr="00F52199" w:rsidRDefault="005E1C29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0.21</w:t>
            </w:r>
          </w:p>
        </w:tc>
      </w:tr>
      <w:tr w:rsidR="00BB4EDE" w:rsidRPr="00F52199" w:rsidTr="00883CB7">
        <w:trPr>
          <w:trHeight w:val="397"/>
        </w:trPr>
        <w:tc>
          <w:tcPr>
            <w:tcW w:w="5098" w:type="dxa"/>
            <w:vAlign w:val="center"/>
          </w:tcPr>
          <w:p w:rsidR="00BB4EDE" w:rsidRPr="00F52199" w:rsidRDefault="005E1C29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Initial serum uric acid</w:t>
            </w:r>
          </w:p>
        </w:tc>
        <w:tc>
          <w:tcPr>
            <w:tcW w:w="1134" w:type="dxa"/>
            <w:vAlign w:val="center"/>
          </w:tcPr>
          <w:p w:rsidR="00BB4EDE" w:rsidRPr="00F52199" w:rsidRDefault="005E1C29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0.90</w:t>
            </w:r>
          </w:p>
        </w:tc>
        <w:tc>
          <w:tcPr>
            <w:tcW w:w="1560" w:type="dxa"/>
            <w:vAlign w:val="center"/>
          </w:tcPr>
          <w:p w:rsidR="00BB4EDE" w:rsidRPr="00F52199" w:rsidRDefault="005E1C29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0.72-1.12</w:t>
            </w:r>
          </w:p>
        </w:tc>
        <w:tc>
          <w:tcPr>
            <w:tcW w:w="1275" w:type="dxa"/>
            <w:vAlign w:val="center"/>
          </w:tcPr>
          <w:p w:rsidR="00BB4EDE" w:rsidRPr="00F52199" w:rsidRDefault="005E1C29" w:rsidP="00883CB7">
            <w:pPr>
              <w:rPr>
                <w:rFonts w:ascii="Times New Roman" w:hAnsi="Times New Roman" w:cs="Times New Roman"/>
                <w:sz w:val="22"/>
              </w:rPr>
            </w:pPr>
            <w:r w:rsidRPr="00F52199">
              <w:rPr>
                <w:rFonts w:ascii="Times New Roman" w:hAnsi="Times New Roman" w:cs="Times New Roman"/>
                <w:sz w:val="22"/>
              </w:rPr>
              <w:t>0.33</w:t>
            </w:r>
          </w:p>
        </w:tc>
      </w:tr>
      <w:tr w:rsidR="005E1C29" w:rsidRPr="00F52199" w:rsidTr="00883CB7">
        <w:trPr>
          <w:trHeight w:val="397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:rsidR="005E1C29" w:rsidRPr="00F52199" w:rsidRDefault="005E1C29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Adherence to ULT </w:t>
            </w:r>
            <w:r w:rsidRPr="00F52199">
              <w:rPr>
                <w:rFonts w:ascii="Times New Roman" w:eastAsiaTheme="minorHAnsi" w:hAnsi="Times New Roman" w:cs="Times New Roman"/>
                <w:color w:val="000000" w:themeColor="text1"/>
                <w:sz w:val="22"/>
              </w:rPr>
              <w:t>≥</w:t>
            </w: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80%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E1C29" w:rsidRPr="00F52199" w:rsidRDefault="005E1C29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12.31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E1C29" w:rsidRPr="00F52199" w:rsidRDefault="005E1C29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2.46–61.67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5E1C29" w:rsidRPr="00F52199" w:rsidRDefault="005E1C29" w:rsidP="00883CB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F52199">
              <w:rPr>
                <w:rFonts w:ascii="Times New Roman" w:hAnsi="Times New Roman" w:cs="Times New Roman"/>
                <w:color w:val="000000" w:themeColor="text1"/>
                <w:sz w:val="22"/>
              </w:rPr>
              <w:t>&lt;0.01**</w:t>
            </w:r>
          </w:p>
        </w:tc>
      </w:tr>
    </w:tbl>
    <w:p w:rsidR="00883CB7" w:rsidRPr="00F52199" w:rsidRDefault="00883CB7" w:rsidP="00883CB7">
      <w:pPr>
        <w:rPr>
          <w:rFonts w:ascii="Times New Roman" w:hAnsi="Times New Roman" w:cs="Times New Roman"/>
          <w:color w:val="000000" w:themeColor="text1"/>
          <w:sz w:val="22"/>
        </w:rPr>
      </w:pPr>
      <w:r w:rsidRPr="00F52199">
        <w:rPr>
          <w:rFonts w:ascii="Times New Roman" w:hAnsi="Times New Roman" w:cs="Times New Roman"/>
          <w:color w:val="000000" w:themeColor="text1"/>
          <w:sz w:val="22"/>
        </w:rPr>
        <w:t>*</w:t>
      </w:r>
      <w:r w:rsidRPr="00F52199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F52199">
        <w:rPr>
          <w:rFonts w:ascii="Times New Roman" w:hAnsi="Times New Roman" w:cs="Times New Roman"/>
          <w:color w:val="000000" w:themeColor="text1"/>
          <w:sz w:val="22"/>
        </w:rPr>
        <w:t>&lt;0.05, **</w:t>
      </w:r>
      <w:r w:rsidRPr="00F52199">
        <w:rPr>
          <w:rFonts w:ascii="Times New Roman" w:hAnsi="Times New Roman" w:cs="Times New Roman"/>
          <w:i/>
          <w:color w:val="000000" w:themeColor="text1"/>
          <w:sz w:val="22"/>
        </w:rPr>
        <w:t>P</w:t>
      </w:r>
      <w:r w:rsidRPr="00F52199">
        <w:rPr>
          <w:rFonts w:ascii="Times New Roman" w:hAnsi="Times New Roman" w:cs="Times New Roman"/>
          <w:color w:val="000000" w:themeColor="text1"/>
          <w:sz w:val="22"/>
        </w:rPr>
        <w:t>&lt;0.01</w:t>
      </w:r>
    </w:p>
    <w:p w:rsidR="00883CB7" w:rsidRDefault="00883CB7" w:rsidP="00883CB7">
      <w:pPr>
        <w:spacing w:after="240"/>
        <w:rPr>
          <w:rFonts w:ascii="Times New Roman" w:eastAsia="Malgun Gothic" w:hAnsi="Times New Roman" w:cs="Times New Roman"/>
          <w:color w:val="000000" w:themeColor="text1"/>
          <w:sz w:val="22"/>
        </w:rPr>
      </w:pPr>
      <w:r w:rsidRPr="00F52199">
        <w:rPr>
          <w:rFonts w:ascii="Times New Roman" w:hAnsi="Times New Roman" w:cs="Times New Roman"/>
          <w:color w:val="000000" w:themeColor="text1"/>
          <w:sz w:val="22"/>
        </w:rPr>
        <w:t>BMI, body mass index; BP, blood pressure; MSU, monosodium urate; ULT, urate-lowering therapy; XOI, xanthine oxidase inhibitor.</w:t>
      </w:r>
      <w:bookmarkStart w:id="0" w:name="_GoBack"/>
      <w:bookmarkEnd w:id="0"/>
      <w:r w:rsidRPr="00AD2A32">
        <w:rPr>
          <w:rFonts w:ascii="Times New Roman" w:hAnsi="Times New Roman" w:cs="Times New Roman"/>
          <w:color w:val="000000" w:themeColor="text1"/>
          <w:sz w:val="22"/>
        </w:rPr>
        <w:t xml:space="preserve"> </w:t>
      </w:r>
    </w:p>
    <w:p w:rsidR="004E749D" w:rsidRPr="00883CB7" w:rsidRDefault="004E749D"/>
    <w:sectPr w:rsidR="004E749D" w:rsidRPr="00883CB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4AC" w:rsidRDefault="002E34AC" w:rsidP="00DE0C24">
      <w:pPr>
        <w:spacing w:after="0" w:line="240" w:lineRule="auto"/>
      </w:pPr>
      <w:r>
        <w:separator/>
      </w:r>
    </w:p>
  </w:endnote>
  <w:endnote w:type="continuationSeparator" w:id="0">
    <w:p w:rsidR="002E34AC" w:rsidRDefault="002E34AC" w:rsidP="00DE0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4AC" w:rsidRDefault="002E34AC" w:rsidP="00DE0C24">
      <w:pPr>
        <w:spacing w:after="0" w:line="240" w:lineRule="auto"/>
      </w:pPr>
      <w:r>
        <w:separator/>
      </w:r>
    </w:p>
  </w:footnote>
  <w:footnote w:type="continuationSeparator" w:id="0">
    <w:p w:rsidR="002E34AC" w:rsidRDefault="002E34AC" w:rsidP="00DE0C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A02"/>
    <w:rsid w:val="0008343E"/>
    <w:rsid w:val="00272534"/>
    <w:rsid w:val="002916FA"/>
    <w:rsid w:val="002E34AC"/>
    <w:rsid w:val="0035798E"/>
    <w:rsid w:val="00385FFE"/>
    <w:rsid w:val="0039746B"/>
    <w:rsid w:val="00415C7E"/>
    <w:rsid w:val="004E4DFA"/>
    <w:rsid w:val="004E749D"/>
    <w:rsid w:val="005E1C29"/>
    <w:rsid w:val="0076139A"/>
    <w:rsid w:val="007E15C3"/>
    <w:rsid w:val="007F7C60"/>
    <w:rsid w:val="00882C23"/>
    <w:rsid w:val="00883CB7"/>
    <w:rsid w:val="00985B26"/>
    <w:rsid w:val="00A732D2"/>
    <w:rsid w:val="00AF61F2"/>
    <w:rsid w:val="00B278F5"/>
    <w:rsid w:val="00BB4EDE"/>
    <w:rsid w:val="00D346F3"/>
    <w:rsid w:val="00D61B29"/>
    <w:rsid w:val="00D93A02"/>
    <w:rsid w:val="00DE0C24"/>
    <w:rsid w:val="00DE360D"/>
    <w:rsid w:val="00E51509"/>
    <w:rsid w:val="00EB7809"/>
    <w:rsid w:val="00F52199"/>
    <w:rsid w:val="00FC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65D00A7F-8B31-4D59-B1A9-69E95F06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A02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3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표준1"/>
    <w:basedOn w:val="Normal"/>
    <w:rsid w:val="00D93A02"/>
    <w:pPr>
      <w:spacing w:after="0" w:line="240" w:lineRule="auto"/>
      <w:textAlignment w:val="baseline"/>
    </w:pPr>
    <w:rPr>
      <w:rFonts w:ascii="Malgun Gothic" w:eastAsia="Gulim" w:hAnsi="Gulim" w:cs="Gulim"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0C2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E0C24"/>
  </w:style>
  <w:style w:type="paragraph" w:styleId="Footer">
    <w:name w:val="footer"/>
    <w:basedOn w:val="Normal"/>
    <w:link w:val="FooterChar"/>
    <w:uiPriority w:val="99"/>
    <w:unhideWhenUsed/>
    <w:rsid w:val="00DE0C2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E0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Kiruthika S.</cp:lastModifiedBy>
  <cp:revision>8</cp:revision>
  <dcterms:created xsi:type="dcterms:W3CDTF">2023-10-07T08:01:00Z</dcterms:created>
  <dcterms:modified xsi:type="dcterms:W3CDTF">2023-11-18T11:17:00Z</dcterms:modified>
</cp:coreProperties>
</file>