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b/>
          <w:bCs/>
          <w:sz w:val="24"/>
          <w:szCs w:val="24"/>
        </w:rPr>
      </w:pPr>
    </w:p>
    <w:p>
      <w:pPr>
        <w:rPr>
          <w:rFonts w:hint="eastAsia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Title page</w:t>
      </w:r>
      <w:r>
        <w:rPr>
          <w:b/>
          <w:bCs/>
          <w:sz w:val="24"/>
          <w:szCs w:val="24"/>
        </w:rPr>
        <w:t>:</w:t>
      </w:r>
    </w:p>
    <w:p>
      <w:pPr>
        <w:widowControl/>
        <w:spacing w:line="360" w:lineRule="auto"/>
        <w:rPr>
          <w:rFonts w:ascii="Times New Roman" w:hAnsi="Times New Roman"/>
          <w:bCs/>
          <w:kern w:val="0"/>
          <w:sz w:val="24"/>
          <w:szCs w:val="24"/>
        </w:rPr>
      </w:pPr>
      <w:r>
        <w:rPr>
          <w:rFonts w:ascii="Times New Roman" w:hAnsi="Times New Roman" w:eastAsia="等线"/>
          <w:b/>
          <w:sz w:val="24"/>
          <w:szCs w:val="24"/>
        </w:rPr>
        <w:t xml:space="preserve">Title: </w:t>
      </w:r>
      <w:bookmarkStart w:id="0" w:name="OLE_LINK1"/>
      <w:r>
        <w:rPr>
          <w:rFonts w:hint="eastAsia" w:ascii="Times New Roman" w:hAnsi="Times New Roman"/>
          <w:bCs/>
          <w:kern w:val="0"/>
          <w:sz w:val="24"/>
          <w:szCs w:val="24"/>
        </w:rPr>
        <w:t>Establishment and evaluation of a nomogram prediction model for the risk of vascular calcification in stage 5 chronic kidney disease patients</w:t>
      </w:r>
      <w:bookmarkEnd w:id="0"/>
    </w:p>
    <w:p>
      <w:pPr>
        <w:widowControl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Authors:</w:t>
      </w:r>
    </w:p>
    <w:p>
      <w:pPr>
        <w:spacing w:line="360" w:lineRule="auto"/>
        <w:jc w:val="left"/>
        <w:rPr>
          <w:rFonts w:ascii="Times New Roman" w:hAnsi="Times New Roman"/>
          <w:bCs/>
          <w:iCs/>
          <w:sz w:val="24"/>
          <w:szCs w:val="24"/>
        </w:rPr>
      </w:pPr>
      <w:bookmarkStart w:id="1" w:name="OLE_LINK5"/>
      <w:r>
        <w:rPr>
          <w:rFonts w:hint="eastAsia" w:ascii="Times New Roman" w:hAnsi="Times New Roman"/>
          <w:sz w:val="24"/>
          <w:szCs w:val="24"/>
        </w:rPr>
        <w:t>Yan Yang</w:t>
      </w:r>
      <w:r>
        <w:rPr>
          <w:rFonts w:hint="eastAsia" w:ascii="Times New Roman" w:hAnsi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/>
          <w:sz w:val="24"/>
          <w:szCs w:val="24"/>
          <w:vertAlign w:val="superscript"/>
          <w:lang w:val="en-US" w:eastAsia="zh-CN"/>
        </w:rPr>
        <w:t>*</w:t>
      </w:r>
      <w:r>
        <w:rPr>
          <w:rFonts w:hint="eastAsia" w:ascii="Times New Roman" w:hAnsi="Times New Roman"/>
          <w:sz w:val="24"/>
          <w:szCs w:val="24"/>
        </w:rPr>
        <w:t xml:space="preserve">,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Wenxue Liang</w:t>
      </w:r>
      <w:bookmarkEnd w:id="1"/>
      <w:r>
        <w:rPr>
          <w:rFonts w:hint="eastAsia" w:ascii="Times New Roman" w:hAnsi="Times New Roman"/>
          <w:sz w:val="24"/>
          <w:szCs w:val="24"/>
          <w:vertAlign w:val="superscript"/>
          <w:lang w:val="en-US" w:eastAsia="zh-CN"/>
        </w:rPr>
        <w:t xml:space="preserve">2* </w:t>
      </w:r>
      <w:r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  <w:t>,</w:t>
      </w:r>
      <w:r>
        <w:rPr>
          <w:rFonts w:hint="eastAsia" w:ascii="Times New Roman" w:hAnsi="Times New Roman"/>
          <w:sz w:val="24"/>
          <w:szCs w:val="24"/>
        </w:rPr>
        <w:t>Wenyu Gong</w:t>
      </w:r>
      <w:r>
        <w:rPr>
          <w:rFonts w:hint="eastAsia" w:ascii="Times New Roman" w:hAnsi="Times New Roman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ascii="Times New Roman" w:hAnsi="Times New Roman"/>
          <w:sz w:val="24"/>
          <w:szCs w:val="24"/>
        </w:rPr>
        <w:t>, Shishi Li</w:t>
      </w:r>
      <w:r>
        <w:rPr>
          <w:rFonts w:hint="eastAsia" w:ascii="Times New Roman" w:hAnsi="Times New Roman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ascii="Times New Roman" w:hAnsi="Times New Roman"/>
          <w:sz w:val="24"/>
          <w:szCs w:val="24"/>
        </w:rPr>
        <w:t>, Sining Chen</w:t>
      </w:r>
      <w:r>
        <w:rPr>
          <w:rFonts w:hint="eastAsia" w:ascii="Times New Roman" w:hAnsi="Times New Roman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ascii="Times New Roman" w:hAnsi="Times New Roman"/>
          <w:sz w:val="24"/>
          <w:szCs w:val="24"/>
        </w:rPr>
        <w:t>, Zhiqian Yang</w:t>
      </w:r>
      <w:r>
        <w:rPr>
          <w:rFonts w:hint="eastAsia" w:ascii="Times New Roman" w:hAnsi="Times New Roman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ascii="Times New Roman" w:hAnsi="Times New Roman"/>
          <w:sz w:val="24"/>
          <w:szCs w:val="24"/>
        </w:rPr>
        <w:t>, Chaoying Kuang</w:t>
      </w:r>
      <w:r>
        <w:rPr>
          <w:rFonts w:hint="eastAsia" w:ascii="Times New Roman" w:hAnsi="Times New Roman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ascii="Times New Roman" w:hAnsi="Times New Roman"/>
          <w:sz w:val="24"/>
          <w:szCs w:val="24"/>
        </w:rPr>
        <w:t xml:space="preserve">, </w:t>
      </w:r>
      <w:bookmarkStart w:id="2" w:name="OLE_LINK9"/>
      <w:r>
        <w:rPr>
          <w:rFonts w:hint="eastAsia" w:ascii="Times New Roman" w:hAnsi="Times New Roman"/>
          <w:sz w:val="24"/>
          <w:szCs w:val="24"/>
        </w:rPr>
        <w:t xml:space="preserve"> Yuzhen Zhong</w:t>
      </w:r>
      <w:r>
        <w:rPr>
          <w:rFonts w:hint="eastAsia" w:ascii="Times New Roman" w:hAnsi="Times New Roman"/>
          <w:sz w:val="24"/>
          <w:szCs w:val="24"/>
          <w:vertAlign w:val="superscript"/>
        </w:rPr>
        <w:t>2</w:t>
      </w:r>
      <w:r>
        <w:rPr>
          <w:rFonts w:hint="eastAsia" w:ascii="Times New Roman" w:hAnsi="Times New Roman"/>
          <w:sz w:val="24"/>
          <w:szCs w:val="24"/>
        </w:rPr>
        <w:t>,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Demao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Yang</w:t>
      </w:r>
      <w:bookmarkEnd w:id="2"/>
      <w:r>
        <w:rPr>
          <w:rFonts w:hint="eastAsia" w:ascii="Times New Roman" w:hAnsi="Times New Roman"/>
          <w:sz w:val="24"/>
          <w:szCs w:val="24"/>
          <w:vertAlign w:val="superscript"/>
        </w:rPr>
        <w:t>1#</w:t>
      </w:r>
      <w:r>
        <w:rPr>
          <w:rFonts w:hint="eastAsia" w:ascii="Times New Roman" w:hAnsi="Times New Roman"/>
          <w:sz w:val="24"/>
          <w:szCs w:val="24"/>
        </w:rPr>
        <w:t>, Fanna Liu</w:t>
      </w:r>
      <w:r>
        <w:rPr>
          <w:rFonts w:hint="eastAsia" w:ascii="Times New Roman" w:hAnsi="Times New Roman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ascii="Times New Roman" w:hAnsi="Times New Roman"/>
          <w:sz w:val="24"/>
          <w:szCs w:val="24"/>
          <w:vertAlign w:val="superscript"/>
        </w:rPr>
        <w:t>#</w:t>
      </w:r>
    </w:p>
    <w:p>
      <w:pPr>
        <w:spacing w:line="360" w:lineRule="auto"/>
        <w:jc w:val="left"/>
        <w:rPr>
          <w:rFonts w:hint="eastAsia" w:ascii="Times New Roman" w:hAnsi="Times New Roman" w:eastAsia="宋体"/>
          <w:iCs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/>
          <w:bCs/>
          <w:iCs/>
          <w:sz w:val="24"/>
          <w:szCs w:val="24"/>
          <w:highlight w:val="none"/>
        </w:rPr>
        <w:t xml:space="preserve">* </w:t>
      </w:r>
      <w:r>
        <w:rPr>
          <w:rFonts w:hint="eastAsia" w:ascii="Times New Roman" w:hAnsi="Times New Roman"/>
          <w:sz w:val="24"/>
          <w:szCs w:val="24"/>
          <w:highlight w:val="none"/>
        </w:rPr>
        <w:t>Yan Yang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 xml:space="preserve"> and Wenxue Liang</w:t>
      </w:r>
      <w:r>
        <w:rPr>
          <w:rFonts w:ascii="Times New Roman" w:hAnsi="Times New Roman"/>
          <w:bCs/>
          <w:iCs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/>
          <w:bCs/>
          <w:iCs/>
          <w:sz w:val="24"/>
          <w:szCs w:val="24"/>
          <w:highlight w:val="none"/>
          <w:lang w:val="en-US" w:eastAsia="zh-CN"/>
        </w:rPr>
        <w:t xml:space="preserve">have </w:t>
      </w:r>
      <w:r>
        <w:rPr>
          <w:rFonts w:ascii="Times New Roman" w:hAnsi="Times New Roman"/>
          <w:bCs/>
          <w:sz w:val="24"/>
          <w:szCs w:val="24"/>
          <w:highlight w:val="none"/>
        </w:rPr>
        <w:t xml:space="preserve">contributed </w:t>
      </w:r>
      <w:r>
        <w:rPr>
          <w:rFonts w:ascii="Times New Roman" w:hAnsi="Times New Roman"/>
          <w:bCs/>
          <w:iCs/>
          <w:sz w:val="24"/>
          <w:szCs w:val="24"/>
          <w:highlight w:val="none"/>
        </w:rPr>
        <w:t xml:space="preserve">equally </w:t>
      </w:r>
      <w:r>
        <w:rPr>
          <w:rFonts w:ascii="Times New Roman" w:hAnsi="Times New Roman"/>
          <w:bCs/>
          <w:sz w:val="24"/>
          <w:szCs w:val="24"/>
          <w:highlight w:val="none"/>
        </w:rPr>
        <w:t>to this work</w:t>
      </w:r>
      <w:r>
        <w:rPr>
          <w:rFonts w:hint="eastAsia" w:ascii="Times New Roman" w:hAnsi="Times New Roman"/>
          <w:bCs/>
          <w:sz w:val="24"/>
          <w:szCs w:val="24"/>
          <w:highlight w:val="none"/>
          <w:lang w:val="en-US" w:eastAsia="zh-CN"/>
        </w:rPr>
        <w:t>.</w:t>
      </w:r>
      <w:bookmarkStart w:id="20" w:name="_GoBack"/>
      <w:bookmarkEnd w:id="20"/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 w:eastAsia="等线"/>
          <w:b/>
          <w:bCs/>
          <w:sz w:val="24"/>
          <w:szCs w:val="24"/>
        </w:rPr>
      </w:pPr>
      <w:r>
        <w:rPr>
          <w:rFonts w:ascii="Times New Roman" w:hAnsi="Times New Roman" w:eastAsia="等线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ffiliations</w:t>
      </w:r>
      <w:r>
        <w:rPr>
          <w:rFonts w:ascii="Times New Roman" w:hAnsi="Times New Roman"/>
          <w:sz w:val="24"/>
          <w:szCs w:val="24"/>
        </w:rPr>
        <w:t>:</w:t>
      </w:r>
    </w:p>
    <w:p>
      <w:pPr>
        <w:spacing w:before="100" w:beforeAutospacing="1" w:after="120" w:line="360" w:lineRule="auto"/>
        <w:jc w:val="left"/>
        <w:rPr>
          <w:rFonts w:hint="default" w:ascii="Times New Roman" w:hAnsi="Times New Roman"/>
          <w:bCs/>
          <w:sz w:val="24"/>
          <w:szCs w:val="24"/>
          <w:vertAlign w:val="superscript"/>
          <w:lang w:val="en-US" w:eastAsia="zh-CN"/>
        </w:rPr>
      </w:pPr>
      <w:r>
        <w:rPr>
          <w:rFonts w:hint="eastAsia" w:ascii="Times New Roman" w:hAnsi="Times New Roman"/>
          <w:bCs/>
          <w:sz w:val="24"/>
          <w:szCs w:val="24"/>
          <w:lang w:val="en-US" w:eastAsia="zh-CN"/>
        </w:rPr>
        <w:t>1Department of General practice, Puning People</w:t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zh-CN"/>
        </w:rPr>
        <w:t>’</w:t>
      </w:r>
      <w:r>
        <w:rPr>
          <w:rFonts w:hint="eastAsia" w:ascii="Times New Roman" w:hAnsi="Times New Roman"/>
          <w:bCs/>
          <w:sz w:val="24"/>
          <w:szCs w:val="24"/>
          <w:lang w:val="en-US" w:eastAsia="zh-CN"/>
        </w:rPr>
        <w:t>s Hospital, Puning, Guangdong 515300, China</w:t>
      </w:r>
    </w:p>
    <w:p>
      <w:pPr>
        <w:spacing w:before="100" w:beforeAutospacing="1" w:after="120" w:line="360" w:lineRule="auto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/>
          <w:bCs/>
          <w:sz w:val="24"/>
          <w:szCs w:val="24"/>
        </w:rPr>
        <w:t xml:space="preserve"> Department of Nephrology, The First Affiliated Hospital of Jinan University, Jinan University, Guangzhou, China.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Corresponding author</w:t>
      </w:r>
      <w:r>
        <w:rPr>
          <w:rFonts w:ascii="Times New Roman" w:hAnsi="Times New Roman"/>
          <w:sz w:val="24"/>
          <w:szCs w:val="24"/>
        </w:rPr>
        <w:t xml:space="preserve">: </w:t>
      </w:r>
    </w:p>
    <w:p>
      <w:pPr>
        <w:spacing w:line="360" w:lineRule="auto"/>
        <w:jc w:val="left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Demao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Yang, </w:t>
      </w:r>
      <w:r>
        <w:rPr>
          <w:rFonts w:hint="eastAsia" w:ascii="Times New Roman" w:hAnsi="Times New Roman"/>
          <w:bCs/>
          <w:sz w:val="24"/>
          <w:szCs w:val="24"/>
          <w:lang w:val="en-US" w:eastAsia="zh-CN"/>
        </w:rPr>
        <w:t>Department of General practice, Puning People</w:t>
      </w:r>
      <w:r>
        <w:rPr>
          <w:rFonts w:hint="default" w:ascii="Times New Roman" w:hAnsi="Times New Roman" w:cs="Times New Roman"/>
          <w:bCs/>
          <w:sz w:val="24"/>
          <w:szCs w:val="24"/>
          <w:lang w:val="en-US" w:eastAsia="zh-CN"/>
        </w:rPr>
        <w:t>’</w:t>
      </w:r>
      <w:r>
        <w:rPr>
          <w:rFonts w:hint="eastAsia" w:ascii="Times New Roman" w:hAnsi="Times New Roman"/>
          <w:bCs/>
          <w:sz w:val="24"/>
          <w:szCs w:val="24"/>
          <w:lang w:val="en-US" w:eastAsia="zh-CN"/>
        </w:rPr>
        <w:t xml:space="preserve">s Hospital, Puning, Guangdong 515300, China </w:t>
      </w:r>
      <w:r>
        <w:rPr>
          <w:rFonts w:ascii="Times New Roman" w:hAnsi="Times New Roman"/>
          <w:b/>
          <w:sz w:val="24"/>
          <w:szCs w:val="24"/>
        </w:rPr>
        <w:t>E-mail: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bCs/>
          <w:sz w:val="24"/>
          <w:szCs w:val="24"/>
          <w:lang w:val="en-US" w:eastAsia="zh-CN"/>
        </w:rPr>
        <w:t>Yangdemao2020@163.com</w:t>
      </w:r>
    </w:p>
    <w:p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Fanna Liu, Department of Nephrology, The First Affiliated Hospital of Jinan University, 613 W. Huangpu Avenue, Guangzhou, Guangdong, China</w:t>
      </w:r>
      <w:r>
        <w:rPr>
          <w:rFonts w:ascii="Times New Roman" w:hAnsi="Times New Roman"/>
          <w:sz w:val="24"/>
          <w:szCs w:val="24"/>
        </w:rPr>
        <w:t xml:space="preserve">. </w:t>
      </w:r>
      <w:bookmarkStart w:id="3" w:name="OLE_LINK11"/>
      <w:r>
        <w:rPr>
          <w:rFonts w:ascii="Times New Roman" w:hAnsi="Times New Roman"/>
          <w:b/>
          <w:sz w:val="24"/>
          <w:szCs w:val="24"/>
        </w:rPr>
        <w:t>E-mail:</w:t>
      </w:r>
      <w:bookmarkEnd w:id="3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>tliufana@jnu.edu.cn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asciiTheme="minorHAnsi" w:hAnsiTheme="minorHAnsi" w:eastAsiaTheme="minorEastAsia" w:cstheme="minorBidi"/>
          <w:sz w:val="24"/>
          <w:szCs w:val="24"/>
          <w:lang w:eastAsia="zh-CN"/>
        </w:rPr>
      </w:pPr>
      <w:r>
        <w:rPr>
          <w:rFonts w:ascii="Times New Roman" w:hAnsi="Times New Roman"/>
          <w:sz w:val="24"/>
        </w:rPr>
        <w:t>Supplementary Table S1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Baseline characteristics of non-calcification and calcification groups</w:t>
      </w:r>
    </w:p>
    <w:tbl>
      <w:tblPr>
        <w:tblStyle w:val="3"/>
        <w:tblW w:w="7582" w:type="dxa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4"/>
        <w:gridCol w:w="1500"/>
        <w:gridCol w:w="1478"/>
        <w:gridCol w:w="1027"/>
        <w:gridCol w:w="11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23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</w:pPr>
            <w:bookmarkStart w:id="4" w:name="OLE_LINK2"/>
            <w:bookmarkStart w:id="5" w:name="_Hlk125840863"/>
            <w:bookmarkStart w:id="6" w:name="_Hlk124704648"/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</w:rPr>
              <w:t>Characteristics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non-calcification group</w:t>
            </w:r>
          </w:p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(n=117)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calcification group</w:t>
            </w:r>
          </w:p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(n=246)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Age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48.08±14.16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63.83±13.71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-10.122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Gender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3.974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Female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63(53.8%)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105(42.7%)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Male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54(46.2%)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141(57.3%)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Smoking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0.526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0.468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99(84.6%)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215(87.4%)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18(15.4%)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31(12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6%)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Drinking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0.833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0.361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111(94.9%)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227(92.3%)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6(5.1%)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19(7.7%)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Diabetic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19.096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92(78.6%)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135(54.9%)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25(21.4%)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111(45.1%)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renal replacement therapy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26.061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69(58.9%)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76(30.9%)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bookmarkStart w:id="7" w:name="_Hlk124692367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48(41.1%)</w:t>
            </w:r>
            <w:bookmarkEnd w:id="7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bookmarkStart w:id="8" w:name="_Hlk124692388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170(69.1%)</w:t>
            </w:r>
            <w:bookmarkEnd w:id="8"/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BMI, kg/m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23.04±4.48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22.96±3.58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0.168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SBP, mmHg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138.45±25.25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145.99±26.25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-2.589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DBP, mmHg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83.32±16.09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78.29±14.37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3.000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Scr, </w:t>
            </w:r>
            <w:bookmarkStart w:id="9" w:name="_Hlk124507988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mg/dl</w:t>
            </w:r>
            <w:bookmarkEnd w:id="9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7.94±2.11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8.98±2.80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-3.943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bookmarkStart w:id="10" w:name="OLE_LINK4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BUN, mmol/L</w:t>
            </w:r>
            <w:bookmarkEnd w:id="10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14.89±8.64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21.85±9.75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-6.581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eGFR，min·1.73m^2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8.54±2.62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7.19±2.64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4.543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SUA，</w:t>
            </w:r>
            <w:bookmarkStart w:id="11" w:name="_Hlk124507915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umol/L</w:t>
            </w:r>
            <w:bookmarkEnd w:id="11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398.01±83.86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486.21±128.71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-7.813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P, mmol/L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1.26±0.16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1.44±0.10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-11.669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bookmarkStart w:id="12" w:name="OLE_LINK7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  <w:bookmarkEnd w:id="12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Ca, mmol/L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2.23±0.25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2.14±0.25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3.263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iPTH，pg/Ml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261.30±110.15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327.34±164.72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-4.515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rPr>
          <w:trHeight w:val="453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ALP, U/L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94.45±107.99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102.24±144.63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-0.573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0.567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TC, mmol/L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4.93±1.63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4.46±1.08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2.864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TG，mmol/L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2.05±1.62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1.71±1.01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2.051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HDL-C，mmol/L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1.13±0.36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1.03±0.32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2.688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LDL-C，mmol/L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2.74±1.13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2.45±0.83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2.515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HGB, g/dl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119.19±22.79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102.08±21.71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6.905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bookmarkStart w:id="13" w:name="OLE_LINK6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  <w:bookmarkEnd w:id="13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ALB，g/L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39.26±6.47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36.69±6.49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3.510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Complication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29.544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Hypertension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bookmarkStart w:id="14" w:name="_Hlk124692837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46(39.3%)</w:t>
            </w:r>
            <w:bookmarkEnd w:id="14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126(51.2%)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394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oronary heart disease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bookmarkStart w:id="15" w:name="_Hlk124693530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15(12.8%)</w:t>
            </w:r>
            <w:bookmarkEnd w:id="15"/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bookmarkStart w:id="16" w:name="_Hlk124693602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52(21.1%)</w:t>
            </w:r>
            <w:bookmarkEnd w:id="16"/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erebral infarction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5(4.3%)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bookmarkStart w:id="17" w:name="_Hlk124693621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25(10.2%)</w:t>
            </w:r>
            <w:bookmarkEnd w:id="17"/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bookmarkEnd w:id="4"/>
      <w:bookmarkEnd w:id="5"/>
      <w:bookmarkEnd w:id="6"/>
    </w:tbl>
    <w:p>
      <w:pPr>
        <w:pStyle w:val="2"/>
        <w:spacing w:before="214" w:line="364" w:lineRule="auto"/>
        <w:ind w:left="115" w:right="223" w:firstLine="480"/>
        <w:jc w:val="center"/>
        <w:rPr>
          <w:rFonts w:hint="default" w:ascii="Times New Roman" w:hAnsi="Times New Roman" w:eastAsia="宋体" w:cs="Times New Roman"/>
          <w:sz w:val="24"/>
          <w:szCs w:val="21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Supplementary Table S2 Baseline characteristics of non-calcification and calcification groups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in the </w:t>
      </w:r>
      <w:r>
        <w:rPr>
          <w:rFonts w:hint="default" w:ascii="Times New Roman" w:hAnsi="Times New Roman" w:eastAsia="宋体" w:cs="Times New Roman"/>
          <w:bCs/>
          <w:kern w:val="2"/>
          <w:sz w:val="24"/>
          <w:szCs w:val="24"/>
          <w:lang w:val="en-US" w:eastAsia="zh-CN" w:bidi="ar"/>
        </w:rPr>
        <w:t>validation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group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bCs/>
          <w:lang w:val="en-US"/>
        </w:rPr>
      </w:pPr>
    </w:p>
    <w:tbl>
      <w:tblPr>
        <w:tblStyle w:val="3"/>
        <w:tblW w:w="7585" w:type="dxa"/>
        <w:tblInd w:w="12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5"/>
        <w:gridCol w:w="1730"/>
        <w:gridCol w:w="1550"/>
        <w:gridCol w:w="840"/>
        <w:gridCol w:w="10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Characteristics</w:t>
            </w: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non-calcification group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(n=50)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calcification group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(n=131)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t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20"/>
                <w:szCs w:val="2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Age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48.70±14.16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60.38±14.1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-5.143</w:t>
            </w: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Gender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0.451</w:t>
            </w: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Female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31(62.0%)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74(56.5%)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Male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19(38.0%)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57(43.5%)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Smoking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10.026</w:t>
            </w: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29(58.0%)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106(80.9%)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21(42.0%)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25(19.1%)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Drinking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0.675</w:t>
            </w: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42(84.0%)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116(88.5%)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8(16.0%)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15(11.45%)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Diabetic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1.151</w:t>
            </w: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33(66.0%)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75(57.3%)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17(34.0%)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56(42.7%)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renal replacement therapy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7.077</w:t>
            </w: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20(40.0%)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27(20.6%)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30(60.0%)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104(79.4%)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BMI, kg/m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23.04 (21.13,25.29)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22.29 (19.61,24.36)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1.758</w:t>
            </w: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SBP, mmHg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148.45±18.25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143.99±17.50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1.184</w:t>
            </w: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DBP, mmHg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86.74±14.16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79.64±14.58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2.951</w:t>
            </w: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Scr, mg/dl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7.34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 (6.16,9.96)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8.88 (7.21,10.86)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-2.938</w:t>
            </w: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BUN, mmol/L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20.22±3.99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23.87±4.48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-5.052</w:t>
            </w: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eGFR</w:t>
            </w: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min·1.73m^2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8.55 (6.03,10.69)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6.46 (5.28,8.45)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3.81</w:t>
            </w: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SUA</w:t>
            </w: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umol/L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442.79±79.28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480.77±108.92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-2.583</w:t>
            </w: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P, mmol/L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1.17±0.11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1.44±0.11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-14.982</w:t>
            </w: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Ca, mmol/L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2.23±0.25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2.14±0.25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3.263</w:t>
            </w: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iPTH</w:t>
            </w: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pg/Ml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247.59 (201.23,369.83)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248.03 (186.7,401.62)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0.117</w:t>
            </w: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0.907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ALP, U/L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68.5 (47.35,89.75)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73 (46.15,98)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-0.34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TC, mmol/L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4.38 (3.76,6.01)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4.33 (3.67,5.3)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0.934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TG</w:t>
            </w: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mmol/L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1.94±0.64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1.73±0.47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2.097</w:t>
            </w: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HDL-C</w:t>
            </w: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mmol/L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1.01 (0.85,1.23)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0.96 (0.84,1.15)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0.996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LDL-C</w:t>
            </w: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mmol/L</w:t>
            </w:r>
          </w:p>
        </w:tc>
        <w:tc>
          <w:tcPr>
            <w:tcW w:w="173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2.4 (1.96,3.39)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2.4 (1.85,3.04)</w:t>
            </w:r>
          </w:p>
        </w:tc>
        <w:tc>
          <w:tcPr>
            <w:tcW w:w="84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0.885</w:t>
            </w:r>
          </w:p>
        </w:tc>
        <w:tc>
          <w:tcPr>
            <w:tcW w:w="10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0.376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HGB, g/dl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106.39±16.62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99.96±21.45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2.139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41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ALB</w:t>
            </w: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g/L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36.95±5.76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36.82±6.75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0.117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0.907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4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>
      <w:pPr>
        <w:pStyle w:val="2"/>
        <w:spacing w:before="214" w:line="364" w:lineRule="auto"/>
        <w:ind w:left="115" w:right="223" w:firstLine="480"/>
        <w:jc w:val="center"/>
        <w:rPr>
          <w:rFonts w:hint="default" w:ascii="Times New Roman" w:hAnsi="Times New Roman" w:eastAsia="宋体" w:cs="Times New Roman"/>
          <w:sz w:val="24"/>
          <w:szCs w:val="21"/>
          <w:lang w:val="en-US" w:eastAsia="zh-CN" w:bidi="ar"/>
        </w:rPr>
      </w:pPr>
    </w:p>
    <w:p>
      <w:pPr>
        <w:pStyle w:val="2"/>
        <w:spacing w:before="214" w:line="364" w:lineRule="auto"/>
        <w:ind w:left="0" w:leftChars="0" w:right="223" w:firstLine="0" w:firstLineChars="0"/>
        <w:jc w:val="both"/>
        <w:rPr>
          <w:rFonts w:hint="default" w:eastAsia="宋体"/>
          <w:lang w:val="en-US" w:bidi="ar-SA"/>
        </w:rPr>
      </w:pPr>
      <w:r>
        <w:rPr>
          <w:rFonts w:hint="default" w:ascii="Times New Roman" w:hAnsi="Times New Roman" w:eastAsia="宋体" w:cs="Times New Roman"/>
          <w:sz w:val="24"/>
          <w:szCs w:val="21"/>
          <w:lang w:val="en-US" w:eastAsia="zh-CN" w:bidi="ar"/>
        </w:rPr>
        <w:t>Supplementary Table S</w:t>
      </w:r>
      <w:r>
        <w:rPr>
          <w:rFonts w:hint="eastAsia" w:eastAsia="宋体" w:cs="Times New Roman"/>
          <w:sz w:val="24"/>
          <w:szCs w:val="21"/>
          <w:lang w:val="en-US" w:eastAsia="zh-CN" w:bidi="ar"/>
        </w:rPr>
        <w:t>3 Baseline characteristics of patients grouped by blood uric acid level</w:t>
      </w:r>
    </w:p>
    <w:tbl>
      <w:tblPr>
        <w:tblStyle w:val="3"/>
        <w:tblW w:w="7582" w:type="dxa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5"/>
        <w:gridCol w:w="1559"/>
        <w:gridCol w:w="1559"/>
        <w:gridCol w:w="1276"/>
        <w:gridCol w:w="11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00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bookmarkStart w:id="18" w:name="OLE_LINK3"/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  <w:t>Dependent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normal uric acid group(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n=167)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hyperuric acid group(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n=377)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widowControl/>
              <w:spacing w:line="360" w:lineRule="auto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t/χ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8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0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48.26±13.72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62.63±13.89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-11.171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Gender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1.759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85(50.9%)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215(57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.0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82(49.1%)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162(43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.0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Smoking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5.800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128(76.6%)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321(85.1%)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39(23.4%)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56(14.9%)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Drinking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0.058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153(91.6%)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343(91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.0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14(8.4%)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34(9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.0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Diabetic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17.934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125(74.9%)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210(55.7%)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42(25.1%)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167(44.3%)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renal replacement therapy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5.398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50(44.6%)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142(32.9%)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62(55.4%)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bookmarkStart w:id="19" w:name="_Hlk125975033"/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290(67.1%)</w:t>
            </w:r>
            <w:bookmarkEnd w:id="19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BMI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kg/m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23.14±4.38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22.71±3.54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1.111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0.267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BP, mmHg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141.92±25.11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145.52±26.16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-1.499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BP,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mmHg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84.35±15.58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78.76±14.44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4.063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cr,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mg/dl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7.95±2.15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9.05±2.69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-5.083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BUN,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mol/L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15.64±7.6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22.08±8.28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-8.573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eGFR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min·1.73m^2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8.54±2.64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7.10±2.51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6.091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, mmol/L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1.23±0.15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1.44±0.10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-16.448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a, mmol/L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2.18±0.27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2.13±0.22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2.020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.044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iPTH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，p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g/Ml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271.35±120.61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317.51±162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-3.687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LP, U/L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91.64±97.46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96.62±122.31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-0.506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.613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C,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mg/dl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4.96±1.68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4.51±1.27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3.092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G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，mg/dl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2.01±1.40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1.72±0.86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2.527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DL-C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mg/dl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1.11±0.34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1.03±0.31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2.774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L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DL-C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mg/dl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2.76±1.16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2.45±0.84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3.118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GB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g/dl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115.36±21.89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101.35±21.62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6.948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LB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，g/L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38.56±6.34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36.74±6.58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3.016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Complication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1.604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0.658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Hypertension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56(50.0%)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234(54.2%)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005" w:type="dxa"/>
            <w:tcBorders>
              <w:top w:val="nil"/>
              <w:left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oronary heart disease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19(17.0%)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74(17.1%)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erebral infarction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9(8.0%)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39(9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.0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bookmarkEnd w:id="18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5964270B"/>
    <w:rsid w:val="0EA456D7"/>
    <w:rsid w:val="13FF2767"/>
    <w:rsid w:val="5964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1"/>
    <w:pPr>
      <w:widowControl w:val="0"/>
      <w:ind w:left="500"/>
      <w:jc w:val="both"/>
    </w:pPr>
    <w:rPr>
      <w:rFonts w:ascii="Times New Roman" w:hAnsi="Times New Roman" w:eastAsia="Times New Roman" w:cs="Times New Roman"/>
      <w:kern w:val="2"/>
      <w:sz w:val="24"/>
      <w:szCs w:val="24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2023-07-26T15:27:00Z</dcterms:created>
  <dc:creator>WPS_1678442557</dc:creator>
  <cp:lastModifiedBy>WPS_1678442557</cp:lastModifiedBy>
  <dcterms:modified xsi:type="dcterms:W3CDTF">2023-11-23T13:55:34Z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DF33520F393B4E2484F5FD4EDEAAB53D_13</vt:lpwstr>
  </property>
</Properties>
</file>