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48A7" w14:textId="6DF43401" w:rsidR="00DE4D9A" w:rsidRPr="00DE4D9A" w:rsidRDefault="00DE4D9A" w:rsidP="00DE4D9A">
      <w:pPr>
        <w:spacing w:line="480" w:lineRule="auto"/>
        <w:jc w:val="center"/>
        <w:rPr>
          <w:b/>
          <w:bCs/>
          <w:sz w:val="28"/>
          <w:szCs w:val="28"/>
          <w:lang w:val="en-US"/>
        </w:rPr>
      </w:pPr>
      <w:r w:rsidRPr="00DE4D9A">
        <w:rPr>
          <w:b/>
          <w:bCs/>
          <w:sz w:val="28"/>
          <w:szCs w:val="28"/>
          <w:lang w:val="en-US"/>
        </w:rPr>
        <w:t>Supplementary Material to</w:t>
      </w:r>
    </w:p>
    <w:p w14:paraId="20FFCCA8" w14:textId="77777777" w:rsidR="00DE4D9A" w:rsidRPr="0077157C" w:rsidRDefault="00DE4D9A" w:rsidP="00DE4D9A">
      <w:pPr>
        <w:spacing w:line="480" w:lineRule="auto"/>
        <w:contextualSpacing/>
        <w:jc w:val="center"/>
        <w:rPr>
          <w:b/>
          <w:bCs/>
          <w:lang w:val="en-US"/>
        </w:rPr>
      </w:pPr>
      <w:r w:rsidRPr="008341BD">
        <w:rPr>
          <w:b/>
          <w:bCs/>
          <w:lang w:val="en-US"/>
        </w:rPr>
        <w:t xml:space="preserve">Performance of </w:t>
      </w:r>
      <w:r>
        <w:rPr>
          <w:b/>
          <w:bCs/>
          <w:lang w:val="en-US"/>
        </w:rPr>
        <w:t>SARS-CoV-2</w:t>
      </w:r>
      <w:r w:rsidRPr="008341BD">
        <w:rPr>
          <w:b/>
          <w:bCs/>
          <w:lang w:val="en-US"/>
        </w:rPr>
        <w:t xml:space="preserve"> antigen</w:t>
      </w:r>
      <w:r>
        <w:rPr>
          <w:b/>
          <w:bCs/>
          <w:lang w:val="en-US"/>
        </w:rPr>
        <w:t>-detection</w:t>
      </w:r>
      <w:r w:rsidRPr="008341BD">
        <w:rPr>
          <w:b/>
          <w:bCs/>
          <w:lang w:val="en-US"/>
        </w:rPr>
        <w:t xml:space="preserve"> rapid diagnostic tests for </w:t>
      </w:r>
      <w:r>
        <w:rPr>
          <w:b/>
          <w:bCs/>
          <w:lang w:val="en-US"/>
        </w:rPr>
        <w:t xml:space="preserve">COVID-19 </w:t>
      </w:r>
      <w:r w:rsidRPr="008341BD">
        <w:rPr>
          <w:b/>
          <w:bCs/>
          <w:lang w:val="en-US"/>
        </w:rPr>
        <w:t>self-testing</w:t>
      </w:r>
      <w:r>
        <w:rPr>
          <w:b/>
          <w:bCs/>
          <w:lang w:val="en-US"/>
        </w:rPr>
        <w:t xml:space="preserve"> and self-sampling in</w:t>
      </w:r>
      <w:r w:rsidRPr="008341BD">
        <w:rPr>
          <w:b/>
          <w:bCs/>
          <w:lang w:val="en-US"/>
        </w:rPr>
        <w:t xml:space="preserve"> compar</w:t>
      </w:r>
      <w:r>
        <w:rPr>
          <w:b/>
          <w:bCs/>
          <w:lang w:val="en-US"/>
        </w:rPr>
        <w:t>ison</w:t>
      </w:r>
      <w:r w:rsidRPr="008341BD">
        <w:rPr>
          <w:b/>
          <w:bCs/>
          <w:lang w:val="en-US"/>
        </w:rPr>
        <w:t xml:space="preserve"> </w:t>
      </w:r>
      <w:r>
        <w:rPr>
          <w:b/>
          <w:bCs/>
          <w:lang w:val="en-US"/>
        </w:rPr>
        <w:t>to</w:t>
      </w:r>
      <w:r w:rsidRPr="008341BD">
        <w:rPr>
          <w:b/>
          <w:bCs/>
          <w:lang w:val="en-US"/>
        </w:rPr>
        <w:t xml:space="preserve"> </w:t>
      </w:r>
      <w:r>
        <w:rPr>
          <w:b/>
          <w:bCs/>
          <w:lang w:val="en-US"/>
        </w:rPr>
        <w:t>molecular and professional-use antigen tests</w:t>
      </w:r>
      <w:r w:rsidRPr="008341BD">
        <w:rPr>
          <w:b/>
          <w:bCs/>
          <w:lang w:val="en-US"/>
        </w:rPr>
        <w:t>: A systematic review and meta-analysis</w:t>
      </w:r>
    </w:p>
    <w:p w14:paraId="105B1F0D" w14:textId="77777777" w:rsidR="00DE4D9A" w:rsidRPr="0077157C" w:rsidRDefault="00DE4D9A" w:rsidP="00DE4D9A">
      <w:pPr>
        <w:spacing w:line="480" w:lineRule="auto"/>
        <w:contextualSpacing/>
        <w:jc w:val="both"/>
        <w:rPr>
          <w:lang w:val="en-US"/>
        </w:rPr>
      </w:pPr>
    </w:p>
    <w:p w14:paraId="12C2FD48" w14:textId="77777777" w:rsidR="00DE4D9A" w:rsidRPr="00BC35F0" w:rsidRDefault="00DE4D9A" w:rsidP="00DE4D9A">
      <w:pPr>
        <w:spacing w:line="480" w:lineRule="auto"/>
        <w:contextualSpacing/>
        <w:jc w:val="both"/>
        <w:rPr>
          <w:lang w:val="en-US"/>
        </w:rPr>
      </w:pPr>
      <w:r w:rsidRPr="0077157C">
        <w:rPr>
          <w:lang w:val="en-US"/>
        </w:rPr>
        <w:t>Stephan Katzenschlager</w:t>
      </w:r>
      <w:r w:rsidRPr="0077157C">
        <w:rPr>
          <w:vertAlign w:val="superscript"/>
          <w:lang w:val="en-US"/>
        </w:rPr>
        <w:t>1</w:t>
      </w:r>
      <w:r w:rsidRPr="0077157C">
        <w:rPr>
          <w:lang w:val="en-US"/>
        </w:rPr>
        <w:t>,</w:t>
      </w:r>
      <w:r w:rsidRPr="0077157C">
        <w:rPr>
          <w:vertAlign w:val="superscript"/>
          <w:lang w:val="en-US"/>
        </w:rPr>
        <w:t xml:space="preserve"> </w:t>
      </w:r>
      <w:r w:rsidRPr="0077157C">
        <w:rPr>
          <w:lang w:val="en-US"/>
        </w:rPr>
        <w:t>Lukas E. Brümmer</w:t>
      </w:r>
      <w:r w:rsidRPr="0077157C">
        <w:rPr>
          <w:vertAlign w:val="superscript"/>
          <w:lang w:val="en-US"/>
        </w:rPr>
        <w:t>2</w:t>
      </w:r>
      <w:r w:rsidRPr="0077157C">
        <w:rPr>
          <w:lang w:val="en-US"/>
        </w:rPr>
        <w:t>, Stephani Schmitz</w:t>
      </w:r>
      <w:r w:rsidRPr="0077157C">
        <w:rPr>
          <w:vertAlign w:val="superscript"/>
          <w:lang w:val="en-US"/>
        </w:rPr>
        <w:t>2,3</w:t>
      </w:r>
      <w:r w:rsidRPr="0077157C">
        <w:rPr>
          <w:lang w:val="en-US"/>
        </w:rPr>
        <w:t xml:space="preserve">, </w:t>
      </w:r>
      <w:r>
        <w:rPr>
          <w:lang w:val="en-US"/>
        </w:rPr>
        <w:t>Hannah Tolle</w:t>
      </w:r>
      <w:r w:rsidRPr="009A0957">
        <w:rPr>
          <w:vertAlign w:val="superscript"/>
          <w:lang w:val="en-US"/>
        </w:rPr>
        <w:t>2</w:t>
      </w:r>
      <w:r>
        <w:rPr>
          <w:lang w:val="en-US"/>
        </w:rPr>
        <w:t>, Katharina Manten</w:t>
      </w:r>
      <w:r w:rsidRPr="009A0957">
        <w:rPr>
          <w:vertAlign w:val="superscript"/>
          <w:lang w:val="en-US"/>
        </w:rPr>
        <w:t>1,2</w:t>
      </w:r>
      <w:r>
        <w:rPr>
          <w:lang w:val="en-US"/>
        </w:rPr>
        <w:t xml:space="preserve">, </w:t>
      </w:r>
      <w:r w:rsidRPr="0077157C">
        <w:rPr>
          <w:lang w:val="en-US"/>
        </w:rPr>
        <w:t>Mary Gaeddert</w:t>
      </w:r>
      <w:r w:rsidRPr="0077157C">
        <w:rPr>
          <w:vertAlign w:val="superscript"/>
          <w:lang w:val="en-US"/>
        </w:rPr>
        <w:t>2</w:t>
      </w:r>
      <w:r w:rsidRPr="0077157C">
        <w:rPr>
          <w:lang w:val="en-US"/>
        </w:rPr>
        <w:t>, Christian Erdmann</w:t>
      </w:r>
      <w:r w:rsidRPr="0077157C">
        <w:rPr>
          <w:vertAlign w:val="superscript"/>
          <w:lang w:val="en-US"/>
        </w:rPr>
        <w:t>4</w:t>
      </w:r>
      <w:r w:rsidRPr="0077157C">
        <w:rPr>
          <w:lang w:val="en-US"/>
        </w:rPr>
        <w:t xml:space="preserve">, </w:t>
      </w:r>
      <w:r w:rsidRPr="00EA0D8E">
        <w:rPr>
          <w:lang w:val="en-US"/>
        </w:rPr>
        <w:t>Andreas Lindner</w:t>
      </w:r>
      <w:r w:rsidRPr="00EA0D8E">
        <w:rPr>
          <w:vertAlign w:val="superscript"/>
          <w:lang w:val="en-US"/>
        </w:rPr>
        <w:t>5</w:t>
      </w:r>
      <w:r w:rsidRPr="0077157C">
        <w:rPr>
          <w:lang w:val="en-US"/>
        </w:rPr>
        <w:t>,</w:t>
      </w:r>
      <w:r>
        <w:rPr>
          <w:lang w:val="en-US"/>
        </w:rPr>
        <w:t xml:space="preserve"> Frank Tobian</w:t>
      </w:r>
      <w:r w:rsidRPr="00AB770B">
        <w:rPr>
          <w:vertAlign w:val="superscript"/>
          <w:lang w:val="en-US"/>
        </w:rPr>
        <w:t>2</w:t>
      </w:r>
      <w:r>
        <w:rPr>
          <w:lang w:val="en-US"/>
        </w:rPr>
        <w:t>,</w:t>
      </w:r>
      <w:r w:rsidRPr="0077157C">
        <w:rPr>
          <w:lang w:val="en-US"/>
        </w:rPr>
        <w:t xml:space="preserve"> Maurizio Grilli</w:t>
      </w:r>
      <w:r w:rsidRPr="0077157C">
        <w:rPr>
          <w:vertAlign w:val="superscript"/>
          <w:lang w:val="en-US"/>
        </w:rPr>
        <w:t>6</w:t>
      </w:r>
      <w:r w:rsidRPr="0077157C">
        <w:rPr>
          <w:lang w:val="en-US"/>
        </w:rPr>
        <w:t>, Nira R. Pollock</w:t>
      </w:r>
      <w:r w:rsidRPr="0077157C">
        <w:rPr>
          <w:vertAlign w:val="superscript"/>
          <w:lang w:val="en-US"/>
        </w:rPr>
        <w:t>7</w:t>
      </w:r>
      <w:r w:rsidRPr="0077157C">
        <w:rPr>
          <w:lang w:val="en-US"/>
        </w:rPr>
        <w:t>, Aurélien Macé</w:t>
      </w:r>
      <w:r w:rsidRPr="0077157C">
        <w:rPr>
          <w:vertAlign w:val="superscript"/>
          <w:lang w:val="en-US"/>
        </w:rPr>
        <w:t>8</w:t>
      </w:r>
      <w:r w:rsidRPr="0077157C">
        <w:rPr>
          <w:lang w:val="en-US"/>
        </w:rPr>
        <w:t>, Berra Erkosar</w:t>
      </w:r>
      <w:r w:rsidRPr="0077157C">
        <w:rPr>
          <w:vertAlign w:val="superscript"/>
          <w:lang w:val="en-US"/>
        </w:rPr>
        <w:t>8</w:t>
      </w:r>
      <w:r w:rsidRPr="0077157C">
        <w:rPr>
          <w:lang w:val="en-US"/>
        </w:rPr>
        <w:t>, Sergio Carmona</w:t>
      </w:r>
      <w:r w:rsidRPr="0077157C">
        <w:rPr>
          <w:vertAlign w:val="superscript"/>
          <w:lang w:val="en-US"/>
        </w:rPr>
        <w:t>8</w:t>
      </w:r>
      <w:r w:rsidRPr="0077157C">
        <w:rPr>
          <w:lang w:val="en-US"/>
        </w:rPr>
        <w:t>, Stefano Ongarello</w:t>
      </w:r>
      <w:r w:rsidRPr="0077157C">
        <w:rPr>
          <w:vertAlign w:val="superscript"/>
          <w:lang w:val="en-US"/>
        </w:rPr>
        <w:t>8</w:t>
      </w:r>
      <w:r w:rsidRPr="0077157C">
        <w:rPr>
          <w:lang w:val="en-US"/>
        </w:rPr>
        <w:t xml:space="preserve">, </w:t>
      </w:r>
      <w:r w:rsidRPr="00364C6B">
        <w:rPr>
          <w:lang w:val="en-US"/>
        </w:rPr>
        <w:t>Cheryl C. Johnson</w:t>
      </w:r>
      <w:r w:rsidRPr="00BC35F0">
        <w:rPr>
          <w:vertAlign w:val="superscript"/>
          <w:lang w:val="en-US"/>
        </w:rPr>
        <w:t>9</w:t>
      </w:r>
      <w:r w:rsidRPr="0077157C">
        <w:rPr>
          <w:lang w:val="en-US"/>
        </w:rPr>
        <w:t>, Jilian A. Sacks</w:t>
      </w:r>
      <w:r>
        <w:rPr>
          <w:vertAlign w:val="superscript"/>
          <w:lang w:val="en-US"/>
        </w:rPr>
        <w:t>10</w:t>
      </w:r>
      <w:r w:rsidRPr="0077157C">
        <w:rPr>
          <w:lang w:val="en-US"/>
        </w:rPr>
        <w:t>, Claudia M. Denkinger</w:t>
      </w:r>
      <w:r w:rsidRPr="0077157C">
        <w:rPr>
          <w:vertAlign w:val="superscript"/>
          <w:lang w:val="en-US"/>
        </w:rPr>
        <w:t>2, 1</w:t>
      </w:r>
      <w:r>
        <w:rPr>
          <w:vertAlign w:val="superscript"/>
          <w:lang w:val="en-US"/>
        </w:rPr>
        <w:t>1</w:t>
      </w:r>
      <w:r>
        <w:rPr>
          <w:lang w:val="en-US"/>
        </w:rPr>
        <w:t>, Seda Yerlikaya</w:t>
      </w:r>
      <w:r w:rsidRPr="00BC35F0">
        <w:rPr>
          <w:vertAlign w:val="superscript"/>
          <w:lang w:val="en-US"/>
        </w:rPr>
        <w:t>2</w:t>
      </w:r>
      <w:r>
        <w:rPr>
          <w:vertAlign w:val="superscript"/>
          <w:lang w:val="en-US"/>
        </w:rPr>
        <w:t xml:space="preserve"> </w:t>
      </w:r>
      <w:r>
        <w:rPr>
          <w:lang w:val="en-US"/>
        </w:rPr>
        <w:t>*</w:t>
      </w:r>
    </w:p>
    <w:p w14:paraId="5D7B788A" w14:textId="77777777" w:rsidR="00DE4D9A" w:rsidRPr="0077157C" w:rsidRDefault="00DE4D9A" w:rsidP="00DE4D9A">
      <w:pPr>
        <w:spacing w:line="480" w:lineRule="auto"/>
        <w:contextualSpacing/>
        <w:jc w:val="both"/>
        <w:rPr>
          <w:rFonts w:cstheme="minorHAnsi"/>
          <w:lang w:val="en-US"/>
        </w:rPr>
      </w:pPr>
    </w:p>
    <w:p w14:paraId="64CC279D" w14:textId="77777777" w:rsidR="00DE4D9A" w:rsidRDefault="00DE4D9A" w:rsidP="00DE4D9A">
      <w:pPr>
        <w:spacing w:line="480" w:lineRule="auto"/>
        <w:contextualSpacing/>
        <w:jc w:val="both"/>
        <w:rPr>
          <w:rFonts w:cstheme="minorHAnsi"/>
          <w:lang w:val="en-US"/>
        </w:rPr>
      </w:pPr>
      <w:r w:rsidRPr="0077157C">
        <w:rPr>
          <w:rFonts w:cstheme="minorHAnsi"/>
          <w:lang w:val="en-US"/>
        </w:rPr>
        <w:t>* Corresponding author</w:t>
      </w:r>
    </w:p>
    <w:p w14:paraId="071897F1" w14:textId="77777777" w:rsidR="00DE4D9A" w:rsidRDefault="00000000" w:rsidP="00DE4D9A">
      <w:pPr>
        <w:spacing w:line="480" w:lineRule="auto"/>
        <w:contextualSpacing/>
        <w:jc w:val="both"/>
        <w:rPr>
          <w:rFonts w:cstheme="minorHAnsi"/>
          <w:lang w:val="en-US"/>
        </w:rPr>
      </w:pPr>
      <w:hyperlink r:id="rId8" w:history="1">
        <w:r w:rsidR="00DE4D9A" w:rsidRPr="00136177">
          <w:rPr>
            <w:rStyle w:val="Hyperlink"/>
            <w:rFonts w:cstheme="minorHAnsi"/>
            <w:lang w:val="en-US"/>
          </w:rPr>
          <w:t>seda.yerlikaya@uni-heidelberg.de</w:t>
        </w:r>
      </w:hyperlink>
    </w:p>
    <w:p w14:paraId="5589AD39" w14:textId="77777777" w:rsidR="00DE4D9A" w:rsidRDefault="00DE4D9A" w:rsidP="00DE4D9A">
      <w:pPr>
        <w:spacing w:line="480" w:lineRule="auto"/>
        <w:contextualSpacing/>
        <w:jc w:val="both"/>
        <w:rPr>
          <w:rFonts w:cstheme="minorHAnsi"/>
          <w:lang w:val="en-US"/>
        </w:rPr>
      </w:pPr>
      <w:r w:rsidRPr="0077157C">
        <w:rPr>
          <w:lang w:val="en-US"/>
        </w:rPr>
        <w:t xml:space="preserve">Division of </w:t>
      </w:r>
      <w:r>
        <w:rPr>
          <w:lang w:val="en-US"/>
        </w:rPr>
        <w:t xml:space="preserve">Infectious Disease and </w:t>
      </w:r>
      <w:r w:rsidRPr="0077157C">
        <w:rPr>
          <w:lang w:val="en-US"/>
        </w:rPr>
        <w:t>Tropical Medicine, Center for Infectious Diseases, Heidelberg University Hospital</w:t>
      </w:r>
    </w:p>
    <w:p w14:paraId="1DC75826" w14:textId="77777777" w:rsidR="00DE4D9A" w:rsidRDefault="00DE4D9A" w:rsidP="00DE4D9A">
      <w:pPr>
        <w:spacing w:line="480" w:lineRule="auto"/>
        <w:contextualSpacing/>
        <w:jc w:val="both"/>
        <w:rPr>
          <w:rFonts w:cstheme="minorHAnsi"/>
          <w:lang w:val="en-US"/>
        </w:rPr>
      </w:pPr>
      <w:r>
        <w:rPr>
          <w:rFonts w:cstheme="minorHAnsi"/>
          <w:lang w:val="en-US"/>
        </w:rPr>
        <w:t>Im Neuenheimer Feld 324</w:t>
      </w:r>
    </w:p>
    <w:p w14:paraId="038D67A0" w14:textId="77777777" w:rsidR="00DE4D9A" w:rsidRDefault="00DE4D9A" w:rsidP="00DE4D9A">
      <w:pPr>
        <w:spacing w:line="480" w:lineRule="auto"/>
        <w:contextualSpacing/>
        <w:jc w:val="both"/>
        <w:rPr>
          <w:rFonts w:cstheme="minorHAnsi"/>
          <w:lang w:val="en-US"/>
        </w:rPr>
      </w:pPr>
      <w:r>
        <w:rPr>
          <w:rFonts w:cstheme="minorHAnsi"/>
          <w:lang w:val="en-US"/>
        </w:rPr>
        <w:t>69120 Heidelberg, Germany</w:t>
      </w:r>
    </w:p>
    <w:p w14:paraId="62CD12FB" w14:textId="77777777" w:rsidR="00DE4D9A" w:rsidRPr="0077157C" w:rsidRDefault="00DE4D9A" w:rsidP="00DE4D9A">
      <w:pPr>
        <w:spacing w:line="480" w:lineRule="auto"/>
        <w:contextualSpacing/>
        <w:jc w:val="both"/>
        <w:rPr>
          <w:rFonts w:cstheme="minorHAnsi"/>
          <w:lang w:val="en-US"/>
        </w:rPr>
      </w:pPr>
    </w:p>
    <w:p w14:paraId="705E0750" w14:textId="77777777" w:rsidR="00DE4D9A" w:rsidRPr="0077157C" w:rsidRDefault="00DE4D9A" w:rsidP="00DE4D9A">
      <w:pPr>
        <w:spacing w:line="480" w:lineRule="auto"/>
        <w:contextualSpacing/>
        <w:rPr>
          <w:lang w:val="en-US"/>
        </w:rPr>
      </w:pPr>
      <w:r w:rsidRPr="0077157C">
        <w:rPr>
          <w:rFonts w:cstheme="minorHAnsi"/>
          <w:lang w:val="en-US"/>
        </w:rPr>
        <w:t xml:space="preserve">1) </w:t>
      </w:r>
      <w:r w:rsidRPr="0077157C">
        <w:rPr>
          <w:lang w:val="en-US"/>
        </w:rPr>
        <w:t>Department of Anesthesiology, Heidelberg University Hospital, Heidelberg, Germany</w:t>
      </w:r>
    </w:p>
    <w:p w14:paraId="624B89FD" w14:textId="77777777" w:rsidR="00DE4D9A" w:rsidRPr="0077157C" w:rsidRDefault="00DE4D9A" w:rsidP="00DE4D9A">
      <w:pPr>
        <w:spacing w:line="480" w:lineRule="auto"/>
        <w:contextualSpacing/>
        <w:rPr>
          <w:lang w:val="en-US"/>
        </w:rPr>
      </w:pPr>
      <w:r w:rsidRPr="0077157C">
        <w:rPr>
          <w:rFonts w:cstheme="minorHAnsi"/>
          <w:lang w:val="en-US"/>
        </w:rPr>
        <w:t xml:space="preserve">2) </w:t>
      </w:r>
      <w:r w:rsidRPr="0077157C">
        <w:rPr>
          <w:lang w:val="en-US"/>
        </w:rPr>
        <w:t xml:space="preserve">Division of </w:t>
      </w:r>
      <w:r>
        <w:rPr>
          <w:lang w:val="en-US"/>
        </w:rPr>
        <w:t xml:space="preserve">Infectious Disease and </w:t>
      </w:r>
      <w:r w:rsidRPr="0077157C">
        <w:rPr>
          <w:lang w:val="en-US"/>
        </w:rPr>
        <w:t>Tropical Medicine, Center for Infectious Diseases, Heidelberg University Hospital, Heidelberg, Germany</w:t>
      </w:r>
    </w:p>
    <w:p w14:paraId="06F9878E" w14:textId="77777777" w:rsidR="00DE4D9A" w:rsidRPr="0077157C" w:rsidRDefault="00DE4D9A" w:rsidP="00DE4D9A">
      <w:pPr>
        <w:spacing w:line="480" w:lineRule="auto"/>
        <w:contextualSpacing/>
        <w:rPr>
          <w:lang w:val="en-US"/>
        </w:rPr>
      </w:pPr>
      <w:r w:rsidRPr="00EA0D8E">
        <w:rPr>
          <w:lang w:val="en-US"/>
        </w:rPr>
        <w:t>3) Department of Developmental Biology, Erasmus Medical Center, Rotterdam, Netherlands</w:t>
      </w:r>
    </w:p>
    <w:p w14:paraId="2DD2017E" w14:textId="77777777" w:rsidR="00DE4D9A" w:rsidRPr="0077157C" w:rsidRDefault="00DE4D9A" w:rsidP="00DE4D9A">
      <w:pPr>
        <w:spacing w:line="480" w:lineRule="auto"/>
        <w:contextualSpacing/>
        <w:rPr>
          <w:lang w:val="en-US"/>
        </w:rPr>
      </w:pPr>
      <w:r w:rsidRPr="0077157C">
        <w:rPr>
          <w:lang w:val="en-US"/>
        </w:rPr>
        <w:t>4) FH Muenster University of Applied Sciences, Muenster, Germany</w:t>
      </w:r>
    </w:p>
    <w:p w14:paraId="6C900D5F" w14:textId="77777777" w:rsidR="00DE4D9A" w:rsidRPr="0077157C" w:rsidRDefault="00DE4D9A" w:rsidP="00DE4D9A">
      <w:pPr>
        <w:spacing w:line="480" w:lineRule="auto"/>
        <w:contextualSpacing/>
        <w:rPr>
          <w:lang w:val="en-US"/>
        </w:rPr>
      </w:pPr>
      <w:r w:rsidRPr="00EA0D8E">
        <w:rPr>
          <w:lang w:val="en-US"/>
        </w:rPr>
        <w:lastRenderedPageBreak/>
        <w:t>5) Charité – Universitätsmedizin Berlin, corporate member of Freie Universität Berlin, Humboldt- Universität zu Berlin, and Berlin Institute of Health; Institute of Tropical Medicine and International Health, Berlin, Germany</w:t>
      </w:r>
    </w:p>
    <w:p w14:paraId="6D5DE41A" w14:textId="77777777" w:rsidR="00DE4D9A" w:rsidRPr="0077157C" w:rsidRDefault="00DE4D9A" w:rsidP="00DE4D9A">
      <w:pPr>
        <w:spacing w:line="480" w:lineRule="auto"/>
        <w:contextualSpacing/>
        <w:rPr>
          <w:lang w:val="en-US"/>
        </w:rPr>
      </w:pPr>
      <w:r w:rsidRPr="0077157C">
        <w:rPr>
          <w:lang w:val="en-US"/>
        </w:rPr>
        <w:t>6) Library, University Medical Center Mannheim, Mannheim, Germany</w:t>
      </w:r>
    </w:p>
    <w:p w14:paraId="4604BD8B" w14:textId="77777777" w:rsidR="00DE4D9A" w:rsidRPr="0077157C" w:rsidRDefault="00DE4D9A" w:rsidP="00DE4D9A">
      <w:pPr>
        <w:spacing w:line="480" w:lineRule="auto"/>
        <w:contextualSpacing/>
        <w:rPr>
          <w:lang w:val="en-US"/>
        </w:rPr>
      </w:pPr>
      <w:r w:rsidRPr="0077157C">
        <w:rPr>
          <w:lang w:val="en-US"/>
        </w:rPr>
        <w:t>7) Department of Laboratory Medicine, Boston Children’s Hospital, Boston, Massachusetts, United States of America</w:t>
      </w:r>
    </w:p>
    <w:p w14:paraId="3EE86054" w14:textId="77777777" w:rsidR="00DE4D9A" w:rsidRDefault="00DE4D9A" w:rsidP="00DE4D9A">
      <w:pPr>
        <w:spacing w:line="480" w:lineRule="auto"/>
        <w:contextualSpacing/>
        <w:rPr>
          <w:lang w:val="en-US"/>
        </w:rPr>
      </w:pPr>
      <w:r w:rsidRPr="0077157C">
        <w:rPr>
          <w:lang w:val="en-US"/>
        </w:rPr>
        <w:t>8) FIND, Geneva, Switzerland</w:t>
      </w:r>
    </w:p>
    <w:p w14:paraId="73C44064" w14:textId="77777777" w:rsidR="00DE4D9A" w:rsidRPr="0077157C" w:rsidRDefault="00DE4D9A" w:rsidP="00DE4D9A">
      <w:pPr>
        <w:spacing w:line="480" w:lineRule="auto"/>
        <w:contextualSpacing/>
        <w:rPr>
          <w:lang w:val="en-US"/>
        </w:rPr>
      </w:pPr>
      <w:r>
        <w:rPr>
          <w:lang w:val="en-US"/>
        </w:rPr>
        <w:t xml:space="preserve">9) </w:t>
      </w:r>
      <w:r w:rsidRPr="008F5FA6">
        <w:rPr>
          <w:lang w:val="en-US"/>
        </w:rPr>
        <w:t>Global HIV, Hepatitis and STIs Programmes, World Health Organization, Geneva, Switzerland</w:t>
      </w:r>
    </w:p>
    <w:p w14:paraId="4AE74047" w14:textId="77777777" w:rsidR="00DE4D9A" w:rsidRPr="0077157C" w:rsidRDefault="00DE4D9A" w:rsidP="00DE4D9A">
      <w:pPr>
        <w:spacing w:line="480" w:lineRule="auto"/>
        <w:contextualSpacing/>
        <w:rPr>
          <w:lang w:val="en-US"/>
        </w:rPr>
      </w:pPr>
      <w:r>
        <w:rPr>
          <w:lang w:val="en-US"/>
        </w:rPr>
        <w:t>10</w:t>
      </w:r>
      <w:r w:rsidRPr="0077157C">
        <w:rPr>
          <w:lang w:val="en-US"/>
        </w:rPr>
        <w:t xml:space="preserve">) </w:t>
      </w:r>
      <w:r w:rsidRPr="008F5FA6">
        <w:rPr>
          <w:lang w:val="en-US"/>
        </w:rPr>
        <w:t>Department of Epidemic and Pandemic Preparedness and Prevention</w:t>
      </w:r>
      <w:r w:rsidRPr="0077157C">
        <w:rPr>
          <w:lang w:val="en-US"/>
        </w:rPr>
        <w:t>, World Health Organization, Geneva, Switzerland</w:t>
      </w:r>
    </w:p>
    <w:p w14:paraId="2499B8B0" w14:textId="77777777" w:rsidR="00DE4D9A" w:rsidRDefault="00DE4D9A" w:rsidP="00DE4D9A">
      <w:pPr>
        <w:spacing w:line="480" w:lineRule="auto"/>
        <w:rPr>
          <w:rFonts w:ascii="Calibri" w:hAnsi="Calibri"/>
          <w:lang w:val="en-US"/>
        </w:rPr>
      </w:pPr>
      <w:r w:rsidRPr="0077157C">
        <w:rPr>
          <w:rFonts w:ascii="Calibri" w:hAnsi="Calibri"/>
          <w:lang w:val="en-US"/>
        </w:rPr>
        <w:t>1</w:t>
      </w:r>
      <w:r>
        <w:rPr>
          <w:rFonts w:ascii="Calibri" w:hAnsi="Calibri"/>
          <w:lang w:val="en-US"/>
        </w:rPr>
        <w:t>1</w:t>
      </w:r>
      <w:r w:rsidRPr="0077157C">
        <w:rPr>
          <w:rFonts w:ascii="Calibri" w:hAnsi="Calibri"/>
          <w:lang w:val="en-US"/>
        </w:rPr>
        <w:t>) German Center for Infection Research (DZIF), partner site Heidelberg University Hospital, Heidelberg, Germany</w:t>
      </w:r>
    </w:p>
    <w:p w14:paraId="1152652B" w14:textId="77777777" w:rsidR="00DE4D9A" w:rsidRDefault="00DE4D9A" w:rsidP="0053310D">
      <w:pPr>
        <w:spacing w:line="276" w:lineRule="auto"/>
        <w:rPr>
          <w:lang w:val="en-US"/>
        </w:rPr>
      </w:pPr>
    </w:p>
    <w:p w14:paraId="52598D02" w14:textId="6555F6ED" w:rsidR="003F734A" w:rsidRDefault="003F734A">
      <w:pPr>
        <w:rPr>
          <w:lang w:val="en-US"/>
        </w:rPr>
      </w:pPr>
      <w:r>
        <w:rPr>
          <w:lang w:val="en-US"/>
        </w:rPr>
        <w:br w:type="page"/>
      </w:r>
    </w:p>
    <w:sdt>
      <w:sdtPr>
        <w:rPr>
          <w:rFonts w:asciiTheme="minorHAnsi" w:eastAsiaTheme="minorHAnsi" w:hAnsiTheme="minorHAnsi" w:cstheme="minorBidi"/>
          <w:b w:val="0"/>
          <w:bCs w:val="0"/>
          <w:color w:val="auto"/>
          <w:sz w:val="24"/>
          <w:szCs w:val="24"/>
          <w:lang w:val="de-DE" w:eastAsia="en-US"/>
        </w:rPr>
        <w:id w:val="-1461031889"/>
        <w:docPartObj>
          <w:docPartGallery w:val="Table of Contents"/>
          <w:docPartUnique/>
        </w:docPartObj>
      </w:sdtPr>
      <w:sdtEndPr>
        <w:rPr>
          <w:noProof/>
          <w:lang w:val="de-AT"/>
        </w:rPr>
      </w:sdtEndPr>
      <w:sdtContent>
        <w:p w14:paraId="28576237" w14:textId="0ABDBE38" w:rsidR="003F734A" w:rsidRPr="003F734A" w:rsidRDefault="003F734A">
          <w:pPr>
            <w:pStyle w:val="TOCHeading"/>
            <w:rPr>
              <w:lang w:val="en-US"/>
            </w:rPr>
          </w:pPr>
          <w:r w:rsidRPr="003F734A">
            <w:rPr>
              <w:lang w:val="en-US"/>
            </w:rPr>
            <w:t>Table of content</w:t>
          </w:r>
        </w:p>
        <w:p w14:paraId="1CD3E4E5" w14:textId="1072DEBF" w:rsidR="009F29C7" w:rsidRDefault="003F734A">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r>
            <w:rPr>
              <w:b w:val="0"/>
              <w:bCs w:val="0"/>
            </w:rPr>
            <w:fldChar w:fldCharType="begin"/>
          </w:r>
          <w:r>
            <w:instrText>TOC \o "1-3" \h \z \u</w:instrText>
          </w:r>
          <w:r>
            <w:rPr>
              <w:b w:val="0"/>
              <w:bCs w:val="0"/>
            </w:rPr>
            <w:fldChar w:fldCharType="separate"/>
          </w:r>
          <w:hyperlink w:anchor="_Toc152845897" w:history="1">
            <w:r w:rsidR="009F29C7" w:rsidRPr="00A811D3">
              <w:rPr>
                <w:rStyle w:val="Hyperlink"/>
                <w:noProof/>
                <w:lang w:val="en-US"/>
              </w:rPr>
              <w:t>Supplement PRISMA Checklist</w:t>
            </w:r>
            <w:r w:rsidR="009F29C7">
              <w:rPr>
                <w:noProof/>
                <w:webHidden/>
              </w:rPr>
              <w:tab/>
            </w:r>
            <w:r w:rsidR="009F29C7">
              <w:rPr>
                <w:noProof/>
                <w:webHidden/>
              </w:rPr>
              <w:fldChar w:fldCharType="begin"/>
            </w:r>
            <w:r w:rsidR="009F29C7">
              <w:rPr>
                <w:noProof/>
                <w:webHidden/>
              </w:rPr>
              <w:instrText xml:space="preserve"> PAGEREF _Toc152845897 \h </w:instrText>
            </w:r>
            <w:r w:rsidR="009F29C7">
              <w:rPr>
                <w:noProof/>
                <w:webHidden/>
              </w:rPr>
            </w:r>
            <w:r w:rsidR="009F29C7">
              <w:rPr>
                <w:noProof/>
                <w:webHidden/>
              </w:rPr>
              <w:fldChar w:fldCharType="separate"/>
            </w:r>
            <w:r w:rsidR="009F29C7">
              <w:rPr>
                <w:noProof/>
                <w:webHidden/>
              </w:rPr>
              <w:t>4</w:t>
            </w:r>
            <w:r w:rsidR="009F29C7">
              <w:rPr>
                <w:noProof/>
                <w:webHidden/>
              </w:rPr>
              <w:fldChar w:fldCharType="end"/>
            </w:r>
          </w:hyperlink>
        </w:p>
        <w:p w14:paraId="0800E81B" w14:textId="3553B4F6"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898" w:history="1">
            <w:r w:rsidRPr="00A811D3">
              <w:rPr>
                <w:rStyle w:val="Hyperlink"/>
                <w:noProof/>
                <w:lang w:val="en-US"/>
              </w:rPr>
              <w:t>Supplement Text 1 – Study Protocol</w:t>
            </w:r>
            <w:r>
              <w:rPr>
                <w:noProof/>
                <w:webHidden/>
              </w:rPr>
              <w:tab/>
            </w:r>
            <w:r>
              <w:rPr>
                <w:noProof/>
                <w:webHidden/>
              </w:rPr>
              <w:fldChar w:fldCharType="begin"/>
            </w:r>
            <w:r>
              <w:rPr>
                <w:noProof/>
                <w:webHidden/>
              </w:rPr>
              <w:instrText xml:space="preserve"> PAGEREF _Toc152845898 \h </w:instrText>
            </w:r>
            <w:r>
              <w:rPr>
                <w:noProof/>
                <w:webHidden/>
              </w:rPr>
            </w:r>
            <w:r>
              <w:rPr>
                <w:noProof/>
                <w:webHidden/>
              </w:rPr>
              <w:fldChar w:fldCharType="separate"/>
            </w:r>
            <w:r>
              <w:rPr>
                <w:noProof/>
                <w:webHidden/>
              </w:rPr>
              <w:t>10</w:t>
            </w:r>
            <w:r>
              <w:rPr>
                <w:noProof/>
                <w:webHidden/>
              </w:rPr>
              <w:fldChar w:fldCharType="end"/>
            </w:r>
          </w:hyperlink>
        </w:p>
        <w:p w14:paraId="25D50F27" w14:textId="53468F24"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899" w:history="1">
            <w:r w:rsidRPr="00A811D3">
              <w:rPr>
                <w:rStyle w:val="Hyperlink"/>
                <w:noProof/>
                <w:lang w:val="en-US"/>
              </w:rPr>
              <w:t>Supplement Text 2 – Search Strategy</w:t>
            </w:r>
            <w:r>
              <w:rPr>
                <w:noProof/>
                <w:webHidden/>
              </w:rPr>
              <w:tab/>
            </w:r>
            <w:r>
              <w:rPr>
                <w:noProof/>
                <w:webHidden/>
              </w:rPr>
              <w:fldChar w:fldCharType="begin"/>
            </w:r>
            <w:r>
              <w:rPr>
                <w:noProof/>
                <w:webHidden/>
              </w:rPr>
              <w:instrText xml:space="preserve"> PAGEREF _Toc152845899 \h </w:instrText>
            </w:r>
            <w:r>
              <w:rPr>
                <w:noProof/>
                <w:webHidden/>
              </w:rPr>
            </w:r>
            <w:r>
              <w:rPr>
                <w:noProof/>
                <w:webHidden/>
              </w:rPr>
              <w:fldChar w:fldCharType="separate"/>
            </w:r>
            <w:r>
              <w:rPr>
                <w:noProof/>
                <w:webHidden/>
              </w:rPr>
              <w:t>20</w:t>
            </w:r>
            <w:r>
              <w:rPr>
                <w:noProof/>
                <w:webHidden/>
              </w:rPr>
              <w:fldChar w:fldCharType="end"/>
            </w:r>
          </w:hyperlink>
        </w:p>
        <w:p w14:paraId="79B31F9C" w14:textId="10FA7FA3"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0" w:history="1">
            <w:r w:rsidRPr="00A811D3">
              <w:rPr>
                <w:rStyle w:val="Hyperlink"/>
                <w:rFonts w:cs="Arial"/>
                <w:noProof/>
                <w:lang w:val="en-US"/>
              </w:rPr>
              <w:t>Review questions</w:t>
            </w:r>
            <w:r>
              <w:rPr>
                <w:noProof/>
                <w:webHidden/>
              </w:rPr>
              <w:tab/>
            </w:r>
            <w:r>
              <w:rPr>
                <w:noProof/>
                <w:webHidden/>
              </w:rPr>
              <w:fldChar w:fldCharType="begin"/>
            </w:r>
            <w:r>
              <w:rPr>
                <w:noProof/>
                <w:webHidden/>
              </w:rPr>
              <w:instrText xml:space="preserve"> PAGEREF _Toc152845900 \h </w:instrText>
            </w:r>
            <w:r>
              <w:rPr>
                <w:noProof/>
                <w:webHidden/>
              </w:rPr>
            </w:r>
            <w:r>
              <w:rPr>
                <w:noProof/>
                <w:webHidden/>
              </w:rPr>
              <w:fldChar w:fldCharType="separate"/>
            </w:r>
            <w:r>
              <w:rPr>
                <w:noProof/>
                <w:webHidden/>
              </w:rPr>
              <w:t>20</w:t>
            </w:r>
            <w:r>
              <w:rPr>
                <w:noProof/>
                <w:webHidden/>
              </w:rPr>
              <w:fldChar w:fldCharType="end"/>
            </w:r>
          </w:hyperlink>
        </w:p>
        <w:p w14:paraId="67D098B5" w14:textId="7DE2361E"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1" w:history="1">
            <w:r w:rsidRPr="00A811D3">
              <w:rPr>
                <w:rStyle w:val="Hyperlink"/>
                <w:noProof/>
              </w:rPr>
              <w:t>Definitions</w:t>
            </w:r>
            <w:r>
              <w:rPr>
                <w:noProof/>
                <w:webHidden/>
              </w:rPr>
              <w:tab/>
            </w:r>
            <w:r>
              <w:rPr>
                <w:noProof/>
                <w:webHidden/>
              </w:rPr>
              <w:fldChar w:fldCharType="begin"/>
            </w:r>
            <w:r>
              <w:rPr>
                <w:noProof/>
                <w:webHidden/>
              </w:rPr>
              <w:instrText xml:space="preserve"> PAGEREF _Toc152845901 \h </w:instrText>
            </w:r>
            <w:r>
              <w:rPr>
                <w:noProof/>
                <w:webHidden/>
              </w:rPr>
            </w:r>
            <w:r>
              <w:rPr>
                <w:noProof/>
                <w:webHidden/>
              </w:rPr>
              <w:fldChar w:fldCharType="separate"/>
            </w:r>
            <w:r>
              <w:rPr>
                <w:noProof/>
                <w:webHidden/>
              </w:rPr>
              <w:t>20</w:t>
            </w:r>
            <w:r>
              <w:rPr>
                <w:noProof/>
                <w:webHidden/>
              </w:rPr>
              <w:fldChar w:fldCharType="end"/>
            </w:r>
          </w:hyperlink>
        </w:p>
        <w:p w14:paraId="487F4D77" w14:textId="3534E346"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2" w:history="1">
            <w:r w:rsidRPr="00A811D3">
              <w:rPr>
                <w:rStyle w:val="Hyperlink"/>
                <w:rFonts w:cs="Arial"/>
                <w:noProof/>
              </w:rPr>
              <w:t>Strategie</w:t>
            </w:r>
            <w:r>
              <w:rPr>
                <w:noProof/>
                <w:webHidden/>
              </w:rPr>
              <w:tab/>
            </w:r>
            <w:r>
              <w:rPr>
                <w:noProof/>
                <w:webHidden/>
              </w:rPr>
              <w:fldChar w:fldCharType="begin"/>
            </w:r>
            <w:r>
              <w:rPr>
                <w:noProof/>
                <w:webHidden/>
              </w:rPr>
              <w:instrText xml:space="preserve"> PAGEREF _Toc152845902 \h </w:instrText>
            </w:r>
            <w:r>
              <w:rPr>
                <w:noProof/>
                <w:webHidden/>
              </w:rPr>
            </w:r>
            <w:r>
              <w:rPr>
                <w:noProof/>
                <w:webHidden/>
              </w:rPr>
              <w:fldChar w:fldCharType="separate"/>
            </w:r>
            <w:r>
              <w:rPr>
                <w:noProof/>
                <w:webHidden/>
              </w:rPr>
              <w:t>20</w:t>
            </w:r>
            <w:r>
              <w:rPr>
                <w:noProof/>
                <w:webHidden/>
              </w:rPr>
              <w:fldChar w:fldCharType="end"/>
            </w:r>
          </w:hyperlink>
        </w:p>
        <w:p w14:paraId="56CBB5C8" w14:textId="4C1904A5"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3" w:history="1">
            <w:r w:rsidRPr="00A811D3">
              <w:rPr>
                <w:rStyle w:val="Hyperlink"/>
                <w:rFonts w:cs="Arial"/>
                <w:noProof/>
              </w:rPr>
              <w:t>Searched Databases</w:t>
            </w:r>
            <w:r>
              <w:rPr>
                <w:noProof/>
                <w:webHidden/>
              </w:rPr>
              <w:tab/>
            </w:r>
            <w:r>
              <w:rPr>
                <w:noProof/>
                <w:webHidden/>
              </w:rPr>
              <w:fldChar w:fldCharType="begin"/>
            </w:r>
            <w:r>
              <w:rPr>
                <w:noProof/>
                <w:webHidden/>
              </w:rPr>
              <w:instrText xml:space="preserve"> PAGEREF _Toc152845903 \h </w:instrText>
            </w:r>
            <w:r>
              <w:rPr>
                <w:noProof/>
                <w:webHidden/>
              </w:rPr>
            </w:r>
            <w:r>
              <w:rPr>
                <w:noProof/>
                <w:webHidden/>
              </w:rPr>
              <w:fldChar w:fldCharType="separate"/>
            </w:r>
            <w:r>
              <w:rPr>
                <w:noProof/>
                <w:webHidden/>
              </w:rPr>
              <w:t>20</w:t>
            </w:r>
            <w:r>
              <w:rPr>
                <w:noProof/>
                <w:webHidden/>
              </w:rPr>
              <w:fldChar w:fldCharType="end"/>
            </w:r>
          </w:hyperlink>
        </w:p>
        <w:p w14:paraId="6009948B" w14:textId="57E910E9"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4" w:history="1">
            <w:r w:rsidRPr="00A811D3">
              <w:rPr>
                <w:rStyle w:val="Hyperlink"/>
                <w:noProof/>
              </w:rPr>
              <w:t>PubMed</w:t>
            </w:r>
            <w:r>
              <w:rPr>
                <w:noProof/>
                <w:webHidden/>
              </w:rPr>
              <w:tab/>
            </w:r>
            <w:r>
              <w:rPr>
                <w:noProof/>
                <w:webHidden/>
              </w:rPr>
              <w:fldChar w:fldCharType="begin"/>
            </w:r>
            <w:r>
              <w:rPr>
                <w:noProof/>
                <w:webHidden/>
              </w:rPr>
              <w:instrText xml:space="preserve"> PAGEREF _Toc152845904 \h </w:instrText>
            </w:r>
            <w:r>
              <w:rPr>
                <w:noProof/>
                <w:webHidden/>
              </w:rPr>
            </w:r>
            <w:r>
              <w:rPr>
                <w:noProof/>
                <w:webHidden/>
              </w:rPr>
              <w:fldChar w:fldCharType="separate"/>
            </w:r>
            <w:r>
              <w:rPr>
                <w:noProof/>
                <w:webHidden/>
              </w:rPr>
              <w:t>20</w:t>
            </w:r>
            <w:r>
              <w:rPr>
                <w:noProof/>
                <w:webHidden/>
              </w:rPr>
              <w:fldChar w:fldCharType="end"/>
            </w:r>
          </w:hyperlink>
        </w:p>
        <w:p w14:paraId="6A947EFF" w14:textId="707438A2"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5" w:history="1">
            <w:r w:rsidRPr="00A811D3">
              <w:rPr>
                <w:rStyle w:val="Hyperlink"/>
                <w:noProof/>
                <w:lang w:val="en-US"/>
              </w:rPr>
              <w:t>Web of Science Core Collection</w:t>
            </w:r>
            <w:r>
              <w:rPr>
                <w:noProof/>
                <w:webHidden/>
              </w:rPr>
              <w:tab/>
            </w:r>
            <w:r>
              <w:rPr>
                <w:noProof/>
                <w:webHidden/>
              </w:rPr>
              <w:fldChar w:fldCharType="begin"/>
            </w:r>
            <w:r>
              <w:rPr>
                <w:noProof/>
                <w:webHidden/>
              </w:rPr>
              <w:instrText xml:space="preserve"> PAGEREF _Toc152845905 \h </w:instrText>
            </w:r>
            <w:r>
              <w:rPr>
                <w:noProof/>
                <w:webHidden/>
              </w:rPr>
            </w:r>
            <w:r>
              <w:rPr>
                <w:noProof/>
                <w:webHidden/>
              </w:rPr>
              <w:fldChar w:fldCharType="separate"/>
            </w:r>
            <w:r>
              <w:rPr>
                <w:noProof/>
                <w:webHidden/>
              </w:rPr>
              <w:t>22</w:t>
            </w:r>
            <w:r>
              <w:rPr>
                <w:noProof/>
                <w:webHidden/>
              </w:rPr>
              <w:fldChar w:fldCharType="end"/>
            </w:r>
          </w:hyperlink>
        </w:p>
        <w:p w14:paraId="5DD8E90E" w14:textId="235EE3A3" w:rsidR="009F29C7" w:rsidRDefault="009F29C7">
          <w:pPr>
            <w:pStyle w:val="TOC2"/>
            <w:tabs>
              <w:tab w:val="right" w:leader="dot" w:pos="9056"/>
            </w:tabs>
            <w:rPr>
              <w:rFonts w:eastAsiaTheme="minorEastAsia" w:cstheme="minorBidi"/>
              <w:b w:val="0"/>
              <w:bCs w:val="0"/>
              <w:smallCaps w:val="0"/>
              <w:noProof/>
              <w:kern w:val="2"/>
              <w:sz w:val="24"/>
              <w:szCs w:val="24"/>
              <w:lang w:val="en-AT" w:eastAsia="en-GB"/>
              <w14:ligatures w14:val="standardContextual"/>
            </w:rPr>
          </w:pPr>
          <w:hyperlink w:anchor="_Toc152845906" w:history="1">
            <w:r w:rsidRPr="00A811D3">
              <w:rPr>
                <w:rStyle w:val="Hyperlink"/>
                <w:noProof/>
                <w:lang w:val="en-US"/>
              </w:rPr>
              <w:t>Bio_MedRxiv</w:t>
            </w:r>
            <w:r>
              <w:rPr>
                <w:noProof/>
                <w:webHidden/>
              </w:rPr>
              <w:tab/>
            </w:r>
            <w:r>
              <w:rPr>
                <w:noProof/>
                <w:webHidden/>
              </w:rPr>
              <w:fldChar w:fldCharType="begin"/>
            </w:r>
            <w:r>
              <w:rPr>
                <w:noProof/>
                <w:webHidden/>
              </w:rPr>
              <w:instrText xml:space="preserve"> PAGEREF _Toc152845906 \h </w:instrText>
            </w:r>
            <w:r>
              <w:rPr>
                <w:noProof/>
                <w:webHidden/>
              </w:rPr>
            </w:r>
            <w:r>
              <w:rPr>
                <w:noProof/>
                <w:webHidden/>
              </w:rPr>
              <w:fldChar w:fldCharType="separate"/>
            </w:r>
            <w:r>
              <w:rPr>
                <w:noProof/>
                <w:webHidden/>
              </w:rPr>
              <w:t>23</w:t>
            </w:r>
            <w:r>
              <w:rPr>
                <w:noProof/>
                <w:webHidden/>
              </w:rPr>
              <w:fldChar w:fldCharType="end"/>
            </w:r>
          </w:hyperlink>
        </w:p>
        <w:p w14:paraId="6571B7EB" w14:textId="2DC7095A"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07" w:history="1">
            <w:r w:rsidRPr="00A811D3">
              <w:rPr>
                <w:rStyle w:val="Hyperlink"/>
                <w:noProof/>
                <w:lang w:val="en-US"/>
              </w:rPr>
              <w:t>Supplement Text 3 – QUADAS assessment interpretation guide</w:t>
            </w:r>
            <w:r>
              <w:rPr>
                <w:noProof/>
                <w:webHidden/>
              </w:rPr>
              <w:tab/>
            </w:r>
            <w:r>
              <w:rPr>
                <w:noProof/>
                <w:webHidden/>
              </w:rPr>
              <w:fldChar w:fldCharType="begin"/>
            </w:r>
            <w:r>
              <w:rPr>
                <w:noProof/>
                <w:webHidden/>
              </w:rPr>
              <w:instrText xml:space="preserve"> PAGEREF _Toc152845907 \h </w:instrText>
            </w:r>
            <w:r>
              <w:rPr>
                <w:noProof/>
                <w:webHidden/>
              </w:rPr>
            </w:r>
            <w:r>
              <w:rPr>
                <w:noProof/>
                <w:webHidden/>
              </w:rPr>
              <w:fldChar w:fldCharType="separate"/>
            </w:r>
            <w:r>
              <w:rPr>
                <w:noProof/>
                <w:webHidden/>
              </w:rPr>
              <w:t>24</w:t>
            </w:r>
            <w:r>
              <w:rPr>
                <w:noProof/>
                <w:webHidden/>
              </w:rPr>
              <w:fldChar w:fldCharType="end"/>
            </w:r>
          </w:hyperlink>
        </w:p>
        <w:p w14:paraId="56A9998C" w14:textId="0E1876E4"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08" w:history="1">
            <w:r w:rsidRPr="00A811D3">
              <w:rPr>
                <w:rStyle w:val="Hyperlink"/>
                <w:noProof/>
                <w:lang w:val="en-US"/>
              </w:rPr>
              <w:t>Supplement Figure 1 – QUADAS</w:t>
            </w:r>
            <w:r>
              <w:rPr>
                <w:noProof/>
                <w:webHidden/>
              </w:rPr>
              <w:tab/>
            </w:r>
            <w:r>
              <w:rPr>
                <w:noProof/>
                <w:webHidden/>
              </w:rPr>
              <w:fldChar w:fldCharType="begin"/>
            </w:r>
            <w:r>
              <w:rPr>
                <w:noProof/>
                <w:webHidden/>
              </w:rPr>
              <w:instrText xml:space="preserve"> PAGEREF _Toc152845908 \h </w:instrText>
            </w:r>
            <w:r>
              <w:rPr>
                <w:noProof/>
                <w:webHidden/>
              </w:rPr>
            </w:r>
            <w:r>
              <w:rPr>
                <w:noProof/>
                <w:webHidden/>
              </w:rPr>
              <w:fldChar w:fldCharType="separate"/>
            </w:r>
            <w:r>
              <w:rPr>
                <w:noProof/>
                <w:webHidden/>
              </w:rPr>
              <w:t>28</w:t>
            </w:r>
            <w:r>
              <w:rPr>
                <w:noProof/>
                <w:webHidden/>
              </w:rPr>
              <w:fldChar w:fldCharType="end"/>
            </w:r>
          </w:hyperlink>
        </w:p>
        <w:p w14:paraId="43746E45" w14:textId="3D02831D"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09" w:history="1">
            <w:r w:rsidRPr="00A811D3">
              <w:rPr>
                <w:rStyle w:val="Hyperlink"/>
                <w:noProof/>
                <w:lang w:val="en-US"/>
              </w:rPr>
              <w:t>Supplement Figure 2 – Funnel Plot</w:t>
            </w:r>
            <w:r>
              <w:rPr>
                <w:noProof/>
                <w:webHidden/>
              </w:rPr>
              <w:tab/>
            </w:r>
            <w:r>
              <w:rPr>
                <w:noProof/>
                <w:webHidden/>
              </w:rPr>
              <w:fldChar w:fldCharType="begin"/>
            </w:r>
            <w:r>
              <w:rPr>
                <w:noProof/>
                <w:webHidden/>
              </w:rPr>
              <w:instrText xml:space="preserve"> PAGEREF _Toc152845909 \h </w:instrText>
            </w:r>
            <w:r>
              <w:rPr>
                <w:noProof/>
                <w:webHidden/>
              </w:rPr>
            </w:r>
            <w:r>
              <w:rPr>
                <w:noProof/>
                <w:webHidden/>
              </w:rPr>
              <w:fldChar w:fldCharType="separate"/>
            </w:r>
            <w:r>
              <w:rPr>
                <w:noProof/>
                <w:webHidden/>
              </w:rPr>
              <w:t>28</w:t>
            </w:r>
            <w:r>
              <w:rPr>
                <w:noProof/>
                <w:webHidden/>
              </w:rPr>
              <w:fldChar w:fldCharType="end"/>
            </w:r>
          </w:hyperlink>
        </w:p>
        <w:p w14:paraId="64B721CF" w14:textId="4EB7D734"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0" w:history="1">
            <w:r w:rsidRPr="00A811D3">
              <w:rPr>
                <w:rStyle w:val="Hyperlink"/>
                <w:noProof/>
                <w:lang w:val="en-US"/>
              </w:rPr>
              <w:t>Supplement Figure 3 – Pooled Cohen’s kappa</w:t>
            </w:r>
            <w:r>
              <w:rPr>
                <w:noProof/>
                <w:webHidden/>
              </w:rPr>
              <w:tab/>
            </w:r>
            <w:r>
              <w:rPr>
                <w:noProof/>
                <w:webHidden/>
              </w:rPr>
              <w:fldChar w:fldCharType="begin"/>
            </w:r>
            <w:r>
              <w:rPr>
                <w:noProof/>
                <w:webHidden/>
              </w:rPr>
              <w:instrText xml:space="preserve"> PAGEREF _Toc152845910 \h </w:instrText>
            </w:r>
            <w:r>
              <w:rPr>
                <w:noProof/>
                <w:webHidden/>
              </w:rPr>
            </w:r>
            <w:r>
              <w:rPr>
                <w:noProof/>
                <w:webHidden/>
              </w:rPr>
              <w:fldChar w:fldCharType="separate"/>
            </w:r>
            <w:r>
              <w:rPr>
                <w:noProof/>
                <w:webHidden/>
              </w:rPr>
              <w:t>29</w:t>
            </w:r>
            <w:r>
              <w:rPr>
                <w:noProof/>
                <w:webHidden/>
              </w:rPr>
              <w:fldChar w:fldCharType="end"/>
            </w:r>
          </w:hyperlink>
        </w:p>
        <w:p w14:paraId="6098ECBF" w14:textId="0C89625A"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1" w:history="1">
            <w:r w:rsidRPr="00A811D3">
              <w:rPr>
                <w:rStyle w:val="Hyperlink"/>
                <w:noProof/>
                <w:lang w:val="en-US"/>
              </w:rPr>
              <w:t>Supplement Figure 4 – Accuracy for self-testing studies according to IFU-conformity</w:t>
            </w:r>
            <w:r>
              <w:rPr>
                <w:noProof/>
                <w:webHidden/>
              </w:rPr>
              <w:tab/>
            </w:r>
            <w:r>
              <w:rPr>
                <w:noProof/>
                <w:webHidden/>
              </w:rPr>
              <w:fldChar w:fldCharType="begin"/>
            </w:r>
            <w:r>
              <w:rPr>
                <w:noProof/>
                <w:webHidden/>
              </w:rPr>
              <w:instrText xml:space="preserve"> PAGEREF _Toc152845911 \h </w:instrText>
            </w:r>
            <w:r>
              <w:rPr>
                <w:noProof/>
                <w:webHidden/>
              </w:rPr>
            </w:r>
            <w:r>
              <w:rPr>
                <w:noProof/>
                <w:webHidden/>
              </w:rPr>
              <w:fldChar w:fldCharType="separate"/>
            </w:r>
            <w:r>
              <w:rPr>
                <w:noProof/>
                <w:webHidden/>
              </w:rPr>
              <w:t>31</w:t>
            </w:r>
            <w:r>
              <w:rPr>
                <w:noProof/>
                <w:webHidden/>
              </w:rPr>
              <w:fldChar w:fldCharType="end"/>
            </w:r>
          </w:hyperlink>
        </w:p>
        <w:p w14:paraId="65BF4077" w14:textId="4DD7306D"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2" w:history="1">
            <w:r w:rsidRPr="00A811D3">
              <w:rPr>
                <w:rStyle w:val="Hyperlink"/>
                <w:noProof/>
                <w:lang w:val="en-US"/>
              </w:rPr>
              <w:t>Supplement Figure 5 – Accuracy for self-sampled studies according to IFU-conformity</w:t>
            </w:r>
            <w:r>
              <w:rPr>
                <w:noProof/>
                <w:webHidden/>
              </w:rPr>
              <w:tab/>
            </w:r>
            <w:r>
              <w:rPr>
                <w:noProof/>
                <w:webHidden/>
              </w:rPr>
              <w:fldChar w:fldCharType="begin"/>
            </w:r>
            <w:r>
              <w:rPr>
                <w:noProof/>
                <w:webHidden/>
              </w:rPr>
              <w:instrText xml:space="preserve"> PAGEREF _Toc152845912 \h </w:instrText>
            </w:r>
            <w:r>
              <w:rPr>
                <w:noProof/>
                <w:webHidden/>
              </w:rPr>
            </w:r>
            <w:r>
              <w:rPr>
                <w:noProof/>
                <w:webHidden/>
              </w:rPr>
              <w:fldChar w:fldCharType="separate"/>
            </w:r>
            <w:r>
              <w:rPr>
                <w:noProof/>
                <w:webHidden/>
              </w:rPr>
              <w:t>31</w:t>
            </w:r>
            <w:r>
              <w:rPr>
                <w:noProof/>
                <w:webHidden/>
              </w:rPr>
              <w:fldChar w:fldCharType="end"/>
            </w:r>
          </w:hyperlink>
        </w:p>
        <w:p w14:paraId="7518F057" w14:textId="299F9DC7"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3" w:history="1">
            <w:r w:rsidRPr="00A811D3">
              <w:rPr>
                <w:rStyle w:val="Hyperlink"/>
                <w:noProof/>
                <w:lang w:val="en-US"/>
              </w:rPr>
              <w:t>Supplement Figure 6 – Accuracy for high income countries</w:t>
            </w:r>
            <w:r>
              <w:rPr>
                <w:noProof/>
                <w:webHidden/>
              </w:rPr>
              <w:tab/>
            </w:r>
            <w:r>
              <w:rPr>
                <w:noProof/>
                <w:webHidden/>
              </w:rPr>
              <w:fldChar w:fldCharType="begin"/>
            </w:r>
            <w:r>
              <w:rPr>
                <w:noProof/>
                <w:webHidden/>
              </w:rPr>
              <w:instrText xml:space="preserve"> PAGEREF _Toc152845913 \h </w:instrText>
            </w:r>
            <w:r>
              <w:rPr>
                <w:noProof/>
                <w:webHidden/>
              </w:rPr>
            </w:r>
            <w:r>
              <w:rPr>
                <w:noProof/>
                <w:webHidden/>
              </w:rPr>
              <w:fldChar w:fldCharType="separate"/>
            </w:r>
            <w:r>
              <w:rPr>
                <w:noProof/>
                <w:webHidden/>
              </w:rPr>
              <w:t>31</w:t>
            </w:r>
            <w:r>
              <w:rPr>
                <w:noProof/>
                <w:webHidden/>
              </w:rPr>
              <w:fldChar w:fldCharType="end"/>
            </w:r>
          </w:hyperlink>
        </w:p>
        <w:p w14:paraId="58C93503" w14:textId="52656347"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4" w:history="1">
            <w:r w:rsidRPr="00A811D3">
              <w:rPr>
                <w:rStyle w:val="Hyperlink"/>
                <w:noProof/>
                <w:lang w:val="en-US"/>
              </w:rPr>
              <w:t>Supplement Figure 7 – Accuracy for middle income countries</w:t>
            </w:r>
            <w:r>
              <w:rPr>
                <w:noProof/>
                <w:webHidden/>
              </w:rPr>
              <w:tab/>
            </w:r>
            <w:r>
              <w:rPr>
                <w:noProof/>
                <w:webHidden/>
              </w:rPr>
              <w:fldChar w:fldCharType="begin"/>
            </w:r>
            <w:r>
              <w:rPr>
                <w:noProof/>
                <w:webHidden/>
              </w:rPr>
              <w:instrText xml:space="preserve"> PAGEREF _Toc152845914 \h </w:instrText>
            </w:r>
            <w:r>
              <w:rPr>
                <w:noProof/>
                <w:webHidden/>
              </w:rPr>
            </w:r>
            <w:r>
              <w:rPr>
                <w:noProof/>
                <w:webHidden/>
              </w:rPr>
              <w:fldChar w:fldCharType="separate"/>
            </w:r>
            <w:r>
              <w:rPr>
                <w:noProof/>
                <w:webHidden/>
              </w:rPr>
              <w:t>32</w:t>
            </w:r>
            <w:r>
              <w:rPr>
                <w:noProof/>
                <w:webHidden/>
              </w:rPr>
              <w:fldChar w:fldCharType="end"/>
            </w:r>
          </w:hyperlink>
        </w:p>
        <w:p w14:paraId="3A039439" w14:textId="5087F684"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5" w:history="1">
            <w:r w:rsidRPr="00A811D3">
              <w:rPr>
                <w:rStyle w:val="Hyperlink"/>
                <w:noProof/>
                <w:lang w:val="en-US"/>
              </w:rPr>
              <w:t>Supplement Figure 8 – Sensitivity analysis excluding case-control studies</w:t>
            </w:r>
            <w:r>
              <w:rPr>
                <w:noProof/>
                <w:webHidden/>
              </w:rPr>
              <w:tab/>
            </w:r>
            <w:r>
              <w:rPr>
                <w:noProof/>
                <w:webHidden/>
              </w:rPr>
              <w:fldChar w:fldCharType="begin"/>
            </w:r>
            <w:r>
              <w:rPr>
                <w:noProof/>
                <w:webHidden/>
              </w:rPr>
              <w:instrText xml:space="preserve"> PAGEREF _Toc152845915 \h </w:instrText>
            </w:r>
            <w:r>
              <w:rPr>
                <w:noProof/>
                <w:webHidden/>
              </w:rPr>
            </w:r>
            <w:r>
              <w:rPr>
                <w:noProof/>
                <w:webHidden/>
              </w:rPr>
              <w:fldChar w:fldCharType="separate"/>
            </w:r>
            <w:r>
              <w:rPr>
                <w:noProof/>
                <w:webHidden/>
              </w:rPr>
              <w:t>32</w:t>
            </w:r>
            <w:r>
              <w:rPr>
                <w:noProof/>
                <w:webHidden/>
              </w:rPr>
              <w:fldChar w:fldCharType="end"/>
            </w:r>
          </w:hyperlink>
        </w:p>
        <w:p w14:paraId="365A2A45" w14:textId="587AC367"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6" w:history="1">
            <w:r w:rsidRPr="00A811D3">
              <w:rPr>
                <w:rStyle w:val="Hyperlink"/>
                <w:noProof/>
                <w:lang w:val="en-US"/>
              </w:rPr>
              <w:t>Supplement Figure 9 – Sensitivity analysis excluding manufacturer-dependent studies</w:t>
            </w:r>
            <w:r>
              <w:rPr>
                <w:noProof/>
                <w:webHidden/>
              </w:rPr>
              <w:tab/>
            </w:r>
            <w:r>
              <w:rPr>
                <w:noProof/>
                <w:webHidden/>
              </w:rPr>
              <w:fldChar w:fldCharType="begin"/>
            </w:r>
            <w:r>
              <w:rPr>
                <w:noProof/>
                <w:webHidden/>
              </w:rPr>
              <w:instrText xml:space="preserve"> PAGEREF _Toc152845916 \h </w:instrText>
            </w:r>
            <w:r>
              <w:rPr>
                <w:noProof/>
                <w:webHidden/>
              </w:rPr>
            </w:r>
            <w:r>
              <w:rPr>
                <w:noProof/>
                <w:webHidden/>
              </w:rPr>
              <w:fldChar w:fldCharType="separate"/>
            </w:r>
            <w:r>
              <w:rPr>
                <w:noProof/>
                <w:webHidden/>
              </w:rPr>
              <w:t>32</w:t>
            </w:r>
            <w:r>
              <w:rPr>
                <w:noProof/>
                <w:webHidden/>
              </w:rPr>
              <w:fldChar w:fldCharType="end"/>
            </w:r>
          </w:hyperlink>
        </w:p>
        <w:p w14:paraId="3C14718F" w14:textId="5C6BD74A" w:rsidR="009F29C7" w:rsidRDefault="009F29C7">
          <w:pPr>
            <w:pStyle w:val="TOC1"/>
            <w:tabs>
              <w:tab w:val="right" w:leader="dot" w:pos="9056"/>
            </w:tabs>
            <w:rPr>
              <w:rFonts w:eastAsiaTheme="minorEastAsia" w:cstheme="minorBidi"/>
              <w:b w:val="0"/>
              <w:bCs w:val="0"/>
              <w:caps w:val="0"/>
              <w:noProof/>
              <w:kern w:val="2"/>
              <w:sz w:val="24"/>
              <w:szCs w:val="24"/>
              <w:u w:val="none"/>
              <w:lang w:val="en-AT" w:eastAsia="en-GB"/>
              <w14:ligatures w14:val="standardContextual"/>
            </w:rPr>
          </w:pPr>
          <w:hyperlink w:anchor="_Toc152845917" w:history="1">
            <w:r w:rsidRPr="00A811D3">
              <w:rPr>
                <w:rStyle w:val="Hyperlink"/>
                <w:noProof/>
                <w:lang w:val="en-US"/>
              </w:rPr>
              <w:t>Supplement Figure 10 – Sensitivity analysis excluding preprints</w:t>
            </w:r>
            <w:r>
              <w:rPr>
                <w:noProof/>
                <w:webHidden/>
              </w:rPr>
              <w:tab/>
            </w:r>
            <w:r>
              <w:rPr>
                <w:noProof/>
                <w:webHidden/>
              </w:rPr>
              <w:fldChar w:fldCharType="begin"/>
            </w:r>
            <w:r>
              <w:rPr>
                <w:noProof/>
                <w:webHidden/>
              </w:rPr>
              <w:instrText xml:space="preserve"> PAGEREF _Toc152845917 \h </w:instrText>
            </w:r>
            <w:r>
              <w:rPr>
                <w:noProof/>
                <w:webHidden/>
              </w:rPr>
            </w:r>
            <w:r>
              <w:rPr>
                <w:noProof/>
                <w:webHidden/>
              </w:rPr>
              <w:fldChar w:fldCharType="separate"/>
            </w:r>
            <w:r>
              <w:rPr>
                <w:noProof/>
                <w:webHidden/>
              </w:rPr>
              <w:t>33</w:t>
            </w:r>
            <w:r>
              <w:rPr>
                <w:noProof/>
                <w:webHidden/>
              </w:rPr>
              <w:fldChar w:fldCharType="end"/>
            </w:r>
          </w:hyperlink>
        </w:p>
        <w:p w14:paraId="20DDD080" w14:textId="77554247" w:rsidR="003F734A" w:rsidRPr="003F734A" w:rsidRDefault="003F734A" w:rsidP="003F734A">
          <w:r>
            <w:rPr>
              <w:b/>
              <w:bCs/>
              <w:noProof/>
            </w:rPr>
            <w:fldChar w:fldCharType="end"/>
          </w:r>
        </w:p>
      </w:sdtContent>
    </w:sdt>
    <w:p w14:paraId="6824FFCF" w14:textId="77777777" w:rsidR="00DE4D9A" w:rsidRDefault="00DE4D9A">
      <w:pPr>
        <w:rPr>
          <w:lang w:val="en-US"/>
        </w:rPr>
      </w:pPr>
      <w:r>
        <w:rPr>
          <w:lang w:val="en-US"/>
        </w:rPr>
        <w:br w:type="page"/>
      </w:r>
    </w:p>
    <w:p w14:paraId="79BC910E" w14:textId="77777777" w:rsidR="00DE4D9A" w:rsidRDefault="00DE4D9A" w:rsidP="00DE4D9A">
      <w:pPr>
        <w:pStyle w:val="Heading1"/>
        <w:rPr>
          <w:lang w:val="en-US"/>
        </w:rPr>
        <w:sectPr w:rsidR="00DE4D9A" w:rsidSect="00F151D4">
          <w:footerReference w:type="even" r:id="rId9"/>
          <w:footerReference w:type="default" r:id="rId10"/>
          <w:pgSz w:w="11900" w:h="16840"/>
          <w:pgMar w:top="1417" w:right="1417" w:bottom="1134" w:left="1417" w:header="708" w:footer="708" w:gutter="0"/>
          <w:cols w:space="708"/>
          <w:docGrid w:linePitch="360"/>
        </w:sectPr>
      </w:pPr>
    </w:p>
    <w:p w14:paraId="0796966D" w14:textId="1697E90F" w:rsidR="00DE4D9A" w:rsidRDefault="00DE4D9A" w:rsidP="00DE4D9A">
      <w:pPr>
        <w:pStyle w:val="Heading1"/>
        <w:rPr>
          <w:lang w:val="en-US"/>
        </w:rPr>
      </w:pPr>
      <w:bookmarkStart w:id="0" w:name="_Toc152845897"/>
      <w:r>
        <w:rPr>
          <w:lang w:val="en-US"/>
        </w:rPr>
        <w:lastRenderedPageBreak/>
        <w:t>Supplement PRISMA Checklist</w:t>
      </w:r>
      <w:bookmarkEnd w:id="0"/>
    </w:p>
    <w:p w14:paraId="65C92EC1" w14:textId="77777777" w:rsidR="00DE4D9A" w:rsidRDefault="00DE4D9A" w:rsidP="00DE4D9A">
      <w:pPr>
        <w:rPr>
          <w:lang w:val="en-US"/>
        </w:rPr>
      </w:pPr>
    </w:p>
    <w:tbl>
      <w:tblPr>
        <w:tblW w:w="15200" w:type="dxa"/>
        <w:tblBorders>
          <w:top w:val="nil"/>
          <w:left w:val="nil"/>
          <w:bottom w:val="nil"/>
          <w:right w:val="nil"/>
        </w:tblBorders>
        <w:tblLook w:val="0000" w:firstRow="0" w:lastRow="0" w:firstColumn="0" w:lastColumn="0" w:noHBand="0" w:noVBand="0"/>
      </w:tblPr>
      <w:tblGrid>
        <w:gridCol w:w="1574"/>
        <w:gridCol w:w="587"/>
        <w:gridCol w:w="8620"/>
        <w:gridCol w:w="4419"/>
      </w:tblGrid>
      <w:tr w:rsidR="00DE4D9A" w:rsidRPr="00017080" w14:paraId="0D76A5C6" w14:textId="77777777" w:rsidTr="00B51D6D">
        <w:trPr>
          <w:trHeight w:val="65"/>
          <w:tblHeader/>
        </w:trPr>
        <w:tc>
          <w:tcPr>
            <w:tcW w:w="157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4B6CBA" w14:textId="77777777" w:rsidR="00DE4D9A" w:rsidRPr="00930A31" w:rsidRDefault="00DE4D9A" w:rsidP="00B51D6D">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F971435" w14:textId="77777777" w:rsidR="00DE4D9A" w:rsidRPr="00930A31" w:rsidRDefault="00DE4D9A" w:rsidP="00B51D6D">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86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1EEF9D0" w14:textId="77777777" w:rsidR="00DE4D9A" w:rsidRPr="00930A31" w:rsidRDefault="00DE4D9A" w:rsidP="00B51D6D">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41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F2821E" w14:textId="77777777" w:rsidR="00DE4D9A" w:rsidRPr="00930A31" w:rsidRDefault="00DE4D9A" w:rsidP="00B51D6D">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E4D9A" w:rsidRPr="004C1685" w14:paraId="4FA054CB"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C24D7C" w14:textId="77777777" w:rsidR="00DE4D9A" w:rsidRPr="00930A31" w:rsidRDefault="00DE4D9A" w:rsidP="00B51D6D">
            <w:pPr>
              <w:pStyle w:val="Default"/>
              <w:rPr>
                <w:rFonts w:ascii="Arial" w:hAnsi="Arial" w:cs="Arial"/>
                <w:sz w:val="18"/>
                <w:szCs w:val="18"/>
              </w:rPr>
            </w:pPr>
            <w:r w:rsidRPr="00930A31">
              <w:rPr>
                <w:rFonts w:ascii="Arial" w:hAnsi="Arial" w:cs="Arial"/>
                <w:b/>
                <w:bCs/>
                <w:sz w:val="18"/>
                <w:szCs w:val="18"/>
              </w:rPr>
              <w:t xml:space="preserve">TITLE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08235C80" w14:textId="77777777" w:rsidR="00DE4D9A" w:rsidRPr="00930A31" w:rsidRDefault="00DE4D9A" w:rsidP="00B51D6D">
            <w:pPr>
              <w:pStyle w:val="Default"/>
              <w:jc w:val="right"/>
              <w:rPr>
                <w:rFonts w:ascii="Arial" w:hAnsi="Arial" w:cs="Arial"/>
                <w:color w:val="auto"/>
                <w:sz w:val="18"/>
                <w:szCs w:val="18"/>
              </w:rPr>
            </w:pPr>
          </w:p>
        </w:tc>
      </w:tr>
      <w:tr w:rsidR="00DE4D9A" w:rsidRPr="004C1685" w14:paraId="045065D0" w14:textId="77777777" w:rsidTr="00B51D6D">
        <w:trPr>
          <w:trHeight w:val="48"/>
        </w:trPr>
        <w:tc>
          <w:tcPr>
            <w:tcW w:w="1574" w:type="dxa"/>
            <w:tcBorders>
              <w:top w:val="single" w:sz="5" w:space="0" w:color="000000"/>
              <w:left w:val="single" w:sz="5" w:space="0" w:color="000000"/>
              <w:bottom w:val="double" w:sz="2" w:space="0" w:color="FFFFCC"/>
              <w:right w:val="single" w:sz="5" w:space="0" w:color="000000"/>
            </w:tcBorders>
          </w:tcPr>
          <w:p w14:paraId="54E1D5B9"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6D0FC36"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w:t>
            </w:r>
          </w:p>
        </w:tc>
        <w:tc>
          <w:tcPr>
            <w:tcW w:w="8620" w:type="dxa"/>
            <w:tcBorders>
              <w:top w:val="single" w:sz="5" w:space="0" w:color="000000"/>
              <w:left w:val="single" w:sz="5" w:space="0" w:color="000000"/>
              <w:bottom w:val="double" w:sz="5" w:space="0" w:color="000000"/>
              <w:right w:val="single" w:sz="5" w:space="0" w:color="000000"/>
            </w:tcBorders>
          </w:tcPr>
          <w:p w14:paraId="4A6893EF"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419" w:type="dxa"/>
            <w:tcBorders>
              <w:top w:val="single" w:sz="5" w:space="0" w:color="000000"/>
              <w:left w:val="single" w:sz="5" w:space="0" w:color="000000"/>
              <w:bottom w:val="double" w:sz="5" w:space="0" w:color="000000"/>
              <w:right w:val="single" w:sz="5" w:space="0" w:color="000000"/>
            </w:tcBorders>
          </w:tcPr>
          <w:p w14:paraId="29001C7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Title of paper</w:t>
            </w:r>
          </w:p>
        </w:tc>
      </w:tr>
      <w:tr w:rsidR="00DE4D9A" w:rsidRPr="004C1685" w14:paraId="5537459F"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5E7D9C" w14:textId="77777777" w:rsidR="00DE4D9A" w:rsidRPr="00930A31" w:rsidRDefault="00DE4D9A" w:rsidP="00B51D6D">
            <w:pPr>
              <w:pStyle w:val="Default"/>
              <w:rPr>
                <w:rFonts w:ascii="Arial" w:hAnsi="Arial" w:cs="Arial"/>
                <w:sz w:val="18"/>
                <w:szCs w:val="18"/>
              </w:rPr>
            </w:pPr>
            <w:r w:rsidRPr="00930A31">
              <w:rPr>
                <w:rFonts w:ascii="Arial" w:hAnsi="Arial" w:cs="Arial"/>
                <w:b/>
                <w:bCs/>
                <w:sz w:val="18"/>
                <w:szCs w:val="18"/>
              </w:rPr>
              <w:t xml:space="preserve">ABSTRACT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305811F" w14:textId="77777777" w:rsidR="00DE4D9A" w:rsidRPr="00930A31" w:rsidRDefault="00DE4D9A" w:rsidP="00B51D6D">
            <w:pPr>
              <w:pStyle w:val="Default"/>
              <w:jc w:val="right"/>
              <w:rPr>
                <w:rFonts w:ascii="Arial" w:hAnsi="Arial" w:cs="Arial"/>
                <w:color w:val="auto"/>
                <w:sz w:val="18"/>
                <w:szCs w:val="18"/>
              </w:rPr>
            </w:pPr>
          </w:p>
        </w:tc>
      </w:tr>
      <w:tr w:rsidR="00DE4D9A" w:rsidRPr="004C1685" w14:paraId="4514E925" w14:textId="77777777" w:rsidTr="00B51D6D">
        <w:trPr>
          <w:trHeight w:val="48"/>
        </w:trPr>
        <w:tc>
          <w:tcPr>
            <w:tcW w:w="1574" w:type="dxa"/>
            <w:tcBorders>
              <w:top w:val="single" w:sz="5" w:space="0" w:color="000000"/>
              <w:left w:val="single" w:sz="5" w:space="0" w:color="000000"/>
              <w:bottom w:val="double" w:sz="2" w:space="0" w:color="FFFFCC"/>
              <w:right w:val="single" w:sz="5" w:space="0" w:color="000000"/>
            </w:tcBorders>
          </w:tcPr>
          <w:p w14:paraId="4476C9E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C2CF817"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w:t>
            </w:r>
          </w:p>
        </w:tc>
        <w:tc>
          <w:tcPr>
            <w:tcW w:w="8620" w:type="dxa"/>
            <w:tcBorders>
              <w:top w:val="single" w:sz="5" w:space="0" w:color="000000"/>
              <w:left w:val="single" w:sz="5" w:space="0" w:color="000000"/>
              <w:bottom w:val="double" w:sz="5" w:space="0" w:color="000000"/>
              <w:right w:val="single" w:sz="5" w:space="0" w:color="000000"/>
            </w:tcBorders>
          </w:tcPr>
          <w:p w14:paraId="04365B48"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4419" w:type="dxa"/>
            <w:tcBorders>
              <w:top w:val="single" w:sz="5" w:space="0" w:color="000000"/>
              <w:left w:val="single" w:sz="5" w:space="0" w:color="000000"/>
              <w:bottom w:val="double" w:sz="5" w:space="0" w:color="000000"/>
              <w:right w:val="single" w:sz="5" w:space="0" w:color="000000"/>
            </w:tcBorders>
          </w:tcPr>
          <w:p w14:paraId="3458933A"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Abstract Checklist</w:t>
            </w:r>
          </w:p>
        </w:tc>
      </w:tr>
      <w:tr w:rsidR="00DE4D9A" w:rsidRPr="004C1685" w14:paraId="59BE556D"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40F872" w14:textId="77777777" w:rsidR="00DE4D9A" w:rsidRPr="00930A31" w:rsidRDefault="00DE4D9A" w:rsidP="00B51D6D">
            <w:pPr>
              <w:pStyle w:val="Default"/>
              <w:rPr>
                <w:rFonts w:ascii="Arial" w:hAnsi="Arial" w:cs="Arial"/>
                <w:sz w:val="18"/>
                <w:szCs w:val="18"/>
              </w:rPr>
            </w:pPr>
            <w:r w:rsidRPr="00930A31">
              <w:rPr>
                <w:rFonts w:ascii="Arial" w:hAnsi="Arial" w:cs="Arial"/>
                <w:b/>
                <w:bCs/>
                <w:sz w:val="18"/>
                <w:szCs w:val="18"/>
              </w:rPr>
              <w:t xml:space="preserve">INTRODUCTION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2D881C9C" w14:textId="77777777" w:rsidR="00DE4D9A" w:rsidRPr="00930A31" w:rsidRDefault="00DE4D9A" w:rsidP="00B51D6D">
            <w:pPr>
              <w:pStyle w:val="Default"/>
              <w:jc w:val="right"/>
              <w:rPr>
                <w:rFonts w:ascii="Arial" w:hAnsi="Arial" w:cs="Arial"/>
                <w:color w:val="auto"/>
                <w:sz w:val="18"/>
                <w:szCs w:val="18"/>
              </w:rPr>
            </w:pPr>
          </w:p>
        </w:tc>
      </w:tr>
      <w:tr w:rsidR="00DE4D9A" w:rsidRPr="004C1685" w14:paraId="2925E382"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75E01EBF"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20871A9"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3</w:t>
            </w:r>
          </w:p>
        </w:tc>
        <w:tc>
          <w:tcPr>
            <w:tcW w:w="8620" w:type="dxa"/>
            <w:tcBorders>
              <w:top w:val="single" w:sz="5" w:space="0" w:color="000000"/>
              <w:left w:val="single" w:sz="5" w:space="0" w:color="000000"/>
              <w:bottom w:val="single" w:sz="5" w:space="0" w:color="000000"/>
              <w:right w:val="single" w:sz="5" w:space="0" w:color="000000"/>
            </w:tcBorders>
          </w:tcPr>
          <w:p w14:paraId="08FD2602"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419" w:type="dxa"/>
            <w:tcBorders>
              <w:top w:val="single" w:sz="5" w:space="0" w:color="000000"/>
              <w:left w:val="single" w:sz="5" w:space="0" w:color="000000"/>
              <w:bottom w:val="single" w:sz="5" w:space="0" w:color="000000"/>
              <w:right w:val="single" w:sz="5" w:space="0" w:color="000000"/>
            </w:tcBorders>
          </w:tcPr>
          <w:p w14:paraId="72A7C462"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Introduction, Paragraph 2</w:t>
            </w:r>
          </w:p>
        </w:tc>
      </w:tr>
      <w:tr w:rsidR="00DE4D9A" w:rsidRPr="004C1685" w14:paraId="51C6EE75" w14:textId="77777777" w:rsidTr="00B51D6D">
        <w:trPr>
          <w:trHeight w:val="48"/>
        </w:trPr>
        <w:tc>
          <w:tcPr>
            <w:tcW w:w="1574" w:type="dxa"/>
            <w:tcBorders>
              <w:top w:val="single" w:sz="5" w:space="0" w:color="000000"/>
              <w:left w:val="single" w:sz="5" w:space="0" w:color="000000"/>
              <w:bottom w:val="double" w:sz="2" w:space="0" w:color="FFFFCC"/>
              <w:right w:val="single" w:sz="5" w:space="0" w:color="000000"/>
            </w:tcBorders>
          </w:tcPr>
          <w:p w14:paraId="2D95A81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15EB7EC"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4</w:t>
            </w:r>
          </w:p>
        </w:tc>
        <w:tc>
          <w:tcPr>
            <w:tcW w:w="8620" w:type="dxa"/>
            <w:tcBorders>
              <w:top w:val="single" w:sz="5" w:space="0" w:color="000000"/>
              <w:left w:val="single" w:sz="5" w:space="0" w:color="000000"/>
              <w:bottom w:val="double" w:sz="5" w:space="0" w:color="000000"/>
              <w:right w:val="single" w:sz="5" w:space="0" w:color="000000"/>
            </w:tcBorders>
          </w:tcPr>
          <w:p w14:paraId="09C2C7B5"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419" w:type="dxa"/>
            <w:tcBorders>
              <w:top w:val="single" w:sz="5" w:space="0" w:color="000000"/>
              <w:left w:val="single" w:sz="5" w:space="0" w:color="000000"/>
              <w:bottom w:val="double" w:sz="5" w:space="0" w:color="000000"/>
              <w:right w:val="single" w:sz="5" w:space="0" w:color="000000"/>
            </w:tcBorders>
          </w:tcPr>
          <w:p w14:paraId="10741E9C"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Introduction, Paragraph 2</w:t>
            </w:r>
          </w:p>
        </w:tc>
      </w:tr>
      <w:tr w:rsidR="00DE4D9A" w:rsidRPr="004C1685" w14:paraId="554EEEB6"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B6E9A6" w14:textId="77777777" w:rsidR="00DE4D9A" w:rsidRPr="00930A31" w:rsidRDefault="00DE4D9A" w:rsidP="00B51D6D">
            <w:pPr>
              <w:pStyle w:val="Default"/>
              <w:rPr>
                <w:rFonts w:ascii="Arial" w:hAnsi="Arial" w:cs="Arial"/>
                <w:sz w:val="18"/>
                <w:szCs w:val="18"/>
              </w:rPr>
            </w:pPr>
            <w:r w:rsidRPr="00930A31">
              <w:rPr>
                <w:rFonts w:ascii="Arial" w:hAnsi="Arial" w:cs="Arial"/>
                <w:b/>
                <w:bCs/>
                <w:sz w:val="18"/>
                <w:szCs w:val="18"/>
              </w:rPr>
              <w:t xml:space="preserve">METHODS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F2E7BC5" w14:textId="77777777" w:rsidR="00DE4D9A" w:rsidRPr="00930A31" w:rsidRDefault="00DE4D9A" w:rsidP="00B51D6D">
            <w:pPr>
              <w:pStyle w:val="Default"/>
              <w:jc w:val="right"/>
              <w:rPr>
                <w:rFonts w:ascii="Arial" w:hAnsi="Arial" w:cs="Arial"/>
                <w:color w:val="auto"/>
                <w:sz w:val="18"/>
                <w:szCs w:val="18"/>
              </w:rPr>
            </w:pPr>
          </w:p>
        </w:tc>
      </w:tr>
      <w:tr w:rsidR="00DE4D9A" w:rsidRPr="004C1685" w14:paraId="77D81DDC"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50289428"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FC8ACC8"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5</w:t>
            </w:r>
          </w:p>
        </w:tc>
        <w:tc>
          <w:tcPr>
            <w:tcW w:w="8620" w:type="dxa"/>
            <w:tcBorders>
              <w:top w:val="single" w:sz="5" w:space="0" w:color="000000"/>
              <w:left w:val="single" w:sz="5" w:space="0" w:color="000000"/>
              <w:bottom w:val="single" w:sz="5" w:space="0" w:color="000000"/>
              <w:right w:val="single" w:sz="5" w:space="0" w:color="000000"/>
            </w:tcBorders>
          </w:tcPr>
          <w:p w14:paraId="10993DDD"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419" w:type="dxa"/>
            <w:tcBorders>
              <w:top w:val="single" w:sz="5" w:space="0" w:color="000000"/>
              <w:left w:val="single" w:sz="5" w:space="0" w:color="000000"/>
              <w:bottom w:val="single" w:sz="5" w:space="0" w:color="000000"/>
              <w:right w:val="single" w:sz="5" w:space="0" w:color="000000"/>
            </w:tcBorders>
          </w:tcPr>
          <w:p w14:paraId="61E70C8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“Eligibility criteria”</w:t>
            </w:r>
          </w:p>
        </w:tc>
      </w:tr>
      <w:tr w:rsidR="00DE4D9A" w:rsidRPr="004C1685" w14:paraId="0B3D7A4E" w14:textId="77777777" w:rsidTr="00B51D6D">
        <w:trPr>
          <w:trHeight w:val="191"/>
        </w:trPr>
        <w:tc>
          <w:tcPr>
            <w:tcW w:w="1574" w:type="dxa"/>
            <w:tcBorders>
              <w:top w:val="single" w:sz="5" w:space="0" w:color="000000"/>
              <w:left w:val="single" w:sz="5" w:space="0" w:color="000000"/>
              <w:bottom w:val="single" w:sz="5" w:space="0" w:color="000000"/>
              <w:right w:val="single" w:sz="5" w:space="0" w:color="000000"/>
            </w:tcBorders>
          </w:tcPr>
          <w:p w14:paraId="38FE6F11"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3F7B99E"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6</w:t>
            </w:r>
          </w:p>
        </w:tc>
        <w:tc>
          <w:tcPr>
            <w:tcW w:w="8620" w:type="dxa"/>
            <w:tcBorders>
              <w:top w:val="single" w:sz="5" w:space="0" w:color="000000"/>
              <w:left w:val="single" w:sz="5" w:space="0" w:color="000000"/>
              <w:bottom w:val="single" w:sz="5" w:space="0" w:color="000000"/>
              <w:right w:val="single" w:sz="5" w:space="0" w:color="000000"/>
            </w:tcBorders>
          </w:tcPr>
          <w:p w14:paraId="21989F18"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419" w:type="dxa"/>
            <w:tcBorders>
              <w:top w:val="single" w:sz="5" w:space="0" w:color="000000"/>
              <w:left w:val="single" w:sz="5" w:space="0" w:color="000000"/>
              <w:bottom w:val="single" w:sz="5" w:space="0" w:color="000000"/>
              <w:right w:val="single" w:sz="5" w:space="0" w:color="000000"/>
            </w:tcBorders>
          </w:tcPr>
          <w:p w14:paraId="771C1423"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“Search strategy”</w:t>
            </w:r>
          </w:p>
        </w:tc>
      </w:tr>
      <w:tr w:rsidR="00DE4D9A" w:rsidRPr="00017080" w14:paraId="123CAE53"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5089B1E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D7B44F5"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7</w:t>
            </w:r>
          </w:p>
        </w:tc>
        <w:tc>
          <w:tcPr>
            <w:tcW w:w="8620" w:type="dxa"/>
            <w:tcBorders>
              <w:top w:val="single" w:sz="5" w:space="0" w:color="000000"/>
              <w:left w:val="single" w:sz="5" w:space="0" w:color="000000"/>
              <w:bottom w:val="single" w:sz="5" w:space="0" w:color="000000"/>
              <w:right w:val="single" w:sz="5" w:space="0" w:color="000000"/>
            </w:tcBorders>
          </w:tcPr>
          <w:p w14:paraId="0D115AE0"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4419" w:type="dxa"/>
            <w:tcBorders>
              <w:top w:val="single" w:sz="5" w:space="0" w:color="000000"/>
              <w:left w:val="single" w:sz="5" w:space="0" w:color="000000"/>
              <w:bottom w:val="single" w:sz="5" w:space="0" w:color="000000"/>
              <w:right w:val="single" w:sz="5" w:space="0" w:color="000000"/>
            </w:tcBorders>
          </w:tcPr>
          <w:p w14:paraId="6DD7FE1E"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Supplementary File “</w:t>
            </w:r>
            <w:r w:rsidRPr="003003AD">
              <w:rPr>
                <w:rFonts w:ascii="Arial" w:hAnsi="Arial" w:cs="Arial"/>
                <w:color w:val="auto"/>
                <w:sz w:val="18"/>
                <w:szCs w:val="18"/>
              </w:rPr>
              <w:t>S2 Text Search Strategy</w:t>
            </w:r>
            <w:r>
              <w:rPr>
                <w:rFonts w:ascii="Arial" w:hAnsi="Arial" w:cs="Arial"/>
                <w:color w:val="auto"/>
                <w:sz w:val="18"/>
                <w:szCs w:val="18"/>
              </w:rPr>
              <w:t>”</w:t>
            </w:r>
          </w:p>
        </w:tc>
      </w:tr>
      <w:tr w:rsidR="00DE4D9A" w:rsidRPr="004C1685" w14:paraId="7F3AE9E2"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3CF86F82"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1DAA166"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8</w:t>
            </w:r>
          </w:p>
        </w:tc>
        <w:tc>
          <w:tcPr>
            <w:tcW w:w="8620" w:type="dxa"/>
            <w:tcBorders>
              <w:top w:val="single" w:sz="5" w:space="0" w:color="000000"/>
              <w:left w:val="single" w:sz="5" w:space="0" w:color="000000"/>
              <w:bottom w:val="single" w:sz="5" w:space="0" w:color="000000"/>
              <w:right w:val="single" w:sz="5" w:space="0" w:color="000000"/>
            </w:tcBorders>
          </w:tcPr>
          <w:p w14:paraId="5B6E915B"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3BCB3EF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Selection process was done accordingly to our previous analysis. First Paragraph in Methods section.</w:t>
            </w:r>
          </w:p>
        </w:tc>
      </w:tr>
      <w:tr w:rsidR="00DE4D9A" w:rsidRPr="004C1685" w14:paraId="41928B84" w14:textId="77777777" w:rsidTr="00B51D6D">
        <w:trPr>
          <w:trHeight w:val="152"/>
        </w:trPr>
        <w:tc>
          <w:tcPr>
            <w:tcW w:w="1574" w:type="dxa"/>
            <w:tcBorders>
              <w:top w:val="single" w:sz="5" w:space="0" w:color="000000"/>
              <w:left w:val="single" w:sz="5" w:space="0" w:color="000000"/>
              <w:bottom w:val="single" w:sz="5" w:space="0" w:color="000000"/>
              <w:right w:val="single" w:sz="5" w:space="0" w:color="000000"/>
            </w:tcBorders>
          </w:tcPr>
          <w:p w14:paraId="122B7BBD"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936C639"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9</w:t>
            </w:r>
          </w:p>
        </w:tc>
        <w:tc>
          <w:tcPr>
            <w:tcW w:w="8620" w:type="dxa"/>
            <w:tcBorders>
              <w:top w:val="single" w:sz="5" w:space="0" w:color="000000"/>
              <w:left w:val="single" w:sz="5" w:space="0" w:color="000000"/>
              <w:bottom w:val="single" w:sz="5" w:space="0" w:color="000000"/>
              <w:right w:val="single" w:sz="5" w:space="0" w:color="000000"/>
            </w:tcBorders>
          </w:tcPr>
          <w:p w14:paraId="355F33E7"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2056EB6E"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Data collection process was done accordingly to our previous analysis. First Paragraph in Methods section.</w:t>
            </w:r>
          </w:p>
        </w:tc>
      </w:tr>
      <w:tr w:rsidR="00DE4D9A" w:rsidRPr="00017080" w14:paraId="6B2FE157"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2DFF1568"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DE4F114"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10a</w:t>
            </w:r>
          </w:p>
        </w:tc>
        <w:tc>
          <w:tcPr>
            <w:tcW w:w="8620" w:type="dxa"/>
            <w:tcBorders>
              <w:top w:val="single" w:sz="5" w:space="0" w:color="000000"/>
              <w:left w:val="single" w:sz="5" w:space="0" w:color="000000"/>
              <w:bottom w:val="single" w:sz="5" w:space="0" w:color="000000"/>
              <w:right w:val="single" w:sz="5" w:space="0" w:color="000000"/>
            </w:tcBorders>
          </w:tcPr>
          <w:p w14:paraId="43014BE1"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419" w:type="dxa"/>
            <w:tcBorders>
              <w:top w:val="single" w:sz="5" w:space="0" w:color="000000"/>
              <w:left w:val="single" w:sz="5" w:space="0" w:color="000000"/>
              <w:bottom w:val="single" w:sz="5" w:space="0" w:color="000000"/>
              <w:right w:val="single" w:sz="5" w:space="0" w:color="000000"/>
            </w:tcBorders>
          </w:tcPr>
          <w:p w14:paraId="23C8D8BF"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Supplementary File “</w:t>
            </w:r>
            <w:r w:rsidRPr="006E44A2">
              <w:rPr>
                <w:rFonts w:ascii="Arial" w:hAnsi="Arial" w:cs="Arial"/>
                <w:color w:val="auto"/>
                <w:sz w:val="18"/>
                <w:szCs w:val="18"/>
              </w:rPr>
              <w:t>S2 Table Parameters</w:t>
            </w:r>
            <w:r>
              <w:rPr>
                <w:rFonts w:ascii="Arial" w:hAnsi="Arial" w:cs="Arial"/>
                <w:color w:val="auto"/>
                <w:sz w:val="18"/>
                <w:szCs w:val="18"/>
              </w:rPr>
              <w:t>”</w:t>
            </w:r>
          </w:p>
        </w:tc>
      </w:tr>
      <w:tr w:rsidR="00DE4D9A" w:rsidRPr="00017080" w14:paraId="0F3A17F1" w14:textId="77777777" w:rsidTr="00B51D6D">
        <w:trPr>
          <w:trHeight w:val="48"/>
        </w:trPr>
        <w:tc>
          <w:tcPr>
            <w:tcW w:w="1574" w:type="dxa"/>
            <w:vMerge/>
          </w:tcPr>
          <w:p w14:paraId="26E4AB29"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8714BE"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10b</w:t>
            </w:r>
          </w:p>
        </w:tc>
        <w:tc>
          <w:tcPr>
            <w:tcW w:w="8620" w:type="dxa"/>
            <w:tcBorders>
              <w:top w:val="single" w:sz="5" w:space="0" w:color="000000"/>
              <w:left w:val="single" w:sz="5" w:space="0" w:color="000000"/>
              <w:bottom w:val="single" w:sz="5" w:space="0" w:color="000000"/>
              <w:right w:val="single" w:sz="5" w:space="0" w:color="000000"/>
            </w:tcBorders>
          </w:tcPr>
          <w:p w14:paraId="3233967D"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4419" w:type="dxa"/>
            <w:tcBorders>
              <w:top w:val="single" w:sz="5" w:space="0" w:color="000000"/>
              <w:left w:val="single" w:sz="5" w:space="0" w:color="000000"/>
              <w:bottom w:val="single" w:sz="5" w:space="0" w:color="000000"/>
              <w:right w:val="single" w:sz="5" w:space="0" w:color="000000"/>
            </w:tcBorders>
          </w:tcPr>
          <w:p w14:paraId="00210E9C" w14:textId="77777777" w:rsidR="00DE4D9A" w:rsidRPr="008C43FF" w:rsidRDefault="00DE4D9A" w:rsidP="00B51D6D">
            <w:pPr>
              <w:pStyle w:val="Default"/>
              <w:spacing w:before="40" w:after="40"/>
              <w:rPr>
                <w:rFonts w:ascii="Arial" w:hAnsi="Arial" w:cs="Arial"/>
                <w:color w:val="auto"/>
                <w:sz w:val="18"/>
                <w:szCs w:val="18"/>
                <w:lang w:val="en-US"/>
              </w:rPr>
            </w:pPr>
            <w:r>
              <w:rPr>
                <w:rFonts w:ascii="Arial" w:hAnsi="Arial" w:cs="Arial"/>
                <w:color w:val="auto"/>
                <w:sz w:val="18"/>
                <w:szCs w:val="18"/>
              </w:rPr>
              <w:t xml:space="preserve">Supplementary Files S1 Table and </w:t>
            </w:r>
            <w:r w:rsidRPr="006E44A2">
              <w:rPr>
                <w:rFonts w:ascii="Arial" w:hAnsi="Arial" w:cs="Arial"/>
                <w:color w:val="auto"/>
                <w:sz w:val="18"/>
                <w:szCs w:val="18"/>
              </w:rPr>
              <w:t>https://doi.org/10.11588/data/P9JEPG</w:t>
            </w:r>
          </w:p>
        </w:tc>
      </w:tr>
      <w:tr w:rsidR="00DE4D9A" w:rsidRPr="00017080" w14:paraId="1B9AE55A"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42B544E8"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F213DA6"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11</w:t>
            </w:r>
          </w:p>
        </w:tc>
        <w:tc>
          <w:tcPr>
            <w:tcW w:w="8620" w:type="dxa"/>
            <w:tcBorders>
              <w:top w:val="single" w:sz="5" w:space="0" w:color="000000"/>
              <w:left w:val="single" w:sz="5" w:space="0" w:color="000000"/>
              <w:bottom w:val="single" w:sz="5" w:space="0" w:color="000000"/>
              <w:right w:val="single" w:sz="5" w:space="0" w:color="000000"/>
            </w:tcBorders>
          </w:tcPr>
          <w:p w14:paraId="7946CC4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2C181B8F" w14:textId="77777777" w:rsidR="00DE4D9A"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Study risk of bias assessment was done accordingly to our previous analysis. First Paragraph in Methods section.</w:t>
            </w:r>
          </w:p>
          <w:p w14:paraId="33E60D59"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“Assessment of methodological quality”</w:t>
            </w:r>
          </w:p>
        </w:tc>
      </w:tr>
      <w:tr w:rsidR="00DE4D9A" w:rsidRPr="00017080" w14:paraId="6A8ACE82"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205D7541"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C6803FF"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12</w:t>
            </w:r>
          </w:p>
        </w:tc>
        <w:tc>
          <w:tcPr>
            <w:tcW w:w="8620" w:type="dxa"/>
            <w:tcBorders>
              <w:top w:val="single" w:sz="5" w:space="0" w:color="000000"/>
              <w:left w:val="single" w:sz="5" w:space="0" w:color="000000"/>
              <w:bottom w:val="single" w:sz="5" w:space="0" w:color="000000"/>
              <w:right w:val="single" w:sz="5" w:space="0" w:color="000000"/>
            </w:tcBorders>
          </w:tcPr>
          <w:p w14:paraId="7D6E2F1D"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4419" w:type="dxa"/>
            <w:tcBorders>
              <w:top w:val="single" w:sz="5" w:space="0" w:color="000000"/>
              <w:left w:val="single" w:sz="5" w:space="0" w:color="000000"/>
              <w:bottom w:val="single" w:sz="5" w:space="0" w:color="000000"/>
              <w:right w:val="single" w:sz="5" w:space="0" w:color="000000"/>
            </w:tcBorders>
          </w:tcPr>
          <w:p w14:paraId="071277CE"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“Statistical analysis and data synthesis” Paragraph 2</w:t>
            </w:r>
          </w:p>
        </w:tc>
      </w:tr>
      <w:tr w:rsidR="00DE4D9A" w:rsidRPr="00017080" w14:paraId="5166F692"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6A2145A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97A6EF1"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13a</w:t>
            </w:r>
          </w:p>
        </w:tc>
        <w:tc>
          <w:tcPr>
            <w:tcW w:w="8620" w:type="dxa"/>
            <w:tcBorders>
              <w:top w:val="single" w:sz="5" w:space="0" w:color="000000"/>
              <w:left w:val="single" w:sz="5" w:space="0" w:color="000000"/>
              <w:bottom w:val="single" w:sz="5" w:space="0" w:color="000000"/>
              <w:right w:val="single" w:sz="5" w:space="0" w:color="000000"/>
            </w:tcBorders>
          </w:tcPr>
          <w:p w14:paraId="08FEC169"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419" w:type="dxa"/>
            <w:tcBorders>
              <w:top w:val="single" w:sz="5" w:space="0" w:color="000000"/>
              <w:left w:val="single" w:sz="5" w:space="0" w:color="000000"/>
              <w:bottom w:val="single" w:sz="5" w:space="0" w:color="000000"/>
              <w:right w:val="single" w:sz="5" w:space="0" w:color="000000"/>
            </w:tcBorders>
          </w:tcPr>
          <w:p w14:paraId="304E92EA"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“Statistical analysis and data synthesis” Paragraph 2</w:t>
            </w:r>
          </w:p>
        </w:tc>
      </w:tr>
      <w:tr w:rsidR="00DE4D9A" w:rsidRPr="00017080" w14:paraId="5B2A00BF" w14:textId="77777777" w:rsidTr="00B51D6D">
        <w:trPr>
          <w:trHeight w:val="48"/>
        </w:trPr>
        <w:tc>
          <w:tcPr>
            <w:tcW w:w="1574" w:type="dxa"/>
            <w:vMerge/>
          </w:tcPr>
          <w:p w14:paraId="760E1787"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A983BE"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13b</w:t>
            </w:r>
          </w:p>
        </w:tc>
        <w:tc>
          <w:tcPr>
            <w:tcW w:w="8620" w:type="dxa"/>
            <w:tcBorders>
              <w:top w:val="single" w:sz="5" w:space="0" w:color="000000"/>
              <w:left w:val="single" w:sz="5" w:space="0" w:color="000000"/>
              <w:bottom w:val="single" w:sz="5" w:space="0" w:color="000000"/>
              <w:right w:val="single" w:sz="5" w:space="0" w:color="000000"/>
            </w:tcBorders>
          </w:tcPr>
          <w:p w14:paraId="232FC081"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419" w:type="dxa"/>
            <w:tcBorders>
              <w:top w:val="single" w:sz="5" w:space="0" w:color="000000"/>
              <w:left w:val="single" w:sz="5" w:space="0" w:color="000000"/>
              <w:bottom w:val="single" w:sz="5" w:space="0" w:color="000000"/>
              <w:right w:val="single" w:sz="5" w:space="0" w:color="000000"/>
            </w:tcBorders>
          </w:tcPr>
          <w:p w14:paraId="79F8DC57" w14:textId="77777777" w:rsidR="00DE4D9A" w:rsidRPr="006E79DE" w:rsidRDefault="00DE4D9A" w:rsidP="00B51D6D">
            <w:pPr>
              <w:pStyle w:val="Default"/>
              <w:spacing w:before="40" w:after="40" w:line="259" w:lineRule="auto"/>
              <w:rPr>
                <w:highlight w:val="yellow"/>
              </w:rPr>
            </w:pPr>
            <w:r>
              <w:rPr>
                <w:rFonts w:ascii="Arial" w:hAnsi="Arial" w:cs="Arial"/>
                <w:color w:val="auto"/>
                <w:sz w:val="18"/>
                <w:szCs w:val="18"/>
              </w:rPr>
              <w:t>Subsection “Statistical analysis and data synthesis” Paragraph 1</w:t>
            </w:r>
          </w:p>
        </w:tc>
      </w:tr>
      <w:tr w:rsidR="00DE4D9A" w:rsidRPr="00017080" w14:paraId="065D895B" w14:textId="77777777" w:rsidTr="00B51D6D">
        <w:trPr>
          <w:trHeight w:val="48"/>
        </w:trPr>
        <w:tc>
          <w:tcPr>
            <w:tcW w:w="1574" w:type="dxa"/>
            <w:vMerge/>
          </w:tcPr>
          <w:p w14:paraId="756B8510"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DCA34F"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13c</w:t>
            </w:r>
          </w:p>
        </w:tc>
        <w:tc>
          <w:tcPr>
            <w:tcW w:w="8620" w:type="dxa"/>
            <w:tcBorders>
              <w:top w:val="single" w:sz="5" w:space="0" w:color="000000"/>
              <w:left w:val="single" w:sz="5" w:space="0" w:color="000000"/>
              <w:bottom w:val="single" w:sz="5" w:space="0" w:color="000000"/>
              <w:right w:val="single" w:sz="5" w:space="0" w:color="000000"/>
            </w:tcBorders>
          </w:tcPr>
          <w:p w14:paraId="0371E824"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419" w:type="dxa"/>
            <w:tcBorders>
              <w:top w:val="single" w:sz="5" w:space="0" w:color="000000"/>
              <w:left w:val="single" w:sz="5" w:space="0" w:color="000000"/>
              <w:bottom w:val="single" w:sz="5" w:space="0" w:color="000000"/>
              <w:right w:val="single" w:sz="5" w:space="0" w:color="000000"/>
            </w:tcBorders>
          </w:tcPr>
          <w:p w14:paraId="43E369C5"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“Statistical analysis and data synthesis” Paragraph 3</w:t>
            </w:r>
          </w:p>
        </w:tc>
      </w:tr>
      <w:tr w:rsidR="00DE4D9A" w:rsidRPr="00017080" w14:paraId="0039291D" w14:textId="77777777" w:rsidTr="00B51D6D">
        <w:trPr>
          <w:trHeight w:val="48"/>
        </w:trPr>
        <w:tc>
          <w:tcPr>
            <w:tcW w:w="1574" w:type="dxa"/>
            <w:vMerge/>
          </w:tcPr>
          <w:p w14:paraId="4D6B12EB"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C19751"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13d</w:t>
            </w:r>
          </w:p>
        </w:tc>
        <w:tc>
          <w:tcPr>
            <w:tcW w:w="8620" w:type="dxa"/>
            <w:tcBorders>
              <w:top w:val="single" w:sz="5" w:space="0" w:color="000000"/>
              <w:left w:val="single" w:sz="5" w:space="0" w:color="000000"/>
              <w:bottom w:val="single" w:sz="5" w:space="0" w:color="000000"/>
              <w:right w:val="single" w:sz="5" w:space="0" w:color="000000"/>
            </w:tcBorders>
          </w:tcPr>
          <w:p w14:paraId="60D6BF03"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419" w:type="dxa"/>
            <w:tcBorders>
              <w:top w:val="single" w:sz="5" w:space="0" w:color="000000"/>
              <w:left w:val="single" w:sz="5" w:space="0" w:color="000000"/>
              <w:bottom w:val="single" w:sz="5" w:space="0" w:color="000000"/>
              <w:right w:val="single" w:sz="5" w:space="0" w:color="000000"/>
            </w:tcBorders>
          </w:tcPr>
          <w:p w14:paraId="296AC5F6"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“Statistical analysis and data synthesis” Paragraph 2 and 3</w:t>
            </w:r>
          </w:p>
        </w:tc>
      </w:tr>
      <w:tr w:rsidR="00DE4D9A" w:rsidRPr="00017080" w14:paraId="037C8EC8" w14:textId="77777777" w:rsidTr="00B51D6D">
        <w:trPr>
          <w:trHeight w:val="48"/>
        </w:trPr>
        <w:tc>
          <w:tcPr>
            <w:tcW w:w="1574" w:type="dxa"/>
            <w:vMerge/>
          </w:tcPr>
          <w:p w14:paraId="2BEB0099"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82B6DC"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13e</w:t>
            </w:r>
          </w:p>
        </w:tc>
        <w:tc>
          <w:tcPr>
            <w:tcW w:w="8620" w:type="dxa"/>
            <w:tcBorders>
              <w:top w:val="single" w:sz="5" w:space="0" w:color="000000"/>
              <w:left w:val="single" w:sz="5" w:space="0" w:color="000000"/>
              <w:bottom w:val="single" w:sz="5" w:space="0" w:color="000000"/>
              <w:right w:val="single" w:sz="5" w:space="0" w:color="000000"/>
            </w:tcBorders>
          </w:tcPr>
          <w:p w14:paraId="3EAE16E0"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4419" w:type="dxa"/>
            <w:tcBorders>
              <w:top w:val="single" w:sz="5" w:space="0" w:color="000000"/>
              <w:left w:val="single" w:sz="5" w:space="0" w:color="000000"/>
              <w:bottom w:val="single" w:sz="5" w:space="0" w:color="000000"/>
              <w:right w:val="single" w:sz="5" w:space="0" w:color="000000"/>
            </w:tcBorders>
          </w:tcPr>
          <w:p w14:paraId="37B05A1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“Statistical analysis and data synthesis” Paragraph 3 and 4</w:t>
            </w:r>
          </w:p>
        </w:tc>
      </w:tr>
      <w:tr w:rsidR="00DE4D9A" w:rsidRPr="004C1685" w14:paraId="50C03F49" w14:textId="77777777" w:rsidTr="00B51D6D">
        <w:trPr>
          <w:trHeight w:val="50"/>
        </w:trPr>
        <w:tc>
          <w:tcPr>
            <w:tcW w:w="1574" w:type="dxa"/>
            <w:vMerge/>
          </w:tcPr>
          <w:p w14:paraId="5C7E3624"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EFF8B6"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13f</w:t>
            </w:r>
          </w:p>
        </w:tc>
        <w:tc>
          <w:tcPr>
            <w:tcW w:w="8620" w:type="dxa"/>
            <w:tcBorders>
              <w:top w:val="single" w:sz="5" w:space="0" w:color="000000"/>
              <w:left w:val="single" w:sz="5" w:space="0" w:color="000000"/>
              <w:bottom w:val="single" w:sz="5" w:space="0" w:color="000000"/>
              <w:right w:val="single" w:sz="5" w:space="0" w:color="000000"/>
            </w:tcBorders>
          </w:tcPr>
          <w:p w14:paraId="41256510"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4419" w:type="dxa"/>
            <w:tcBorders>
              <w:top w:val="single" w:sz="5" w:space="0" w:color="000000"/>
              <w:left w:val="single" w:sz="5" w:space="0" w:color="000000"/>
              <w:bottom w:val="single" w:sz="5" w:space="0" w:color="000000"/>
              <w:right w:val="single" w:sz="5" w:space="0" w:color="000000"/>
            </w:tcBorders>
          </w:tcPr>
          <w:p w14:paraId="52A2F5E5"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“Sensitivity analysis”</w:t>
            </w:r>
          </w:p>
        </w:tc>
      </w:tr>
      <w:tr w:rsidR="00DE4D9A" w:rsidRPr="00017080" w14:paraId="40409726"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7A48BF57"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3E1550E"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14</w:t>
            </w:r>
          </w:p>
        </w:tc>
        <w:tc>
          <w:tcPr>
            <w:tcW w:w="8620" w:type="dxa"/>
            <w:tcBorders>
              <w:top w:val="single" w:sz="5" w:space="0" w:color="000000"/>
              <w:left w:val="single" w:sz="5" w:space="0" w:color="000000"/>
              <w:bottom w:val="single" w:sz="5" w:space="0" w:color="000000"/>
              <w:right w:val="single" w:sz="5" w:space="0" w:color="000000"/>
            </w:tcBorders>
          </w:tcPr>
          <w:p w14:paraId="0688DC05"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419" w:type="dxa"/>
            <w:tcBorders>
              <w:top w:val="single" w:sz="5" w:space="0" w:color="000000"/>
              <w:left w:val="single" w:sz="5" w:space="0" w:color="000000"/>
              <w:bottom w:val="single" w:sz="5" w:space="0" w:color="000000"/>
              <w:right w:val="single" w:sz="5" w:space="0" w:color="000000"/>
            </w:tcBorders>
          </w:tcPr>
          <w:p w14:paraId="4B6D6ECD" w14:textId="77777777" w:rsidR="00DE4D9A" w:rsidRPr="006E79DE" w:rsidRDefault="00DE4D9A" w:rsidP="00B51D6D">
            <w:pPr>
              <w:pStyle w:val="Default"/>
              <w:spacing w:before="40" w:after="40" w:line="259" w:lineRule="auto"/>
            </w:pPr>
            <w:r w:rsidRPr="579080DA">
              <w:rPr>
                <w:rFonts w:ascii="Arial" w:hAnsi="Arial" w:cs="Arial"/>
                <w:color w:val="auto"/>
                <w:sz w:val="18"/>
                <w:szCs w:val="18"/>
              </w:rPr>
              <w:t xml:space="preserve">Subsection “Statistical analysis and data synthesis” Paragraph </w:t>
            </w:r>
            <w:r>
              <w:rPr>
                <w:rFonts w:ascii="Arial" w:hAnsi="Arial" w:cs="Arial"/>
                <w:color w:val="auto"/>
                <w:sz w:val="18"/>
                <w:szCs w:val="18"/>
              </w:rPr>
              <w:t>5</w:t>
            </w:r>
          </w:p>
        </w:tc>
      </w:tr>
      <w:tr w:rsidR="00DE4D9A" w:rsidRPr="00017080" w14:paraId="32B26649"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08F35D22"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B488A09"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15</w:t>
            </w:r>
          </w:p>
        </w:tc>
        <w:tc>
          <w:tcPr>
            <w:tcW w:w="8620" w:type="dxa"/>
            <w:tcBorders>
              <w:top w:val="single" w:sz="5" w:space="0" w:color="000000"/>
              <w:left w:val="single" w:sz="5" w:space="0" w:color="000000"/>
              <w:bottom w:val="single" w:sz="5" w:space="0" w:color="000000"/>
              <w:right w:val="single" w:sz="5" w:space="0" w:color="000000"/>
            </w:tcBorders>
          </w:tcPr>
          <w:p w14:paraId="28E46D50"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4419" w:type="dxa"/>
            <w:tcBorders>
              <w:top w:val="single" w:sz="5" w:space="0" w:color="000000"/>
              <w:left w:val="single" w:sz="5" w:space="0" w:color="000000"/>
              <w:bottom w:val="single" w:sz="5" w:space="0" w:color="000000"/>
              <w:right w:val="single" w:sz="5" w:space="0" w:color="000000"/>
            </w:tcBorders>
          </w:tcPr>
          <w:p w14:paraId="5E425B38" w14:textId="77777777" w:rsidR="00DE4D9A" w:rsidRPr="006E79DE" w:rsidRDefault="00DE4D9A" w:rsidP="00B51D6D">
            <w:pPr>
              <w:pStyle w:val="Default"/>
              <w:spacing w:before="40" w:after="40" w:line="259" w:lineRule="auto"/>
            </w:pPr>
            <w:r w:rsidRPr="579080DA">
              <w:rPr>
                <w:rFonts w:ascii="Arial" w:hAnsi="Arial" w:cs="Arial"/>
                <w:color w:val="auto"/>
                <w:sz w:val="18"/>
                <w:szCs w:val="18"/>
              </w:rPr>
              <w:t>Subsection “</w:t>
            </w:r>
            <w:r>
              <w:rPr>
                <w:rFonts w:ascii="Arial" w:hAnsi="Arial" w:cs="Arial"/>
                <w:color w:val="auto"/>
                <w:sz w:val="18"/>
                <w:szCs w:val="18"/>
              </w:rPr>
              <w:t>Assessment of certainty of evidence (CoE)”</w:t>
            </w:r>
          </w:p>
        </w:tc>
      </w:tr>
      <w:tr w:rsidR="00DE4D9A" w:rsidRPr="004C1685" w14:paraId="428F6972"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0ACA6D" w14:textId="77777777" w:rsidR="00DE4D9A" w:rsidRPr="00930A31" w:rsidRDefault="00DE4D9A" w:rsidP="00B51D6D">
            <w:pPr>
              <w:pStyle w:val="Default"/>
              <w:rPr>
                <w:rFonts w:ascii="Arial" w:hAnsi="Arial" w:cs="Arial"/>
                <w:sz w:val="18"/>
                <w:szCs w:val="18"/>
              </w:rPr>
            </w:pPr>
            <w:r w:rsidRPr="00930A31">
              <w:rPr>
                <w:rFonts w:ascii="Arial" w:hAnsi="Arial" w:cs="Arial"/>
                <w:b/>
                <w:bCs/>
                <w:sz w:val="18"/>
                <w:szCs w:val="18"/>
              </w:rPr>
              <w:t xml:space="preserve">RESULTS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6046B27" w14:textId="77777777" w:rsidR="00DE4D9A" w:rsidRPr="00930A31" w:rsidRDefault="00DE4D9A" w:rsidP="00B51D6D">
            <w:pPr>
              <w:pStyle w:val="Default"/>
              <w:jc w:val="center"/>
              <w:rPr>
                <w:rFonts w:ascii="Arial" w:hAnsi="Arial" w:cs="Arial"/>
                <w:color w:val="auto"/>
                <w:sz w:val="18"/>
                <w:szCs w:val="18"/>
              </w:rPr>
            </w:pPr>
          </w:p>
        </w:tc>
      </w:tr>
      <w:tr w:rsidR="00DE4D9A" w:rsidRPr="004C1685" w14:paraId="60FFA84B"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12CD1B30"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198B749"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16a</w:t>
            </w:r>
          </w:p>
        </w:tc>
        <w:tc>
          <w:tcPr>
            <w:tcW w:w="8620" w:type="dxa"/>
            <w:tcBorders>
              <w:top w:val="single" w:sz="5" w:space="0" w:color="000000"/>
              <w:left w:val="single" w:sz="5" w:space="0" w:color="000000"/>
              <w:bottom w:val="single" w:sz="5" w:space="0" w:color="000000"/>
              <w:right w:val="single" w:sz="5" w:space="0" w:color="000000"/>
            </w:tcBorders>
          </w:tcPr>
          <w:p w14:paraId="3ABC43DC"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4419" w:type="dxa"/>
            <w:tcBorders>
              <w:top w:val="single" w:sz="5" w:space="0" w:color="000000"/>
              <w:left w:val="single" w:sz="5" w:space="0" w:color="000000"/>
              <w:bottom w:val="single" w:sz="5" w:space="0" w:color="000000"/>
              <w:right w:val="single" w:sz="5" w:space="0" w:color="000000"/>
            </w:tcBorders>
          </w:tcPr>
          <w:p w14:paraId="63842EAE" w14:textId="77777777" w:rsidR="00DE4D9A" w:rsidRPr="00930A31" w:rsidRDefault="00DE4D9A" w:rsidP="00B51D6D">
            <w:pPr>
              <w:pStyle w:val="Default"/>
              <w:spacing w:before="40" w:after="40"/>
              <w:rPr>
                <w:rFonts w:ascii="Arial" w:hAnsi="Arial" w:cs="Arial"/>
                <w:color w:val="auto"/>
                <w:sz w:val="18"/>
                <w:szCs w:val="18"/>
              </w:rPr>
            </w:pPr>
            <w:r w:rsidRPr="00494FC9">
              <w:rPr>
                <w:rFonts w:ascii="Arial" w:hAnsi="Arial" w:cs="Arial"/>
                <w:color w:val="auto"/>
                <w:sz w:val="18"/>
                <w:szCs w:val="18"/>
              </w:rPr>
              <w:t>Fig1 PRISMA Flow Diagram</w:t>
            </w:r>
          </w:p>
        </w:tc>
      </w:tr>
      <w:tr w:rsidR="00DE4D9A" w:rsidRPr="00017080" w14:paraId="518FBF7D" w14:textId="77777777" w:rsidTr="00B51D6D">
        <w:trPr>
          <w:trHeight w:val="48"/>
        </w:trPr>
        <w:tc>
          <w:tcPr>
            <w:tcW w:w="1574" w:type="dxa"/>
            <w:vMerge/>
          </w:tcPr>
          <w:p w14:paraId="4AE83257"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E01F6D"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16b</w:t>
            </w:r>
          </w:p>
        </w:tc>
        <w:tc>
          <w:tcPr>
            <w:tcW w:w="8620" w:type="dxa"/>
            <w:tcBorders>
              <w:top w:val="single" w:sz="5" w:space="0" w:color="000000"/>
              <w:left w:val="single" w:sz="5" w:space="0" w:color="000000"/>
              <w:bottom w:val="single" w:sz="5" w:space="0" w:color="000000"/>
              <w:right w:val="single" w:sz="5" w:space="0" w:color="000000"/>
            </w:tcBorders>
          </w:tcPr>
          <w:p w14:paraId="5922810C"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419" w:type="dxa"/>
            <w:tcBorders>
              <w:top w:val="single" w:sz="5" w:space="0" w:color="000000"/>
              <w:left w:val="single" w:sz="5" w:space="0" w:color="000000"/>
              <w:bottom w:val="single" w:sz="5" w:space="0" w:color="000000"/>
              <w:right w:val="single" w:sz="5" w:space="0" w:color="000000"/>
            </w:tcBorders>
          </w:tcPr>
          <w:p w14:paraId="1BBD8B25" w14:textId="77777777" w:rsidR="00DE4D9A" w:rsidRPr="00A123D6" w:rsidRDefault="00DE4D9A" w:rsidP="00B51D6D">
            <w:pPr>
              <w:pStyle w:val="Default"/>
              <w:spacing w:before="40" w:after="40"/>
              <w:rPr>
                <w:rFonts w:ascii="Arial" w:hAnsi="Arial" w:cs="Arial"/>
                <w:color w:val="auto"/>
                <w:sz w:val="18"/>
                <w:szCs w:val="18"/>
              </w:rPr>
            </w:pPr>
            <w:r w:rsidRPr="00C25ABD">
              <w:rPr>
                <w:rFonts w:ascii="Arial" w:hAnsi="Arial" w:cs="Arial"/>
                <w:color w:val="auto"/>
                <w:sz w:val="18"/>
                <w:szCs w:val="18"/>
              </w:rPr>
              <w:t xml:space="preserve">Section Results, Paragraph </w:t>
            </w:r>
            <w:proofErr w:type="gramStart"/>
            <w:r w:rsidRPr="00C25ABD">
              <w:rPr>
                <w:rFonts w:ascii="Arial" w:hAnsi="Arial" w:cs="Arial"/>
                <w:color w:val="auto"/>
                <w:sz w:val="18"/>
                <w:szCs w:val="18"/>
              </w:rPr>
              <w:t>1</w:t>
            </w:r>
            <w:proofErr w:type="gramEnd"/>
            <w:r>
              <w:rPr>
                <w:rFonts w:ascii="Arial" w:hAnsi="Arial" w:cs="Arial"/>
                <w:color w:val="auto"/>
                <w:sz w:val="18"/>
                <w:szCs w:val="18"/>
              </w:rPr>
              <w:t xml:space="preserve"> a</w:t>
            </w:r>
            <w:r w:rsidRPr="00C25ABD">
              <w:rPr>
                <w:rFonts w:ascii="Arial" w:hAnsi="Arial" w:cs="Arial"/>
                <w:color w:val="auto"/>
                <w:sz w:val="18"/>
                <w:szCs w:val="18"/>
              </w:rPr>
              <w:t>nd</w:t>
            </w:r>
            <w:r>
              <w:rPr>
                <w:rFonts w:ascii="Arial" w:hAnsi="Arial" w:cs="Arial"/>
                <w:color w:val="auto"/>
                <w:sz w:val="18"/>
                <w:szCs w:val="18"/>
              </w:rPr>
              <w:t xml:space="preserve"> </w:t>
            </w:r>
            <w:r w:rsidRPr="00D670F6">
              <w:rPr>
                <w:rFonts w:ascii="Arial" w:hAnsi="Arial" w:cs="Arial"/>
                <w:color w:val="auto"/>
                <w:sz w:val="18"/>
                <w:szCs w:val="18"/>
              </w:rPr>
              <w:t>Figure 1</w:t>
            </w:r>
          </w:p>
        </w:tc>
      </w:tr>
      <w:tr w:rsidR="00DE4D9A" w:rsidRPr="00017080" w14:paraId="2004D89A" w14:textId="77777777" w:rsidTr="00B51D6D">
        <w:trPr>
          <w:trHeight w:val="103"/>
        </w:trPr>
        <w:tc>
          <w:tcPr>
            <w:tcW w:w="1574" w:type="dxa"/>
            <w:tcBorders>
              <w:top w:val="single" w:sz="5" w:space="0" w:color="000000"/>
              <w:left w:val="single" w:sz="5" w:space="0" w:color="000000"/>
              <w:bottom w:val="single" w:sz="5" w:space="0" w:color="000000"/>
              <w:right w:val="single" w:sz="5" w:space="0" w:color="000000"/>
            </w:tcBorders>
          </w:tcPr>
          <w:p w14:paraId="12B20F55"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402D917"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17</w:t>
            </w:r>
          </w:p>
        </w:tc>
        <w:tc>
          <w:tcPr>
            <w:tcW w:w="8620" w:type="dxa"/>
            <w:tcBorders>
              <w:top w:val="single" w:sz="5" w:space="0" w:color="000000"/>
              <w:left w:val="single" w:sz="5" w:space="0" w:color="000000"/>
              <w:bottom w:val="single" w:sz="5" w:space="0" w:color="000000"/>
              <w:right w:val="single" w:sz="5" w:space="0" w:color="000000"/>
            </w:tcBorders>
          </w:tcPr>
          <w:p w14:paraId="0C4F1D74"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419" w:type="dxa"/>
            <w:tcBorders>
              <w:top w:val="single" w:sz="5" w:space="0" w:color="000000"/>
              <w:left w:val="single" w:sz="5" w:space="0" w:color="000000"/>
              <w:bottom w:val="single" w:sz="5" w:space="0" w:color="000000"/>
              <w:right w:val="single" w:sz="5" w:space="0" w:color="000000"/>
            </w:tcBorders>
          </w:tcPr>
          <w:p w14:paraId="5229934D"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Files “S1 Table” and </w:t>
            </w:r>
            <w:r w:rsidRPr="006E44A2">
              <w:rPr>
                <w:rFonts w:ascii="Arial" w:hAnsi="Arial" w:cs="Arial"/>
                <w:color w:val="auto"/>
                <w:sz w:val="18"/>
                <w:szCs w:val="18"/>
              </w:rPr>
              <w:t>https://doi.org/10.11588/data/P9JEPG</w:t>
            </w:r>
          </w:p>
        </w:tc>
      </w:tr>
      <w:tr w:rsidR="00DE4D9A" w:rsidRPr="00017080" w14:paraId="27E2F83F"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74F6476F"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71F7612"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18</w:t>
            </w:r>
          </w:p>
        </w:tc>
        <w:tc>
          <w:tcPr>
            <w:tcW w:w="8620" w:type="dxa"/>
            <w:tcBorders>
              <w:top w:val="single" w:sz="5" w:space="0" w:color="000000"/>
              <w:left w:val="single" w:sz="5" w:space="0" w:color="000000"/>
              <w:bottom w:val="single" w:sz="5" w:space="0" w:color="000000"/>
              <w:right w:val="single" w:sz="5" w:space="0" w:color="000000"/>
            </w:tcBorders>
          </w:tcPr>
          <w:p w14:paraId="7D01570B"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419" w:type="dxa"/>
            <w:tcBorders>
              <w:top w:val="single" w:sz="5" w:space="0" w:color="000000"/>
              <w:left w:val="single" w:sz="5" w:space="0" w:color="000000"/>
              <w:bottom w:val="single" w:sz="5" w:space="0" w:color="000000"/>
              <w:right w:val="single" w:sz="5" w:space="0" w:color="000000"/>
            </w:tcBorders>
          </w:tcPr>
          <w:p w14:paraId="37753E47"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Supplementary File “</w:t>
            </w:r>
            <w:r w:rsidRPr="00494FC9">
              <w:rPr>
                <w:rFonts w:ascii="Arial" w:hAnsi="Arial" w:cs="Arial"/>
                <w:color w:val="auto"/>
                <w:sz w:val="18"/>
                <w:szCs w:val="18"/>
              </w:rPr>
              <w:t>S1 Figure QUADAS</w:t>
            </w:r>
            <w:r>
              <w:rPr>
                <w:rFonts w:ascii="Arial" w:hAnsi="Arial" w:cs="Arial"/>
                <w:color w:val="auto"/>
                <w:sz w:val="18"/>
                <w:szCs w:val="18"/>
              </w:rPr>
              <w:t xml:space="preserve">” and </w:t>
            </w:r>
            <w:r w:rsidRPr="006E44A2">
              <w:rPr>
                <w:rFonts w:ascii="Arial" w:hAnsi="Arial" w:cs="Arial"/>
                <w:color w:val="auto"/>
                <w:sz w:val="18"/>
                <w:szCs w:val="18"/>
              </w:rPr>
              <w:t>https://doi.org/10.11588/data/P9JEPG</w:t>
            </w:r>
          </w:p>
        </w:tc>
      </w:tr>
      <w:tr w:rsidR="00DE4D9A" w:rsidRPr="00017080" w14:paraId="1E959034"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495A432E"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6D021B1"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19</w:t>
            </w:r>
          </w:p>
        </w:tc>
        <w:tc>
          <w:tcPr>
            <w:tcW w:w="8620" w:type="dxa"/>
            <w:tcBorders>
              <w:top w:val="single" w:sz="5" w:space="0" w:color="000000"/>
              <w:left w:val="single" w:sz="5" w:space="0" w:color="000000"/>
              <w:bottom w:val="single" w:sz="5" w:space="0" w:color="000000"/>
              <w:right w:val="single" w:sz="5" w:space="0" w:color="000000"/>
            </w:tcBorders>
          </w:tcPr>
          <w:p w14:paraId="19A93EF2" w14:textId="77777777" w:rsidR="00DE4D9A" w:rsidRPr="00DC0139" w:rsidRDefault="00DE4D9A" w:rsidP="00B51D6D">
            <w:pPr>
              <w:pStyle w:val="Default"/>
              <w:spacing w:before="40" w:after="40"/>
              <w:rPr>
                <w:rFonts w:ascii="Arial" w:hAnsi="Arial" w:cs="Arial"/>
                <w:sz w:val="18"/>
                <w:szCs w:val="18"/>
                <w:highlight w:val="yellow"/>
              </w:rPr>
            </w:pPr>
            <w:r w:rsidRPr="00DC0139">
              <w:rPr>
                <w:rFonts w:ascii="Arial" w:hAnsi="Arial" w:cs="Arial"/>
                <w:sz w:val="18"/>
                <w:szCs w:val="18"/>
              </w:rPr>
              <w:t xml:space="preserve">For all outcomes, present, for each study: (a) summary statistics for each group (where appropriate) and (b) an effect </w:t>
            </w:r>
            <w:proofErr w:type="gramStart"/>
            <w:r w:rsidRPr="00DC0139">
              <w:rPr>
                <w:rFonts w:ascii="Arial" w:hAnsi="Arial" w:cs="Arial"/>
                <w:sz w:val="18"/>
                <w:szCs w:val="18"/>
              </w:rPr>
              <w:t>estimate</w:t>
            </w:r>
            <w:proofErr w:type="gramEnd"/>
            <w:r w:rsidRPr="00DC0139">
              <w:rPr>
                <w:rFonts w:ascii="Arial" w:hAnsi="Arial" w:cs="Arial"/>
                <w:sz w:val="18"/>
                <w:szCs w:val="18"/>
              </w:rPr>
              <w:t xml:space="preserve"> and its precision (e.g. confidence/credible interval), ideally using structured tables or plots.</w:t>
            </w:r>
          </w:p>
        </w:tc>
        <w:tc>
          <w:tcPr>
            <w:tcW w:w="4419" w:type="dxa"/>
            <w:tcBorders>
              <w:top w:val="single" w:sz="5" w:space="0" w:color="000000"/>
              <w:left w:val="single" w:sz="5" w:space="0" w:color="000000"/>
              <w:bottom w:val="single" w:sz="5" w:space="0" w:color="000000"/>
              <w:right w:val="single" w:sz="5" w:space="0" w:color="000000"/>
            </w:tcBorders>
          </w:tcPr>
          <w:p w14:paraId="0CE093DF"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 xml:space="preserve">Subsection “Study description” and Table 1 </w:t>
            </w:r>
            <w:proofErr w:type="gramStart"/>
            <w:r>
              <w:rPr>
                <w:rFonts w:ascii="Arial" w:hAnsi="Arial" w:cs="Arial"/>
                <w:color w:val="auto"/>
                <w:sz w:val="18"/>
                <w:szCs w:val="18"/>
              </w:rPr>
              <w:t>and  Supplementary</w:t>
            </w:r>
            <w:proofErr w:type="gramEnd"/>
            <w:r>
              <w:rPr>
                <w:rFonts w:ascii="Arial" w:hAnsi="Arial" w:cs="Arial"/>
                <w:color w:val="auto"/>
                <w:sz w:val="18"/>
                <w:szCs w:val="18"/>
              </w:rPr>
              <w:t xml:space="preserve"> File “S1 Table” </w:t>
            </w:r>
          </w:p>
        </w:tc>
      </w:tr>
      <w:tr w:rsidR="00DE4D9A" w:rsidRPr="00017080" w14:paraId="64E5B57F"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6AC9EB96"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F5FCB62"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20a</w:t>
            </w:r>
          </w:p>
        </w:tc>
        <w:tc>
          <w:tcPr>
            <w:tcW w:w="8620" w:type="dxa"/>
            <w:tcBorders>
              <w:top w:val="single" w:sz="5" w:space="0" w:color="000000"/>
              <w:left w:val="single" w:sz="5" w:space="0" w:color="000000"/>
              <w:bottom w:val="single" w:sz="5" w:space="0" w:color="000000"/>
              <w:right w:val="single" w:sz="5" w:space="0" w:color="000000"/>
            </w:tcBorders>
          </w:tcPr>
          <w:p w14:paraId="790A4C09" w14:textId="77777777" w:rsidR="00DE4D9A" w:rsidRPr="00DC0139" w:rsidRDefault="00DE4D9A" w:rsidP="00B51D6D">
            <w:pPr>
              <w:pStyle w:val="Default"/>
              <w:spacing w:before="40" w:after="40"/>
              <w:rPr>
                <w:rFonts w:ascii="Arial" w:hAnsi="Arial" w:cs="Arial"/>
                <w:sz w:val="18"/>
                <w:szCs w:val="18"/>
              </w:rPr>
            </w:pPr>
            <w:r w:rsidRPr="00DC0139">
              <w:rPr>
                <w:rFonts w:ascii="Arial" w:hAnsi="Arial" w:cs="Arial"/>
                <w:sz w:val="18"/>
                <w:szCs w:val="18"/>
              </w:rPr>
              <w:t>For each synthesis, briefly summarise the characteristics and risk of bias among contributing studies.</w:t>
            </w:r>
          </w:p>
        </w:tc>
        <w:tc>
          <w:tcPr>
            <w:tcW w:w="4419" w:type="dxa"/>
            <w:tcBorders>
              <w:top w:val="single" w:sz="5" w:space="0" w:color="000000"/>
              <w:left w:val="single" w:sz="5" w:space="0" w:color="000000"/>
              <w:bottom w:val="single" w:sz="5" w:space="0" w:color="000000"/>
              <w:right w:val="single" w:sz="5" w:space="0" w:color="000000"/>
            </w:tcBorders>
          </w:tcPr>
          <w:p w14:paraId="1B13E28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“Methodological quality of all included studies” and Figure 2AB</w:t>
            </w:r>
          </w:p>
        </w:tc>
      </w:tr>
      <w:tr w:rsidR="00DE4D9A" w:rsidRPr="00017080" w14:paraId="207F4D99" w14:textId="77777777" w:rsidTr="00B51D6D">
        <w:trPr>
          <w:trHeight w:val="203"/>
        </w:trPr>
        <w:tc>
          <w:tcPr>
            <w:tcW w:w="1574" w:type="dxa"/>
            <w:vMerge/>
          </w:tcPr>
          <w:p w14:paraId="5B70B748"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341F73"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20b</w:t>
            </w:r>
          </w:p>
        </w:tc>
        <w:tc>
          <w:tcPr>
            <w:tcW w:w="8620" w:type="dxa"/>
            <w:tcBorders>
              <w:top w:val="single" w:sz="5" w:space="0" w:color="000000"/>
              <w:left w:val="single" w:sz="5" w:space="0" w:color="000000"/>
              <w:bottom w:val="single" w:sz="5" w:space="0" w:color="000000"/>
              <w:right w:val="single" w:sz="5" w:space="0" w:color="000000"/>
            </w:tcBorders>
          </w:tcPr>
          <w:p w14:paraId="00A72D89"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419" w:type="dxa"/>
            <w:tcBorders>
              <w:top w:val="single" w:sz="5" w:space="0" w:color="000000"/>
              <w:left w:val="single" w:sz="5" w:space="0" w:color="000000"/>
              <w:bottom w:val="single" w:sz="5" w:space="0" w:color="000000"/>
              <w:right w:val="single" w:sz="5" w:space="0" w:color="000000"/>
            </w:tcBorders>
          </w:tcPr>
          <w:p w14:paraId="288AA16F" w14:textId="77777777" w:rsidR="00DE4D9A"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“Concordance with professional-use Ag-RDTs” and Figure 3</w:t>
            </w:r>
          </w:p>
          <w:p w14:paraId="695FEFCC"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“Performance of self-testing and self-sampling in comparison to RT-PCR” and Figure 4A-D</w:t>
            </w:r>
          </w:p>
        </w:tc>
      </w:tr>
      <w:tr w:rsidR="00DE4D9A" w:rsidRPr="00017080" w14:paraId="2EF633DD" w14:textId="77777777" w:rsidTr="00B51D6D">
        <w:trPr>
          <w:trHeight w:val="48"/>
        </w:trPr>
        <w:tc>
          <w:tcPr>
            <w:tcW w:w="1574" w:type="dxa"/>
            <w:vMerge/>
          </w:tcPr>
          <w:p w14:paraId="4ED0B8B4"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4AAE3A"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20c</w:t>
            </w:r>
          </w:p>
        </w:tc>
        <w:tc>
          <w:tcPr>
            <w:tcW w:w="8620" w:type="dxa"/>
            <w:tcBorders>
              <w:top w:val="single" w:sz="5" w:space="0" w:color="000000"/>
              <w:left w:val="single" w:sz="5" w:space="0" w:color="000000"/>
              <w:bottom w:val="single" w:sz="5" w:space="0" w:color="000000"/>
              <w:right w:val="single" w:sz="5" w:space="0" w:color="000000"/>
            </w:tcBorders>
          </w:tcPr>
          <w:p w14:paraId="240AC2EF"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Present results of all investigations of possible causes of heterogeneity among study results.</w:t>
            </w:r>
          </w:p>
        </w:tc>
        <w:tc>
          <w:tcPr>
            <w:tcW w:w="4419" w:type="dxa"/>
            <w:tcBorders>
              <w:top w:val="single" w:sz="5" w:space="0" w:color="000000"/>
              <w:left w:val="single" w:sz="5" w:space="0" w:color="000000"/>
              <w:bottom w:val="single" w:sz="5" w:space="0" w:color="000000"/>
              <w:right w:val="single" w:sz="5" w:space="0" w:color="000000"/>
            </w:tcBorders>
          </w:tcPr>
          <w:p w14:paraId="4BE518D3"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Subsections “IFU conformity”, “Presence of symptoms”, “Duration of Symptoms”, “Ct Values”, “Age”, “VoC”, and “LMIC vs. HIC”</w:t>
            </w:r>
          </w:p>
        </w:tc>
      </w:tr>
      <w:tr w:rsidR="00DE4D9A" w:rsidRPr="004C1685" w14:paraId="50840450" w14:textId="77777777" w:rsidTr="00B51D6D">
        <w:trPr>
          <w:trHeight w:val="48"/>
        </w:trPr>
        <w:tc>
          <w:tcPr>
            <w:tcW w:w="1574" w:type="dxa"/>
            <w:vMerge/>
          </w:tcPr>
          <w:p w14:paraId="36307DA0"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5042E1"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20d</w:t>
            </w:r>
          </w:p>
        </w:tc>
        <w:tc>
          <w:tcPr>
            <w:tcW w:w="8620" w:type="dxa"/>
            <w:tcBorders>
              <w:top w:val="single" w:sz="5" w:space="0" w:color="000000"/>
              <w:left w:val="single" w:sz="5" w:space="0" w:color="000000"/>
              <w:bottom w:val="single" w:sz="5" w:space="0" w:color="000000"/>
              <w:right w:val="single" w:sz="5" w:space="0" w:color="000000"/>
            </w:tcBorders>
          </w:tcPr>
          <w:p w14:paraId="0B22B730"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Present results of all sensitivity analyses conducted to assess the robustness of the synthesized results.</w:t>
            </w:r>
          </w:p>
        </w:tc>
        <w:tc>
          <w:tcPr>
            <w:tcW w:w="4419" w:type="dxa"/>
            <w:tcBorders>
              <w:top w:val="single" w:sz="5" w:space="0" w:color="000000"/>
              <w:left w:val="single" w:sz="5" w:space="0" w:color="000000"/>
              <w:bottom w:val="single" w:sz="5" w:space="0" w:color="000000"/>
              <w:right w:val="single" w:sz="5" w:space="0" w:color="000000"/>
            </w:tcBorders>
          </w:tcPr>
          <w:p w14:paraId="4DDA733F"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“Sensitivity Analysis”</w:t>
            </w:r>
          </w:p>
        </w:tc>
      </w:tr>
      <w:tr w:rsidR="00DE4D9A" w:rsidRPr="00017080" w14:paraId="681D01BA"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73A65563"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F26BF7C"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21</w:t>
            </w:r>
          </w:p>
        </w:tc>
        <w:tc>
          <w:tcPr>
            <w:tcW w:w="8620" w:type="dxa"/>
            <w:tcBorders>
              <w:top w:val="single" w:sz="5" w:space="0" w:color="000000"/>
              <w:left w:val="single" w:sz="5" w:space="0" w:color="000000"/>
              <w:bottom w:val="single" w:sz="5" w:space="0" w:color="000000"/>
              <w:right w:val="single" w:sz="5" w:space="0" w:color="000000"/>
            </w:tcBorders>
          </w:tcPr>
          <w:p w14:paraId="1C8CD017"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Present assessments of risk of bias due to missing results (arising from reporting biases) for each synthesis assessed.</w:t>
            </w:r>
          </w:p>
        </w:tc>
        <w:tc>
          <w:tcPr>
            <w:tcW w:w="4419" w:type="dxa"/>
            <w:tcBorders>
              <w:top w:val="single" w:sz="5" w:space="0" w:color="000000"/>
              <w:left w:val="single" w:sz="5" w:space="0" w:color="000000"/>
              <w:bottom w:val="single" w:sz="5" w:space="0" w:color="000000"/>
              <w:right w:val="single" w:sz="5" w:space="0" w:color="000000"/>
            </w:tcBorders>
          </w:tcPr>
          <w:p w14:paraId="6117C63D"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Files “S1 Table” and </w:t>
            </w:r>
            <w:r w:rsidRPr="006E44A2">
              <w:rPr>
                <w:rFonts w:ascii="Arial" w:hAnsi="Arial" w:cs="Arial"/>
                <w:color w:val="auto"/>
                <w:sz w:val="18"/>
                <w:szCs w:val="18"/>
              </w:rPr>
              <w:t>https://doi.org/10.11588/data/P9JEPG</w:t>
            </w:r>
          </w:p>
        </w:tc>
      </w:tr>
      <w:tr w:rsidR="00DE4D9A" w:rsidRPr="00017080" w14:paraId="694FFB9D"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3BD8282B"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E89CD2A"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22</w:t>
            </w:r>
          </w:p>
        </w:tc>
        <w:tc>
          <w:tcPr>
            <w:tcW w:w="8620" w:type="dxa"/>
            <w:tcBorders>
              <w:top w:val="single" w:sz="5" w:space="0" w:color="000000"/>
              <w:left w:val="single" w:sz="5" w:space="0" w:color="000000"/>
              <w:bottom w:val="single" w:sz="5" w:space="0" w:color="000000"/>
              <w:right w:val="single" w:sz="5" w:space="0" w:color="000000"/>
            </w:tcBorders>
          </w:tcPr>
          <w:p w14:paraId="3790B267"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Present assessments of certainty (or confidence) in the body of evidence for each outcome assessed.</w:t>
            </w:r>
          </w:p>
        </w:tc>
        <w:tc>
          <w:tcPr>
            <w:tcW w:w="4419" w:type="dxa"/>
            <w:tcBorders>
              <w:top w:val="single" w:sz="5" w:space="0" w:color="000000"/>
              <w:left w:val="single" w:sz="5" w:space="0" w:color="000000"/>
              <w:bottom w:val="single" w:sz="5" w:space="0" w:color="000000"/>
              <w:right w:val="single" w:sz="5" w:space="0" w:color="000000"/>
            </w:tcBorders>
          </w:tcPr>
          <w:p w14:paraId="4518F3DB"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Subsection “Certainty of Evidence (CoE)”</w:t>
            </w:r>
          </w:p>
        </w:tc>
      </w:tr>
      <w:tr w:rsidR="00DE4D9A" w:rsidRPr="004C1685" w14:paraId="01D93089"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7494D2" w14:textId="77777777" w:rsidR="00DE4D9A" w:rsidRPr="00422A80" w:rsidRDefault="00DE4D9A" w:rsidP="00B51D6D">
            <w:pPr>
              <w:pStyle w:val="Default"/>
              <w:rPr>
                <w:rFonts w:ascii="Arial" w:hAnsi="Arial" w:cs="Arial"/>
                <w:sz w:val="18"/>
                <w:szCs w:val="18"/>
              </w:rPr>
            </w:pPr>
            <w:r w:rsidRPr="00422A80">
              <w:rPr>
                <w:rFonts w:ascii="Arial" w:hAnsi="Arial" w:cs="Arial"/>
                <w:b/>
                <w:bCs/>
                <w:sz w:val="18"/>
                <w:szCs w:val="18"/>
              </w:rPr>
              <w:t xml:space="preserve">DISCUSSION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5F7E0D82" w14:textId="77777777" w:rsidR="00DE4D9A" w:rsidRPr="00930A31" w:rsidRDefault="00DE4D9A" w:rsidP="00B51D6D">
            <w:pPr>
              <w:pStyle w:val="Default"/>
              <w:jc w:val="center"/>
              <w:rPr>
                <w:rFonts w:ascii="Arial" w:hAnsi="Arial" w:cs="Arial"/>
                <w:color w:val="auto"/>
                <w:sz w:val="18"/>
                <w:szCs w:val="18"/>
              </w:rPr>
            </w:pPr>
          </w:p>
        </w:tc>
      </w:tr>
      <w:tr w:rsidR="00DE4D9A" w:rsidRPr="004C1685" w14:paraId="2298F5EB"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0427B85D"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2D86AEF"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23a</w:t>
            </w:r>
          </w:p>
        </w:tc>
        <w:tc>
          <w:tcPr>
            <w:tcW w:w="8620" w:type="dxa"/>
            <w:tcBorders>
              <w:top w:val="single" w:sz="5" w:space="0" w:color="000000"/>
              <w:left w:val="single" w:sz="5" w:space="0" w:color="000000"/>
              <w:bottom w:val="single" w:sz="5" w:space="0" w:color="000000"/>
              <w:right w:val="single" w:sz="5" w:space="0" w:color="000000"/>
            </w:tcBorders>
          </w:tcPr>
          <w:p w14:paraId="438AFE33"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Provide a general interpretation of the results in the context of other evidence.</w:t>
            </w:r>
          </w:p>
        </w:tc>
        <w:tc>
          <w:tcPr>
            <w:tcW w:w="4419" w:type="dxa"/>
            <w:tcBorders>
              <w:top w:val="single" w:sz="5" w:space="0" w:color="000000"/>
              <w:left w:val="single" w:sz="5" w:space="0" w:color="000000"/>
              <w:bottom w:val="single" w:sz="5" w:space="0" w:color="000000"/>
              <w:right w:val="single" w:sz="5" w:space="0" w:color="000000"/>
            </w:tcBorders>
          </w:tcPr>
          <w:p w14:paraId="4646BBA1"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Paragraph 1,2,3</w:t>
            </w:r>
          </w:p>
        </w:tc>
      </w:tr>
      <w:tr w:rsidR="00DE4D9A" w:rsidRPr="004C1685" w14:paraId="1E79900E" w14:textId="77777777" w:rsidTr="00B51D6D">
        <w:trPr>
          <w:trHeight w:val="48"/>
        </w:trPr>
        <w:tc>
          <w:tcPr>
            <w:tcW w:w="1574" w:type="dxa"/>
            <w:vMerge/>
          </w:tcPr>
          <w:p w14:paraId="611EF776"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084174"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23b</w:t>
            </w:r>
          </w:p>
        </w:tc>
        <w:tc>
          <w:tcPr>
            <w:tcW w:w="8620" w:type="dxa"/>
            <w:tcBorders>
              <w:top w:val="single" w:sz="5" w:space="0" w:color="000000"/>
              <w:left w:val="single" w:sz="5" w:space="0" w:color="000000"/>
              <w:bottom w:val="single" w:sz="5" w:space="0" w:color="000000"/>
              <w:right w:val="single" w:sz="5" w:space="0" w:color="000000"/>
            </w:tcBorders>
          </w:tcPr>
          <w:p w14:paraId="63C40C4E"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Discuss any limitations of the evidence included in the review.</w:t>
            </w:r>
          </w:p>
        </w:tc>
        <w:tc>
          <w:tcPr>
            <w:tcW w:w="4419" w:type="dxa"/>
            <w:tcBorders>
              <w:top w:val="single" w:sz="5" w:space="0" w:color="000000"/>
              <w:left w:val="single" w:sz="5" w:space="0" w:color="000000"/>
              <w:bottom w:val="single" w:sz="5" w:space="0" w:color="000000"/>
              <w:right w:val="single" w:sz="5" w:space="0" w:color="000000"/>
            </w:tcBorders>
          </w:tcPr>
          <w:p w14:paraId="7318EE44"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E4D9A" w:rsidRPr="004C1685" w14:paraId="0FA9D210" w14:textId="77777777" w:rsidTr="00B51D6D">
        <w:trPr>
          <w:trHeight w:val="48"/>
        </w:trPr>
        <w:tc>
          <w:tcPr>
            <w:tcW w:w="1574" w:type="dxa"/>
            <w:vMerge/>
          </w:tcPr>
          <w:p w14:paraId="38982B8C"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CB781F"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23c</w:t>
            </w:r>
          </w:p>
        </w:tc>
        <w:tc>
          <w:tcPr>
            <w:tcW w:w="8620" w:type="dxa"/>
            <w:tcBorders>
              <w:top w:val="single" w:sz="5" w:space="0" w:color="000000"/>
              <w:left w:val="single" w:sz="5" w:space="0" w:color="000000"/>
              <w:bottom w:val="single" w:sz="5" w:space="0" w:color="000000"/>
              <w:right w:val="single" w:sz="5" w:space="0" w:color="000000"/>
            </w:tcBorders>
          </w:tcPr>
          <w:p w14:paraId="58CC0411"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Discuss any limitations of the review processes used.</w:t>
            </w:r>
          </w:p>
        </w:tc>
        <w:tc>
          <w:tcPr>
            <w:tcW w:w="4419" w:type="dxa"/>
            <w:tcBorders>
              <w:top w:val="single" w:sz="5" w:space="0" w:color="000000"/>
              <w:left w:val="single" w:sz="5" w:space="0" w:color="000000"/>
              <w:bottom w:val="single" w:sz="5" w:space="0" w:color="000000"/>
              <w:right w:val="single" w:sz="5" w:space="0" w:color="000000"/>
            </w:tcBorders>
          </w:tcPr>
          <w:p w14:paraId="25C4F2F8"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E4D9A" w:rsidRPr="004C1685" w14:paraId="5CFAC254" w14:textId="77777777" w:rsidTr="00B51D6D">
        <w:trPr>
          <w:trHeight w:val="48"/>
        </w:trPr>
        <w:tc>
          <w:tcPr>
            <w:tcW w:w="1574" w:type="dxa"/>
            <w:vMerge/>
          </w:tcPr>
          <w:p w14:paraId="00EC6B9C"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8E8F134"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23d</w:t>
            </w:r>
          </w:p>
        </w:tc>
        <w:tc>
          <w:tcPr>
            <w:tcW w:w="8620" w:type="dxa"/>
            <w:tcBorders>
              <w:top w:val="single" w:sz="5" w:space="0" w:color="000000"/>
              <w:left w:val="single" w:sz="4" w:space="0" w:color="auto"/>
              <w:bottom w:val="double" w:sz="5" w:space="0" w:color="000000"/>
              <w:right w:val="single" w:sz="5" w:space="0" w:color="000000"/>
            </w:tcBorders>
          </w:tcPr>
          <w:p w14:paraId="6B7A0DD6" w14:textId="77777777" w:rsidR="00DE4D9A" w:rsidRPr="00422A80" w:rsidRDefault="00DE4D9A" w:rsidP="00B51D6D">
            <w:pPr>
              <w:pStyle w:val="Default"/>
              <w:spacing w:before="40" w:after="40"/>
              <w:rPr>
                <w:rFonts w:ascii="Arial" w:hAnsi="Arial" w:cs="Arial"/>
                <w:sz w:val="18"/>
                <w:szCs w:val="18"/>
              </w:rPr>
            </w:pPr>
            <w:r w:rsidRPr="00422A80">
              <w:rPr>
                <w:rFonts w:ascii="Arial" w:hAnsi="Arial" w:cs="Arial"/>
                <w:sz w:val="18"/>
                <w:szCs w:val="18"/>
              </w:rPr>
              <w:t>Discuss implications of the results for practice, policy, and future research.</w:t>
            </w:r>
          </w:p>
        </w:tc>
        <w:tc>
          <w:tcPr>
            <w:tcW w:w="4419" w:type="dxa"/>
            <w:tcBorders>
              <w:top w:val="single" w:sz="5" w:space="0" w:color="000000"/>
              <w:left w:val="single" w:sz="5" w:space="0" w:color="000000"/>
              <w:bottom w:val="double" w:sz="5" w:space="0" w:color="000000"/>
              <w:right w:val="single" w:sz="5" w:space="0" w:color="000000"/>
            </w:tcBorders>
          </w:tcPr>
          <w:p w14:paraId="4471CE0E"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Section “Conclusion”</w:t>
            </w:r>
          </w:p>
        </w:tc>
      </w:tr>
      <w:tr w:rsidR="00DE4D9A" w:rsidRPr="004C1685" w14:paraId="2927BE63" w14:textId="77777777" w:rsidTr="00B51D6D">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FE0927" w14:textId="77777777" w:rsidR="00DE4D9A" w:rsidRPr="00DC0139" w:rsidRDefault="00DE4D9A" w:rsidP="00B51D6D">
            <w:pPr>
              <w:pStyle w:val="Default"/>
              <w:rPr>
                <w:rFonts w:ascii="Arial" w:hAnsi="Arial" w:cs="Arial"/>
                <w:sz w:val="18"/>
                <w:szCs w:val="18"/>
                <w:highlight w:val="yellow"/>
              </w:rPr>
            </w:pPr>
            <w:r w:rsidRPr="00422A80">
              <w:rPr>
                <w:rFonts w:ascii="Arial" w:hAnsi="Arial" w:cs="Arial"/>
                <w:b/>
                <w:bCs/>
                <w:sz w:val="18"/>
                <w:szCs w:val="18"/>
              </w:rPr>
              <w:t>OTHER INFORMATION</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EB1E194" w14:textId="77777777" w:rsidR="00DE4D9A" w:rsidRPr="00930A31" w:rsidRDefault="00DE4D9A" w:rsidP="00B51D6D">
            <w:pPr>
              <w:pStyle w:val="Default"/>
              <w:jc w:val="center"/>
              <w:rPr>
                <w:rFonts w:ascii="Arial" w:hAnsi="Arial" w:cs="Arial"/>
                <w:color w:val="auto"/>
                <w:sz w:val="18"/>
                <w:szCs w:val="18"/>
              </w:rPr>
            </w:pPr>
          </w:p>
        </w:tc>
      </w:tr>
      <w:tr w:rsidR="00DE4D9A" w:rsidRPr="00017080" w14:paraId="0B50CEFF" w14:textId="77777777" w:rsidTr="00B51D6D">
        <w:trPr>
          <w:trHeight w:val="48"/>
        </w:trPr>
        <w:tc>
          <w:tcPr>
            <w:tcW w:w="1574" w:type="dxa"/>
            <w:vMerge w:val="restart"/>
            <w:tcBorders>
              <w:top w:val="single" w:sz="5" w:space="0" w:color="000000"/>
              <w:left w:val="single" w:sz="5" w:space="0" w:color="000000"/>
              <w:right w:val="single" w:sz="5" w:space="0" w:color="000000"/>
            </w:tcBorders>
          </w:tcPr>
          <w:p w14:paraId="74BFAAB6"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80504A5"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24a</w:t>
            </w:r>
          </w:p>
        </w:tc>
        <w:tc>
          <w:tcPr>
            <w:tcW w:w="8620" w:type="dxa"/>
            <w:tcBorders>
              <w:top w:val="single" w:sz="5" w:space="0" w:color="000000"/>
              <w:left w:val="single" w:sz="5" w:space="0" w:color="000000"/>
              <w:bottom w:val="single" w:sz="5" w:space="0" w:color="000000"/>
              <w:right w:val="single" w:sz="5" w:space="0" w:color="000000"/>
            </w:tcBorders>
          </w:tcPr>
          <w:p w14:paraId="739029F2"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Provide registration information for the review, including register name and registration number, or state that the review was not registered.</w:t>
            </w:r>
          </w:p>
        </w:tc>
        <w:tc>
          <w:tcPr>
            <w:tcW w:w="4419" w:type="dxa"/>
            <w:tcBorders>
              <w:top w:val="single" w:sz="5" w:space="0" w:color="000000"/>
              <w:left w:val="single" w:sz="5" w:space="0" w:color="000000"/>
              <w:bottom w:val="single" w:sz="5" w:space="0" w:color="000000"/>
              <w:right w:val="single" w:sz="5" w:space="0" w:color="000000"/>
            </w:tcBorders>
          </w:tcPr>
          <w:p w14:paraId="7CA61A6D"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Abstract, Section “Methods” First Paragraph</w:t>
            </w:r>
          </w:p>
        </w:tc>
      </w:tr>
      <w:tr w:rsidR="00DE4D9A" w:rsidRPr="00017080" w14:paraId="312F682E" w14:textId="77777777" w:rsidTr="00B51D6D">
        <w:trPr>
          <w:trHeight w:val="57"/>
        </w:trPr>
        <w:tc>
          <w:tcPr>
            <w:tcW w:w="1574" w:type="dxa"/>
            <w:vMerge/>
          </w:tcPr>
          <w:p w14:paraId="3621C8CE"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215B34"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24b</w:t>
            </w:r>
          </w:p>
        </w:tc>
        <w:tc>
          <w:tcPr>
            <w:tcW w:w="8620" w:type="dxa"/>
            <w:tcBorders>
              <w:top w:val="single" w:sz="5" w:space="0" w:color="000000"/>
              <w:left w:val="single" w:sz="5" w:space="0" w:color="000000"/>
              <w:bottom w:val="single" w:sz="5" w:space="0" w:color="000000"/>
              <w:right w:val="single" w:sz="5" w:space="0" w:color="000000"/>
            </w:tcBorders>
          </w:tcPr>
          <w:p w14:paraId="1FB4C7F6"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Indicate where the review protocol can be accessed, or state that a protocol was not prepared.</w:t>
            </w:r>
          </w:p>
        </w:tc>
        <w:tc>
          <w:tcPr>
            <w:tcW w:w="4419" w:type="dxa"/>
            <w:tcBorders>
              <w:top w:val="single" w:sz="5" w:space="0" w:color="000000"/>
              <w:left w:val="single" w:sz="5" w:space="0" w:color="000000"/>
              <w:bottom w:val="single" w:sz="5" w:space="0" w:color="000000"/>
              <w:right w:val="single" w:sz="5" w:space="0" w:color="000000"/>
            </w:tcBorders>
          </w:tcPr>
          <w:p w14:paraId="7567FBAF"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Abstract, Section “Methods” and Supplementary Files “</w:t>
            </w:r>
            <w:r w:rsidRPr="00422A80">
              <w:rPr>
                <w:rFonts w:ascii="Arial" w:hAnsi="Arial" w:cs="Arial"/>
                <w:color w:val="auto"/>
                <w:sz w:val="18"/>
                <w:szCs w:val="18"/>
              </w:rPr>
              <w:t>S1 Text Study Protocol</w:t>
            </w:r>
            <w:r>
              <w:rPr>
                <w:rFonts w:ascii="Arial" w:hAnsi="Arial" w:cs="Arial"/>
                <w:color w:val="auto"/>
                <w:sz w:val="18"/>
                <w:szCs w:val="18"/>
              </w:rPr>
              <w:t>”</w:t>
            </w:r>
          </w:p>
        </w:tc>
      </w:tr>
      <w:tr w:rsidR="00DE4D9A" w:rsidRPr="004C1685" w14:paraId="3C5551A6" w14:textId="77777777" w:rsidTr="00B51D6D">
        <w:trPr>
          <w:trHeight w:val="48"/>
        </w:trPr>
        <w:tc>
          <w:tcPr>
            <w:tcW w:w="1574" w:type="dxa"/>
            <w:vMerge/>
          </w:tcPr>
          <w:p w14:paraId="02BC6D14" w14:textId="77777777" w:rsidR="00DE4D9A" w:rsidRPr="00930A31" w:rsidRDefault="00DE4D9A" w:rsidP="00B51D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B14CDE"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24c</w:t>
            </w:r>
          </w:p>
        </w:tc>
        <w:tc>
          <w:tcPr>
            <w:tcW w:w="8620" w:type="dxa"/>
            <w:tcBorders>
              <w:top w:val="single" w:sz="5" w:space="0" w:color="000000"/>
              <w:left w:val="single" w:sz="5" w:space="0" w:color="000000"/>
              <w:bottom w:val="single" w:sz="5" w:space="0" w:color="000000"/>
              <w:right w:val="single" w:sz="5" w:space="0" w:color="000000"/>
            </w:tcBorders>
          </w:tcPr>
          <w:p w14:paraId="59DEA7C2"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Describe and explain any amendments to information provided at registration or in the protocol.</w:t>
            </w:r>
          </w:p>
        </w:tc>
        <w:tc>
          <w:tcPr>
            <w:tcW w:w="4419" w:type="dxa"/>
            <w:tcBorders>
              <w:top w:val="single" w:sz="5" w:space="0" w:color="000000"/>
              <w:left w:val="single" w:sz="5" w:space="0" w:color="000000"/>
              <w:bottom w:val="single" w:sz="5" w:space="0" w:color="000000"/>
              <w:right w:val="single" w:sz="5" w:space="0" w:color="000000"/>
            </w:tcBorders>
          </w:tcPr>
          <w:p w14:paraId="4DD6966A"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N/A</w:t>
            </w:r>
          </w:p>
        </w:tc>
      </w:tr>
      <w:tr w:rsidR="00DE4D9A" w:rsidRPr="004C1685" w14:paraId="04D59D4E"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302A31C9"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DC4B5BF"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25</w:t>
            </w:r>
          </w:p>
        </w:tc>
        <w:tc>
          <w:tcPr>
            <w:tcW w:w="8620" w:type="dxa"/>
            <w:tcBorders>
              <w:top w:val="single" w:sz="5" w:space="0" w:color="000000"/>
              <w:left w:val="single" w:sz="5" w:space="0" w:color="000000"/>
              <w:bottom w:val="single" w:sz="5" w:space="0" w:color="000000"/>
              <w:right w:val="single" w:sz="5" w:space="0" w:color="000000"/>
            </w:tcBorders>
          </w:tcPr>
          <w:p w14:paraId="5E7D5666"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Describe sources of financial or non-financial support for the review, and the role of the funders or sponsors in the review.</w:t>
            </w:r>
          </w:p>
        </w:tc>
        <w:tc>
          <w:tcPr>
            <w:tcW w:w="4419" w:type="dxa"/>
            <w:tcBorders>
              <w:top w:val="single" w:sz="5" w:space="0" w:color="000000"/>
              <w:left w:val="single" w:sz="5" w:space="0" w:color="000000"/>
              <w:bottom w:val="single" w:sz="5" w:space="0" w:color="000000"/>
              <w:right w:val="single" w:sz="5" w:space="0" w:color="000000"/>
            </w:tcBorders>
          </w:tcPr>
          <w:p w14:paraId="0968641F" w14:textId="77777777" w:rsidR="00DE4D9A" w:rsidRPr="004F176F" w:rsidRDefault="00DE4D9A" w:rsidP="00B51D6D">
            <w:pPr>
              <w:pStyle w:val="Default"/>
              <w:spacing w:before="40" w:after="40"/>
              <w:rPr>
                <w:rFonts w:ascii="Arial" w:hAnsi="Arial" w:cs="Arial"/>
                <w:color w:val="auto"/>
                <w:sz w:val="18"/>
                <w:szCs w:val="18"/>
                <w:highlight w:val="yellow"/>
              </w:rPr>
            </w:pPr>
            <w:r>
              <w:rPr>
                <w:rFonts w:ascii="Arial" w:hAnsi="Arial" w:cs="Arial"/>
                <w:color w:val="auto"/>
                <w:sz w:val="18"/>
                <w:szCs w:val="18"/>
              </w:rPr>
              <w:t>Section “Funding”</w:t>
            </w:r>
          </w:p>
        </w:tc>
      </w:tr>
      <w:tr w:rsidR="00DE4D9A" w:rsidRPr="004C1685" w14:paraId="6533D553" w14:textId="77777777" w:rsidTr="00B51D6D">
        <w:trPr>
          <w:trHeight w:val="48"/>
        </w:trPr>
        <w:tc>
          <w:tcPr>
            <w:tcW w:w="1574" w:type="dxa"/>
            <w:tcBorders>
              <w:top w:val="single" w:sz="5" w:space="0" w:color="000000"/>
              <w:left w:val="single" w:sz="5" w:space="0" w:color="000000"/>
              <w:bottom w:val="single" w:sz="5" w:space="0" w:color="000000"/>
              <w:right w:val="single" w:sz="5" w:space="0" w:color="000000"/>
            </w:tcBorders>
          </w:tcPr>
          <w:p w14:paraId="12007AFA"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77A80CB"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26</w:t>
            </w:r>
          </w:p>
        </w:tc>
        <w:tc>
          <w:tcPr>
            <w:tcW w:w="8620" w:type="dxa"/>
            <w:tcBorders>
              <w:top w:val="single" w:sz="5" w:space="0" w:color="000000"/>
              <w:left w:val="single" w:sz="5" w:space="0" w:color="000000"/>
              <w:bottom w:val="single" w:sz="5" w:space="0" w:color="000000"/>
              <w:right w:val="single" w:sz="5" w:space="0" w:color="000000"/>
            </w:tcBorders>
          </w:tcPr>
          <w:p w14:paraId="71ABB985"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Declare any competing interests of review authors.</w:t>
            </w:r>
          </w:p>
        </w:tc>
        <w:tc>
          <w:tcPr>
            <w:tcW w:w="4419" w:type="dxa"/>
            <w:tcBorders>
              <w:top w:val="single" w:sz="5" w:space="0" w:color="000000"/>
              <w:left w:val="single" w:sz="5" w:space="0" w:color="000000"/>
              <w:bottom w:val="single" w:sz="5" w:space="0" w:color="000000"/>
              <w:right w:val="single" w:sz="5" w:space="0" w:color="000000"/>
            </w:tcBorders>
          </w:tcPr>
          <w:p w14:paraId="63F911FC" w14:textId="77777777" w:rsidR="00DE4D9A" w:rsidRPr="004F176F" w:rsidRDefault="00DE4D9A" w:rsidP="00B51D6D">
            <w:pPr>
              <w:pStyle w:val="Default"/>
              <w:spacing w:before="40" w:after="40"/>
              <w:rPr>
                <w:rFonts w:ascii="Arial" w:hAnsi="Arial" w:cs="Arial"/>
                <w:color w:val="auto"/>
                <w:sz w:val="18"/>
                <w:szCs w:val="18"/>
                <w:highlight w:val="yellow"/>
              </w:rPr>
            </w:pPr>
            <w:r w:rsidRPr="00794E74">
              <w:rPr>
                <w:rFonts w:ascii="Arial" w:hAnsi="Arial" w:cs="Arial"/>
                <w:color w:val="auto"/>
                <w:sz w:val="18"/>
                <w:szCs w:val="18"/>
              </w:rPr>
              <w:t>N/A</w:t>
            </w:r>
          </w:p>
        </w:tc>
      </w:tr>
      <w:tr w:rsidR="00DE4D9A" w:rsidRPr="00017080" w14:paraId="138B2F00" w14:textId="77777777" w:rsidTr="00B51D6D">
        <w:trPr>
          <w:trHeight w:val="219"/>
        </w:trPr>
        <w:tc>
          <w:tcPr>
            <w:tcW w:w="1574" w:type="dxa"/>
            <w:tcBorders>
              <w:top w:val="single" w:sz="5" w:space="0" w:color="000000"/>
              <w:left w:val="single" w:sz="5" w:space="0" w:color="000000"/>
              <w:bottom w:val="double" w:sz="5" w:space="0" w:color="000000"/>
              <w:right w:val="single" w:sz="5" w:space="0" w:color="000000"/>
            </w:tcBorders>
          </w:tcPr>
          <w:p w14:paraId="108BB6C2" w14:textId="77777777" w:rsidR="00DE4D9A" w:rsidRPr="00930A31" w:rsidRDefault="00DE4D9A" w:rsidP="00B51D6D">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5AEEEFA4" w14:textId="77777777" w:rsidR="00DE4D9A" w:rsidRPr="00930A31" w:rsidRDefault="00DE4D9A" w:rsidP="00B51D6D">
            <w:pPr>
              <w:pStyle w:val="Default"/>
              <w:spacing w:before="40" w:after="40"/>
              <w:jc w:val="right"/>
              <w:rPr>
                <w:rFonts w:ascii="Arial" w:hAnsi="Arial" w:cs="Arial"/>
                <w:sz w:val="18"/>
                <w:szCs w:val="18"/>
              </w:rPr>
            </w:pPr>
            <w:r w:rsidRPr="00930A31">
              <w:rPr>
                <w:rFonts w:ascii="Arial" w:hAnsi="Arial" w:cs="Arial"/>
                <w:sz w:val="18"/>
                <w:szCs w:val="18"/>
              </w:rPr>
              <w:t>27</w:t>
            </w:r>
          </w:p>
        </w:tc>
        <w:tc>
          <w:tcPr>
            <w:tcW w:w="8620" w:type="dxa"/>
            <w:tcBorders>
              <w:top w:val="single" w:sz="5" w:space="0" w:color="000000"/>
              <w:left w:val="single" w:sz="5" w:space="0" w:color="000000"/>
              <w:bottom w:val="double" w:sz="5" w:space="0" w:color="000000"/>
              <w:right w:val="single" w:sz="5" w:space="0" w:color="000000"/>
            </w:tcBorders>
          </w:tcPr>
          <w:p w14:paraId="1B6C4524" w14:textId="77777777" w:rsidR="00DE4D9A" w:rsidRPr="00DC0139" w:rsidRDefault="00DE4D9A" w:rsidP="00B51D6D">
            <w:pPr>
              <w:pStyle w:val="Default"/>
              <w:spacing w:before="40" w:after="40"/>
              <w:rPr>
                <w:rFonts w:ascii="Arial" w:hAnsi="Arial" w:cs="Arial"/>
                <w:sz w:val="18"/>
                <w:szCs w:val="18"/>
                <w:highlight w:val="yellow"/>
              </w:rPr>
            </w:pPr>
            <w:r w:rsidRPr="00422A80">
              <w:rPr>
                <w:rFonts w:ascii="Arial" w:hAnsi="Arial" w:cs="Arial"/>
                <w:sz w:val="18"/>
                <w:szCs w:val="18"/>
              </w:rPr>
              <w:t xml:space="preserve">Report which of the following are publicly available and where they can be </w:t>
            </w:r>
            <w:proofErr w:type="gramStart"/>
            <w:r w:rsidRPr="00422A80">
              <w:rPr>
                <w:rFonts w:ascii="Arial" w:hAnsi="Arial" w:cs="Arial"/>
                <w:sz w:val="18"/>
                <w:szCs w:val="18"/>
              </w:rPr>
              <w:t>found:</w:t>
            </w:r>
            <w:proofErr w:type="gramEnd"/>
            <w:r w:rsidRPr="00422A80">
              <w:rPr>
                <w:rFonts w:ascii="Arial" w:hAnsi="Arial" w:cs="Arial"/>
                <w:sz w:val="18"/>
                <w:szCs w:val="18"/>
              </w:rPr>
              <w:t xml:space="preserve"> template data collection forms; data extracted from included studies; data used for all analyses; analytic code; any other materials used in the review.</w:t>
            </w:r>
          </w:p>
        </w:tc>
        <w:tc>
          <w:tcPr>
            <w:tcW w:w="4419" w:type="dxa"/>
            <w:tcBorders>
              <w:top w:val="single" w:sz="5" w:space="0" w:color="000000"/>
              <w:left w:val="single" w:sz="5" w:space="0" w:color="000000"/>
              <w:bottom w:val="double" w:sz="5" w:space="0" w:color="000000"/>
              <w:right w:val="single" w:sz="5" w:space="0" w:color="000000"/>
            </w:tcBorders>
          </w:tcPr>
          <w:p w14:paraId="23A53266" w14:textId="77777777" w:rsidR="00DE4D9A" w:rsidRPr="00930A31" w:rsidRDefault="00DE4D9A" w:rsidP="00B51D6D">
            <w:pPr>
              <w:pStyle w:val="Default"/>
              <w:spacing w:before="40" w:after="40"/>
              <w:rPr>
                <w:rFonts w:ascii="Arial" w:hAnsi="Arial" w:cs="Arial"/>
                <w:color w:val="auto"/>
                <w:sz w:val="18"/>
                <w:szCs w:val="18"/>
              </w:rPr>
            </w:pPr>
            <w:r>
              <w:rPr>
                <w:rFonts w:ascii="Arial" w:hAnsi="Arial" w:cs="Arial"/>
                <w:color w:val="auto"/>
                <w:sz w:val="18"/>
                <w:szCs w:val="18"/>
              </w:rPr>
              <w:t xml:space="preserve">Data is available under: </w:t>
            </w:r>
            <w:r w:rsidRPr="006E44A2">
              <w:rPr>
                <w:rFonts w:ascii="Arial" w:hAnsi="Arial" w:cs="Arial"/>
                <w:color w:val="auto"/>
                <w:sz w:val="18"/>
                <w:szCs w:val="18"/>
              </w:rPr>
              <w:t>https://doi.org/10.11588/data/P9JEPG</w:t>
            </w:r>
          </w:p>
        </w:tc>
      </w:tr>
    </w:tbl>
    <w:p w14:paraId="5D96D276" w14:textId="77777777" w:rsidR="00DE4D9A" w:rsidRPr="004C1685" w:rsidRDefault="00DE4D9A" w:rsidP="00DE4D9A">
      <w:pPr>
        <w:pStyle w:val="Default"/>
        <w:rPr>
          <w:rFonts w:ascii="Arial" w:hAnsi="Arial" w:cs="Arial"/>
          <w:color w:val="auto"/>
        </w:rPr>
      </w:pPr>
    </w:p>
    <w:p w14:paraId="7E14F34C" w14:textId="77777777" w:rsidR="00DE4D9A" w:rsidRPr="00363B8D" w:rsidRDefault="00DE4D9A" w:rsidP="00DE4D9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04C6A32C" w14:textId="77777777" w:rsidR="00DE4D9A" w:rsidRDefault="00DE4D9A" w:rsidP="00DE4D9A">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lastRenderedPageBreak/>
        <w:t>For more information, visit:</w:t>
      </w:r>
      <w:r w:rsidRPr="00363B8D">
        <w:rPr>
          <w:rFonts w:ascii="Arial" w:hAnsi="Arial" w:cs="Arial"/>
          <w:color w:val="000000"/>
          <w:sz w:val="18"/>
          <w:szCs w:val="18"/>
          <w:lang w:val="da-DK"/>
        </w:rPr>
        <w:t xml:space="preserve"> </w:t>
      </w:r>
      <w:hyperlink r:id="rId11"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536E8C80" w14:textId="77777777" w:rsidR="00DE4D9A" w:rsidRDefault="00DE4D9A" w:rsidP="00DE4D9A">
      <w:pPr>
        <w:pStyle w:val="Default"/>
        <w:rPr>
          <w:lang w:val="da-DK"/>
        </w:rPr>
      </w:pPr>
    </w:p>
    <w:p w14:paraId="5310E935" w14:textId="77777777" w:rsidR="00DE4D9A" w:rsidRDefault="00DE4D9A" w:rsidP="00DE4D9A">
      <w:pPr>
        <w:pStyle w:val="Default"/>
        <w:rPr>
          <w:b/>
          <w:bCs/>
          <w:lang w:val="da-DK"/>
        </w:rPr>
      </w:pPr>
      <w:r>
        <w:rPr>
          <w:lang w:val="da-DK"/>
        </w:rPr>
        <w:br w:type="page"/>
      </w:r>
      <w:proofErr w:type="spellStart"/>
      <w:r w:rsidRPr="00D34CFE">
        <w:rPr>
          <w:b/>
          <w:bCs/>
          <w:lang w:val="da-DK"/>
        </w:rPr>
        <w:lastRenderedPageBreak/>
        <w:t>Prisma</w:t>
      </w:r>
      <w:proofErr w:type="spellEnd"/>
      <w:r w:rsidRPr="00D34CFE">
        <w:rPr>
          <w:b/>
          <w:bCs/>
          <w:lang w:val="da-DK"/>
        </w:rPr>
        <w:t xml:space="preserve"> 2020 for Abstracts Checklist</w:t>
      </w:r>
    </w:p>
    <w:p w14:paraId="4ACF86DF" w14:textId="77777777" w:rsidR="00DE4D9A" w:rsidRPr="00D34CFE" w:rsidRDefault="00DE4D9A" w:rsidP="00DE4D9A">
      <w:pPr>
        <w:pStyle w:val="Default"/>
        <w:rPr>
          <w:b/>
          <w:bCs/>
          <w:lang w:val="da-DK"/>
        </w:rPr>
      </w:pP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DE4D9A" w:rsidRPr="006637FF" w14:paraId="3777CEC8" w14:textId="77777777" w:rsidTr="00B51D6D">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675F314" w14:textId="77777777" w:rsidR="00DE4D9A" w:rsidRPr="006637FF" w:rsidRDefault="00DE4D9A" w:rsidP="00B51D6D">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5FB067B" w14:textId="77777777" w:rsidR="00DE4D9A" w:rsidRPr="006637FF" w:rsidRDefault="00DE4D9A" w:rsidP="00B51D6D">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3469B6" w14:textId="77777777" w:rsidR="00DE4D9A" w:rsidRPr="006637FF" w:rsidRDefault="00DE4D9A" w:rsidP="00B51D6D">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C83A77" w14:textId="77777777" w:rsidR="00DE4D9A" w:rsidRPr="006637FF" w:rsidRDefault="00DE4D9A" w:rsidP="00B51D6D">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DE4D9A" w:rsidRPr="006637FF" w14:paraId="4FBD660F"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44A98C"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292000" w14:textId="77777777" w:rsidR="00DE4D9A" w:rsidRPr="006637FF" w:rsidRDefault="00DE4D9A" w:rsidP="00B51D6D">
            <w:pPr>
              <w:pStyle w:val="Default"/>
              <w:jc w:val="right"/>
              <w:rPr>
                <w:rFonts w:ascii="Arial" w:hAnsi="Arial" w:cs="Arial"/>
                <w:color w:val="auto"/>
                <w:sz w:val="22"/>
                <w:szCs w:val="22"/>
              </w:rPr>
            </w:pPr>
          </w:p>
        </w:tc>
      </w:tr>
      <w:tr w:rsidR="00DE4D9A" w:rsidRPr="006637FF" w14:paraId="12ECA5C0" w14:textId="77777777" w:rsidTr="00B51D6D">
        <w:trPr>
          <w:trHeight w:val="48"/>
        </w:trPr>
        <w:tc>
          <w:tcPr>
            <w:tcW w:w="2518" w:type="dxa"/>
            <w:tcBorders>
              <w:top w:val="single" w:sz="5" w:space="0" w:color="000000"/>
              <w:left w:val="single" w:sz="5" w:space="0" w:color="000000"/>
              <w:bottom w:val="double" w:sz="2" w:space="0" w:color="FFFFCC"/>
              <w:right w:val="single" w:sz="5" w:space="0" w:color="000000"/>
            </w:tcBorders>
          </w:tcPr>
          <w:p w14:paraId="300120EC"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3658BE8C"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0592DF46"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E8C2ECF"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1480A5CC"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9F759E"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6FF116" w14:textId="77777777" w:rsidR="00DE4D9A" w:rsidRPr="006637FF" w:rsidRDefault="00DE4D9A" w:rsidP="00B51D6D">
            <w:pPr>
              <w:pStyle w:val="Default"/>
              <w:jc w:val="right"/>
              <w:rPr>
                <w:rFonts w:ascii="Arial" w:hAnsi="Arial" w:cs="Arial"/>
                <w:color w:val="auto"/>
                <w:sz w:val="22"/>
                <w:szCs w:val="22"/>
              </w:rPr>
            </w:pPr>
          </w:p>
        </w:tc>
      </w:tr>
      <w:tr w:rsidR="00DE4D9A" w:rsidRPr="006637FF" w14:paraId="481A768D" w14:textId="77777777" w:rsidTr="00B51D6D">
        <w:trPr>
          <w:trHeight w:val="48"/>
        </w:trPr>
        <w:tc>
          <w:tcPr>
            <w:tcW w:w="2518" w:type="dxa"/>
            <w:tcBorders>
              <w:top w:val="single" w:sz="5" w:space="0" w:color="000000"/>
              <w:left w:val="single" w:sz="5" w:space="0" w:color="000000"/>
              <w:bottom w:val="double" w:sz="2" w:space="0" w:color="FFFFCC"/>
              <w:right w:val="single" w:sz="5" w:space="0" w:color="000000"/>
            </w:tcBorders>
          </w:tcPr>
          <w:p w14:paraId="26653D8E"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14F73E24"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6C179E7A"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1279F63"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551413C3"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42D40B"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CD7527" w14:textId="77777777" w:rsidR="00DE4D9A" w:rsidRPr="006637FF" w:rsidRDefault="00DE4D9A" w:rsidP="00B51D6D">
            <w:pPr>
              <w:pStyle w:val="Default"/>
              <w:jc w:val="right"/>
              <w:rPr>
                <w:rFonts w:ascii="Arial" w:hAnsi="Arial" w:cs="Arial"/>
                <w:color w:val="auto"/>
                <w:sz w:val="22"/>
                <w:szCs w:val="22"/>
              </w:rPr>
            </w:pPr>
          </w:p>
        </w:tc>
      </w:tr>
      <w:tr w:rsidR="00DE4D9A" w:rsidRPr="006637FF" w14:paraId="354DA9DF" w14:textId="77777777" w:rsidTr="00B51D6D">
        <w:trPr>
          <w:trHeight w:val="48"/>
        </w:trPr>
        <w:tc>
          <w:tcPr>
            <w:tcW w:w="2518" w:type="dxa"/>
            <w:tcBorders>
              <w:top w:val="single" w:sz="5" w:space="0" w:color="000000"/>
              <w:left w:val="single" w:sz="5" w:space="0" w:color="000000"/>
              <w:bottom w:val="single" w:sz="5" w:space="0" w:color="000000"/>
              <w:right w:val="single" w:sz="5" w:space="0" w:color="000000"/>
            </w:tcBorders>
          </w:tcPr>
          <w:p w14:paraId="7E46FB53"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0424970B"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0AC32617"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7B98F075" w14:textId="77777777" w:rsidR="00DE4D9A" w:rsidRPr="006637FF" w:rsidRDefault="00DE4D9A" w:rsidP="00B51D6D">
            <w:pPr>
              <w:pStyle w:val="Default"/>
              <w:spacing w:before="40" w:after="40"/>
              <w:rPr>
                <w:rFonts w:ascii="Arial" w:hAnsi="Arial" w:cs="Arial"/>
                <w:color w:val="auto"/>
                <w:sz w:val="22"/>
                <w:szCs w:val="22"/>
              </w:rPr>
            </w:pPr>
            <w:r w:rsidRPr="002C5430">
              <w:rPr>
                <w:rFonts w:ascii="Arial" w:hAnsi="Arial" w:cs="Arial"/>
                <w:color w:val="auto"/>
                <w:sz w:val="22"/>
                <w:szCs w:val="22"/>
              </w:rPr>
              <w:t>No</w:t>
            </w:r>
          </w:p>
        </w:tc>
      </w:tr>
      <w:tr w:rsidR="00DE4D9A" w:rsidRPr="006637FF" w14:paraId="5183F877" w14:textId="77777777" w:rsidTr="00B51D6D">
        <w:trPr>
          <w:trHeight w:val="191"/>
        </w:trPr>
        <w:tc>
          <w:tcPr>
            <w:tcW w:w="2518" w:type="dxa"/>
            <w:tcBorders>
              <w:top w:val="single" w:sz="5" w:space="0" w:color="000000"/>
              <w:left w:val="single" w:sz="5" w:space="0" w:color="000000"/>
              <w:bottom w:val="single" w:sz="5" w:space="0" w:color="000000"/>
              <w:right w:val="single" w:sz="5" w:space="0" w:color="000000"/>
            </w:tcBorders>
          </w:tcPr>
          <w:p w14:paraId="7F7AA31B"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1ED02D82"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336EA0E1"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361EAA9C"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07A9113" w14:textId="77777777" w:rsidTr="00B51D6D">
        <w:trPr>
          <w:trHeight w:val="48"/>
        </w:trPr>
        <w:tc>
          <w:tcPr>
            <w:tcW w:w="2518" w:type="dxa"/>
            <w:tcBorders>
              <w:top w:val="single" w:sz="5" w:space="0" w:color="000000"/>
              <w:left w:val="single" w:sz="5" w:space="0" w:color="000000"/>
              <w:bottom w:val="single" w:sz="5" w:space="0" w:color="000000"/>
              <w:right w:val="single" w:sz="5" w:space="0" w:color="000000"/>
            </w:tcBorders>
          </w:tcPr>
          <w:p w14:paraId="4EDFC63F"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79C530A1"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1CE79736"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7BA0BCDE"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5D49E48" w14:textId="77777777" w:rsidTr="00B51D6D">
        <w:trPr>
          <w:trHeight w:val="48"/>
        </w:trPr>
        <w:tc>
          <w:tcPr>
            <w:tcW w:w="2518" w:type="dxa"/>
            <w:tcBorders>
              <w:top w:val="single" w:sz="5" w:space="0" w:color="000000"/>
              <w:left w:val="single" w:sz="5" w:space="0" w:color="000000"/>
              <w:bottom w:val="single" w:sz="5" w:space="0" w:color="000000"/>
              <w:right w:val="single" w:sz="5" w:space="0" w:color="000000"/>
            </w:tcBorders>
          </w:tcPr>
          <w:p w14:paraId="591C6CA1"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32803774"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7BDC243F"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7676D30"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2657D8C4"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C913D0"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09DC5E" w14:textId="77777777" w:rsidR="00DE4D9A" w:rsidRPr="006637FF" w:rsidRDefault="00DE4D9A" w:rsidP="00B51D6D">
            <w:pPr>
              <w:pStyle w:val="Default"/>
              <w:jc w:val="center"/>
              <w:rPr>
                <w:rFonts w:ascii="Arial" w:hAnsi="Arial" w:cs="Arial"/>
                <w:color w:val="auto"/>
                <w:sz w:val="22"/>
                <w:szCs w:val="22"/>
              </w:rPr>
            </w:pPr>
          </w:p>
        </w:tc>
      </w:tr>
      <w:tr w:rsidR="00DE4D9A" w:rsidRPr="006637FF" w14:paraId="7C092D3F" w14:textId="77777777" w:rsidTr="00B51D6D">
        <w:trPr>
          <w:trHeight w:val="103"/>
        </w:trPr>
        <w:tc>
          <w:tcPr>
            <w:tcW w:w="2518" w:type="dxa"/>
            <w:tcBorders>
              <w:top w:val="single" w:sz="5" w:space="0" w:color="000000"/>
              <w:left w:val="single" w:sz="5" w:space="0" w:color="000000"/>
              <w:bottom w:val="single" w:sz="5" w:space="0" w:color="000000"/>
              <w:right w:val="single" w:sz="5" w:space="0" w:color="000000"/>
            </w:tcBorders>
          </w:tcPr>
          <w:p w14:paraId="1323B025"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5B294638"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5977B6D2"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60AD8661"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6AE59BF" w14:textId="77777777" w:rsidTr="00B51D6D">
        <w:trPr>
          <w:trHeight w:val="48"/>
        </w:trPr>
        <w:tc>
          <w:tcPr>
            <w:tcW w:w="2518" w:type="dxa"/>
            <w:tcBorders>
              <w:top w:val="single" w:sz="5" w:space="0" w:color="000000"/>
              <w:left w:val="single" w:sz="5" w:space="0" w:color="000000"/>
              <w:bottom w:val="single" w:sz="5" w:space="0" w:color="000000"/>
              <w:right w:val="single" w:sz="5" w:space="0" w:color="000000"/>
            </w:tcBorders>
          </w:tcPr>
          <w:p w14:paraId="0719CD51"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03E6409F"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3349BCF9"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2EE3728D"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30B6664C"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B5DC03"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C640F2" w14:textId="77777777" w:rsidR="00DE4D9A" w:rsidRPr="006637FF" w:rsidRDefault="00DE4D9A" w:rsidP="00B51D6D">
            <w:pPr>
              <w:pStyle w:val="Default"/>
              <w:jc w:val="center"/>
              <w:rPr>
                <w:rFonts w:ascii="Arial" w:hAnsi="Arial" w:cs="Arial"/>
                <w:color w:val="auto"/>
                <w:sz w:val="22"/>
                <w:szCs w:val="22"/>
              </w:rPr>
            </w:pPr>
          </w:p>
        </w:tc>
      </w:tr>
      <w:tr w:rsidR="00DE4D9A" w:rsidRPr="006637FF" w14:paraId="5AC24803" w14:textId="77777777" w:rsidTr="00B51D6D">
        <w:trPr>
          <w:trHeight w:val="48"/>
        </w:trPr>
        <w:tc>
          <w:tcPr>
            <w:tcW w:w="2518" w:type="dxa"/>
            <w:tcBorders>
              <w:top w:val="single" w:sz="4" w:space="0" w:color="auto"/>
              <w:left w:val="single" w:sz="4" w:space="0" w:color="auto"/>
              <w:bottom w:val="single" w:sz="4" w:space="0" w:color="auto"/>
              <w:right w:val="single" w:sz="4" w:space="0" w:color="auto"/>
            </w:tcBorders>
          </w:tcPr>
          <w:p w14:paraId="607F380A"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0B95CDF3"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0D0A8F7D"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 xml:space="preserve">Provide </w:t>
            </w:r>
            <w:proofErr w:type="gramStart"/>
            <w:r w:rsidRPr="006637FF">
              <w:rPr>
                <w:rFonts w:ascii="Arial" w:hAnsi="Arial" w:cs="Arial"/>
                <w:sz w:val="22"/>
                <w:szCs w:val="22"/>
              </w:rPr>
              <w:t>a brief summary</w:t>
            </w:r>
            <w:proofErr w:type="gramEnd"/>
            <w:r w:rsidRPr="006637FF">
              <w:rPr>
                <w:rFonts w:ascii="Arial" w:hAnsi="Arial" w:cs="Arial"/>
                <w:sz w:val="22"/>
                <w:szCs w:val="22"/>
              </w:rPr>
              <w:t xml:space="preserve">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692F6854"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08E394B3" w14:textId="77777777" w:rsidTr="00B51D6D">
        <w:trPr>
          <w:trHeight w:val="48"/>
        </w:trPr>
        <w:tc>
          <w:tcPr>
            <w:tcW w:w="2518" w:type="dxa"/>
            <w:tcBorders>
              <w:top w:val="single" w:sz="4" w:space="0" w:color="auto"/>
              <w:left w:val="single" w:sz="4" w:space="0" w:color="auto"/>
              <w:bottom w:val="single" w:sz="4" w:space="0" w:color="auto"/>
              <w:right w:val="single" w:sz="4" w:space="0" w:color="auto"/>
            </w:tcBorders>
          </w:tcPr>
          <w:p w14:paraId="6A5191B3"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564F6E78"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404DE7C2"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07C0C21D"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2379966" w14:textId="77777777" w:rsidTr="00B51D6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CC596B" w14:textId="77777777" w:rsidR="00DE4D9A" w:rsidRPr="006637FF" w:rsidRDefault="00DE4D9A" w:rsidP="00B51D6D">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38F0ECD" w14:textId="77777777" w:rsidR="00DE4D9A" w:rsidRPr="006637FF" w:rsidRDefault="00DE4D9A" w:rsidP="00B51D6D">
            <w:pPr>
              <w:pStyle w:val="Default"/>
              <w:jc w:val="center"/>
              <w:rPr>
                <w:rFonts w:ascii="Arial" w:hAnsi="Arial" w:cs="Arial"/>
                <w:color w:val="auto"/>
                <w:sz w:val="22"/>
                <w:szCs w:val="22"/>
              </w:rPr>
            </w:pPr>
          </w:p>
        </w:tc>
      </w:tr>
      <w:tr w:rsidR="00DE4D9A" w:rsidRPr="006637FF" w14:paraId="1962648F" w14:textId="77777777" w:rsidTr="00B51D6D">
        <w:trPr>
          <w:trHeight w:val="48"/>
        </w:trPr>
        <w:tc>
          <w:tcPr>
            <w:tcW w:w="2518" w:type="dxa"/>
            <w:tcBorders>
              <w:top w:val="single" w:sz="5" w:space="0" w:color="000000"/>
              <w:left w:val="single" w:sz="5" w:space="0" w:color="000000"/>
              <w:bottom w:val="single" w:sz="5" w:space="0" w:color="000000"/>
              <w:right w:val="single" w:sz="5" w:space="0" w:color="000000"/>
            </w:tcBorders>
          </w:tcPr>
          <w:p w14:paraId="0A04D079"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5BE7371"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265FACD0"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F757DA8"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No</w:t>
            </w:r>
          </w:p>
        </w:tc>
      </w:tr>
      <w:tr w:rsidR="00DE4D9A" w:rsidRPr="006637FF" w14:paraId="7872A782" w14:textId="77777777" w:rsidTr="00B51D6D">
        <w:trPr>
          <w:trHeight w:val="219"/>
        </w:trPr>
        <w:tc>
          <w:tcPr>
            <w:tcW w:w="2518" w:type="dxa"/>
            <w:tcBorders>
              <w:top w:val="single" w:sz="5" w:space="0" w:color="000000"/>
              <w:left w:val="single" w:sz="5" w:space="0" w:color="000000"/>
              <w:bottom w:val="double" w:sz="5" w:space="0" w:color="000000"/>
              <w:right w:val="single" w:sz="5" w:space="0" w:color="000000"/>
            </w:tcBorders>
          </w:tcPr>
          <w:p w14:paraId="6EB88336"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378E9079" w14:textId="77777777" w:rsidR="00DE4D9A" w:rsidRPr="006637FF" w:rsidRDefault="00DE4D9A" w:rsidP="00B51D6D">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7349547C" w14:textId="77777777" w:rsidR="00DE4D9A" w:rsidRPr="006637FF" w:rsidRDefault="00DE4D9A" w:rsidP="00B51D6D">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5F3B13C7" w14:textId="77777777" w:rsidR="00DE4D9A" w:rsidRPr="006637FF" w:rsidRDefault="00DE4D9A" w:rsidP="00B51D6D">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61912DD8" w14:textId="77777777" w:rsidR="00DE4D9A" w:rsidRPr="004C1685" w:rsidRDefault="00DE4D9A" w:rsidP="00DE4D9A">
      <w:pPr>
        <w:pStyle w:val="Default"/>
        <w:rPr>
          <w:rFonts w:ascii="Arial" w:hAnsi="Arial" w:cs="Arial"/>
          <w:color w:val="auto"/>
        </w:rPr>
      </w:pPr>
    </w:p>
    <w:p w14:paraId="1998AEFB" w14:textId="77777777" w:rsidR="00DE4D9A" w:rsidRDefault="00DE4D9A" w:rsidP="00DE4D9A">
      <w:pPr>
        <w:pStyle w:val="Default"/>
        <w:spacing w:line="183" w:lineRule="atLeast"/>
        <w:jc w:val="both"/>
        <w:rPr>
          <w:rFonts w:ascii="Arial" w:hAnsi="Arial" w:cs="Arial"/>
          <w:i/>
          <w:iCs/>
          <w:color w:val="auto"/>
          <w:sz w:val="20"/>
          <w:szCs w:val="20"/>
        </w:rPr>
      </w:pPr>
    </w:p>
    <w:p w14:paraId="117DA229" w14:textId="77777777" w:rsidR="00DE4D9A" w:rsidRDefault="00DE4D9A" w:rsidP="00DE4D9A">
      <w:pPr>
        <w:pStyle w:val="Default"/>
        <w:spacing w:line="183" w:lineRule="atLeast"/>
        <w:jc w:val="both"/>
        <w:rPr>
          <w:rFonts w:ascii="Arial" w:hAnsi="Arial" w:cs="Arial"/>
          <w:i/>
          <w:iCs/>
          <w:color w:val="auto"/>
          <w:sz w:val="20"/>
          <w:szCs w:val="20"/>
        </w:rPr>
      </w:pPr>
    </w:p>
    <w:p w14:paraId="1BC2C39B" w14:textId="77777777" w:rsidR="00DE4D9A" w:rsidRPr="008F6C95" w:rsidRDefault="00DE4D9A" w:rsidP="00DE4D9A">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w:t>
      </w:r>
      <w:proofErr w:type="spellStart"/>
      <w:r w:rsidRPr="008F6C95">
        <w:rPr>
          <w:rFonts w:ascii="Arial" w:hAnsi="Arial" w:cs="Arial"/>
          <w:color w:val="auto"/>
          <w:sz w:val="20"/>
          <w:szCs w:val="20"/>
        </w:rPr>
        <w:t>Bossuyt</w:t>
      </w:r>
      <w:proofErr w:type="spellEnd"/>
      <w:r w:rsidRPr="008F6C95">
        <w:rPr>
          <w:rFonts w:ascii="Arial" w:hAnsi="Arial" w:cs="Arial"/>
          <w:color w:val="auto"/>
          <w:sz w:val="20"/>
          <w:szCs w:val="20"/>
        </w:rPr>
        <w:t xml:space="preserve">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w:t>
      </w:r>
      <w:r w:rsidRPr="008F6C95">
        <w:rPr>
          <w:rFonts w:ascii="Arial" w:hAnsi="Arial" w:cs="Arial"/>
          <w:color w:val="auto"/>
          <w:sz w:val="20"/>
          <w:szCs w:val="20"/>
        </w:rPr>
        <w:lastRenderedPageBreak/>
        <w:t>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p>
    <w:p w14:paraId="19D6DA71" w14:textId="77777777" w:rsidR="00DE4D9A" w:rsidRDefault="00DE4D9A" w:rsidP="00DE4D9A">
      <w:pPr>
        <w:pStyle w:val="CM1"/>
        <w:spacing w:after="130"/>
        <w:jc w:val="center"/>
        <w:rPr>
          <w:rFonts w:ascii="Arial" w:hAnsi="Arial" w:cs="Arial"/>
          <w:color w:val="333399"/>
          <w:sz w:val="20"/>
          <w:szCs w:val="20"/>
        </w:rPr>
      </w:pPr>
    </w:p>
    <w:p w14:paraId="6286DF50" w14:textId="77777777" w:rsidR="00DE4D9A" w:rsidRPr="008F6C95" w:rsidRDefault="00DE4D9A" w:rsidP="00DE4D9A">
      <w:pPr>
        <w:pStyle w:val="CM1"/>
        <w:spacing w:after="130"/>
        <w:jc w:val="center"/>
        <w:rPr>
          <w:rFonts w:ascii="Arial" w:hAnsi="Arial" w:cs="Arial"/>
          <w:sz w:val="20"/>
          <w:szCs w:val="20"/>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12" w:history="1">
        <w:r w:rsidRPr="00721B8F">
          <w:rPr>
            <w:rStyle w:val="Hyperlink"/>
            <w:rFonts w:ascii="Arial" w:hAnsi="Arial" w:cs="Arial"/>
            <w:lang w:val="da-DK"/>
          </w:rPr>
          <w:t>http://www.prisma-statement.org/</w:t>
        </w:r>
      </w:hyperlink>
    </w:p>
    <w:p w14:paraId="6B31FE17" w14:textId="77777777" w:rsidR="00DE4D9A" w:rsidRPr="00D34CFE" w:rsidRDefault="00DE4D9A" w:rsidP="00DE4D9A">
      <w:pPr>
        <w:pStyle w:val="Default"/>
      </w:pPr>
    </w:p>
    <w:p w14:paraId="6F17EAD5" w14:textId="77777777" w:rsidR="00DE4D9A" w:rsidRPr="00DE4D9A" w:rsidRDefault="00DE4D9A" w:rsidP="00DE4D9A">
      <w:pPr>
        <w:rPr>
          <w:lang w:val="en-US"/>
        </w:rPr>
      </w:pPr>
    </w:p>
    <w:p w14:paraId="5215B714" w14:textId="77777777" w:rsidR="00DE4D9A" w:rsidRDefault="00DE4D9A">
      <w:pPr>
        <w:rPr>
          <w:lang w:val="en-US"/>
        </w:rPr>
        <w:sectPr w:rsidR="00DE4D9A" w:rsidSect="00F151D4">
          <w:pgSz w:w="16840" w:h="11900" w:orient="landscape"/>
          <w:pgMar w:top="1417" w:right="1134" w:bottom="1417" w:left="1417" w:header="708" w:footer="708" w:gutter="0"/>
          <w:cols w:space="708"/>
          <w:docGrid w:linePitch="360"/>
        </w:sectPr>
      </w:pPr>
      <w:r>
        <w:rPr>
          <w:lang w:val="en-US"/>
        </w:rPr>
        <w:br w:type="page"/>
      </w:r>
    </w:p>
    <w:p w14:paraId="7943A299" w14:textId="77777777" w:rsidR="00DE4D9A" w:rsidRDefault="00DE4D9A">
      <w:pPr>
        <w:rPr>
          <w:rFonts w:asciiTheme="majorHAnsi" w:eastAsiaTheme="majorEastAsia" w:hAnsiTheme="majorHAnsi" w:cstheme="majorBidi"/>
          <w:color w:val="2F5496" w:themeColor="accent1" w:themeShade="BF"/>
          <w:sz w:val="32"/>
          <w:szCs w:val="32"/>
          <w:lang w:val="en-US"/>
        </w:rPr>
      </w:pPr>
    </w:p>
    <w:p w14:paraId="5508588D" w14:textId="592EF396" w:rsidR="00DE4D9A" w:rsidRDefault="00DE4D9A" w:rsidP="00DE4D9A">
      <w:pPr>
        <w:pStyle w:val="Heading1"/>
        <w:rPr>
          <w:lang w:val="en-US"/>
        </w:rPr>
      </w:pPr>
      <w:bookmarkStart w:id="1" w:name="_Toc152845898"/>
      <w:r>
        <w:rPr>
          <w:lang w:val="en-US"/>
        </w:rPr>
        <w:t>Supplement Text 1 – Study Protocol</w:t>
      </w:r>
      <w:bookmarkEnd w:id="1"/>
    </w:p>
    <w:p w14:paraId="7FC19A16" w14:textId="77777777" w:rsidR="00DE4D9A" w:rsidRPr="00DE4D9A" w:rsidRDefault="00DE4D9A" w:rsidP="00DE4D9A">
      <w:pPr>
        <w:rPr>
          <w:lang w:val="en-US"/>
        </w:rPr>
      </w:pPr>
    </w:p>
    <w:p w14:paraId="1135BB7C" w14:textId="6E768CE6" w:rsidR="000742B9" w:rsidRPr="0053310D" w:rsidRDefault="00675EE7" w:rsidP="0053310D">
      <w:pPr>
        <w:spacing w:line="276" w:lineRule="auto"/>
        <w:rPr>
          <w:lang w:val="en-US"/>
        </w:rPr>
      </w:pPr>
      <w:r w:rsidRPr="0053310D">
        <w:rPr>
          <w:lang w:val="en-US"/>
        </w:rPr>
        <w:t>1. TITLE</w:t>
      </w:r>
    </w:p>
    <w:p w14:paraId="3BAB39B6" w14:textId="32D1C8AB" w:rsidR="00675EE7" w:rsidRPr="0053310D" w:rsidRDefault="00675EE7" w:rsidP="0053310D">
      <w:pPr>
        <w:spacing w:line="276" w:lineRule="auto"/>
        <w:rPr>
          <w:lang w:val="en-US"/>
        </w:rPr>
      </w:pPr>
    </w:p>
    <w:p w14:paraId="350C21E3" w14:textId="661A2038" w:rsidR="00675EE7" w:rsidRPr="0053310D" w:rsidRDefault="00675EE7" w:rsidP="003377EE">
      <w:pPr>
        <w:spacing w:line="276" w:lineRule="auto"/>
        <w:jc w:val="both"/>
        <w:rPr>
          <w:lang w:val="en-US"/>
        </w:rPr>
      </w:pPr>
      <w:r w:rsidRPr="0053310D">
        <w:rPr>
          <w:lang w:val="en-US"/>
        </w:rPr>
        <w:t xml:space="preserve">Feasibility and accuracy of </w:t>
      </w:r>
      <w:r w:rsidR="00871587">
        <w:rPr>
          <w:lang w:val="en-US"/>
        </w:rPr>
        <w:t>self-tested</w:t>
      </w:r>
      <w:r w:rsidRPr="0053310D">
        <w:rPr>
          <w:lang w:val="en-US"/>
        </w:rPr>
        <w:t xml:space="preserve"> antigen rapid diagnostic tests against SARS-CoV-2: a systematic review and meta-analysis</w:t>
      </w:r>
    </w:p>
    <w:p w14:paraId="7BA21935" w14:textId="14ADF347" w:rsidR="00675EE7" w:rsidRPr="0053310D" w:rsidRDefault="00675EE7" w:rsidP="003377EE">
      <w:pPr>
        <w:spacing w:line="276" w:lineRule="auto"/>
        <w:jc w:val="both"/>
        <w:rPr>
          <w:lang w:val="en-US"/>
        </w:rPr>
      </w:pPr>
    </w:p>
    <w:p w14:paraId="6C0EA00F" w14:textId="46C3A02A" w:rsidR="00675EE7" w:rsidRDefault="00675EE7" w:rsidP="003377EE">
      <w:pPr>
        <w:spacing w:line="276" w:lineRule="auto"/>
        <w:jc w:val="both"/>
        <w:rPr>
          <w:lang w:val="en-US"/>
        </w:rPr>
      </w:pPr>
      <w:r w:rsidRPr="0053310D">
        <w:rPr>
          <w:lang w:val="en-US"/>
        </w:rPr>
        <w:t>2. BACKGROUND AND RATIONALE</w:t>
      </w:r>
    </w:p>
    <w:p w14:paraId="59E43C7B" w14:textId="77777777" w:rsidR="003C3196" w:rsidRPr="0053310D" w:rsidRDefault="003C3196" w:rsidP="003377EE">
      <w:pPr>
        <w:spacing w:line="276" w:lineRule="auto"/>
        <w:jc w:val="both"/>
        <w:rPr>
          <w:lang w:val="en-US"/>
        </w:rPr>
      </w:pPr>
    </w:p>
    <w:p w14:paraId="32BFE838" w14:textId="5951DF1A" w:rsidR="00675EE7" w:rsidRPr="009E0C6C" w:rsidRDefault="00675EE7" w:rsidP="003377EE">
      <w:pPr>
        <w:spacing w:line="276" w:lineRule="auto"/>
        <w:jc w:val="both"/>
        <w:rPr>
          <w:lang w:val="en-US"/>
        </w:rPr>
      </w:pPr>
      <w:r w:rsidRPr="0053310D">
        <w:rPr>
          <w:lang w:val="en-US"/>
        </w:rPr>
        <w:t>Point of care (POC) antigen tests have been proven to be a valuable tool in the fight against COVID-19</w:t>
      </w:r>
      <w:r w:rsidR="00D16D9B">
        <w:rPr>
          <w:lang w:val="en-US"/>
        </w:rPr>
        <w:fldChar w:fldCharType="begin" w:fldLock="1"/>
      </w:r>
      <w:r w:rsidR="00D16D9B">
        <w:rPr>
          <w:lang w:val="en-US"/>
        </w:rPr>
        <w:instrText>ADDIN CSL_CITATION {"citationItems":[{"id":"ITEM-1","itemData":{"author":[{"dropping-particle":"","family":"World Health Organisation","given":"","non-dropping-particle":"","parse-names":false,"suffix":""}],"container-title":"World Health Organization","id":"ITEM-1","issue":"September","issued":{"date-parts":[["2020"]]},"page":"1-9","title":"Antigen-detection in the diagnosis of SARS-CoV-2 infection using rapid immunoassays Interim guidance, 11 September 2020.","type":"article-journal"},"uris":["http://www.mendeley.com/documents/?uuid=97e49544-9768-407c-be4d-f76daed10368"]}],"mendeley":{"formattedCitation":"&lt;sup&gt;1&lt;/sup&gt;","plainTextFormattedCitation":"1","previouslyFormattedCitation":"&lt;sup&gt;1&lt;/sup&gt;"},"properties":{"noteIndex":0},"schema":"https://github.com/citation-style-language/schema/raw/master/csl-citation.json"}</w:instrText>
      </w:r>
      <w:r w:rsidR="00D16D9B">
        <w:rPr>
          <w:lang w:val="en-US"/>
        </w:rPr>
        <w:fldChar w:fldCharType="separate"/>
      </w:r>
      <w:r w:rsidR="00D16D9B" w:rsidRPr="00D16D9B">
        <w:rPr>
          <w:noProof/>
          <w:vertAlign w:val="superscript"/>
          <w:lang w:val="en-US"/>
        </w:rPr>
        <w:t>1</w:t>
      </w:r>
      <w:r w:rsidR="00D16D9B">
        <w:rPr>
          <w:lang w:val="en-US"/>
        </w:rPr>
        <w:fldChar w:fldCharType="end"/>
      </w:r>
      <w:r w:rsidRPr="0053310D">
        <w:rPr>
          <w:lang w:val="en-US"/>
        </w:rPr>
        <w:t xml:space="preserve">. Such tests are widely used for screening as well as monitoring and diagnostic purposes. </w:t>
      </w:r>
      <w:r w:rsidRPr="00CC5CCC">
        <w:rPr>
          <w:lang w:val="en-US"/>
        </w:rPr>
        <w:t>Wit</w:t>
      </w:r>
      <w:r w:rsidR="00A72340">
        <w:rPr>
          <w:lang w:val="en-US"/>
        </w:rPr>
        <w:t xml:space="preserve">hin </w:t>
      </w:r>
      <w:r w:rsidR="007D1DC0">
        <w:rPr>
          <w:lang w:val="en-US"/>
        </w:rPr>
        <w:t xml:space="preserve">up to </w:t>
      </w:r>
      <w:r w:rsidR="00A72340">
        <w:rPr>
          <w:lang w:val="en-US"/>
        </w:rPr>
        <w:t>half an hour</w:t>
      </w:r>
      <w:r w:rsidR="00CC5CCC">
        <w:rPr>
          <w:lang w:val="en-US"/>
        </w:rPr>
        <w:t>, depending on the test used,</w:t>
      </w:r>
      <w:r w:rsidRPr="00CC5CCC">
        <w:rPr>
          <w:lang w:val="en-US"/>
        </w:rPr>
        <w:t xml:space="preserve"> the </w:t>
      </w:r>
      <w:r w:rsidR="007D1DC0">
        <w:rPr>
          <w:lang w:val="en-US"/>
        </w:rPr>
        <w:t>operator</w:t>
      </w:r>
      <w:r w:rsidR="007D1DC0" w:rsidRPr="00CC5CCC">
        <w:rPr>
          <w:lang w:val="en-US"/>
        </w:rPr>
        <w:t xml:space="preserve"> </w:t>
      </w:r>
      <w:r w:rsidR="00CC5CCC" w:rsidRPr="00CC5CCC">
        <w:rPr>
          <w:lang w:val="en-US"/>
        </w:rPr>
        <w:t>receives the test result</w:t>
      </w:r>
      <w:r w:rsidRPr="00CC5CCC">
        <w:rPr>
          <w:lang w:val="en-US"/>
        </w:rPr>
        <w:t>.</w:t>
      </w:r>
      <w:r w:rsidR="009E0C6C">
        <w:rPr>
          <w:lang w:val="en-US"/>
        </w:rPr>
        <w:t xml:space="preserve"> </w:t>
      </w:r>
      <w:r w:rsidR="00026085">
        <w:rPr>
          <w:lang w:val="en-US"/>
        </w:rPr>
        <w:t>In comparison, results</w:t>
      </w:r>
      <w:r w:rsidR="009E0C6C">
        <w:rPr>
          <w:lang w:val="en-US"/>
        </w:rPr>
        <w:t xml:space="preserve"> from</w:t>
      </w:r>
      <w:r w:rsidR="004353A5">
        <w:rPr>
          <w:lang w:val="en-US"/>
        </w:rPr>
        <w:t xml:space="preserve"> r</w:t>
      </w:r>
      <w:r w:rsidR="009E0C6C" w:rsidRPr="009E0C6C">
        <w:rPr>
          <w:lang w:val="en-US"/>
        </w:rPr>
        <w:t>everse transcription polymerase chain reaction (RT-PCR)</w:t>
      </w:r>
      <w:r w:rsidRPr="009E0C6C">
        <w:rPr>
          <w:lang w:val="en-US"/>
        </w:rPr>
        <w:t xml:space="preserve"> </w:t>
      </w:r>
      <w:r w:rsidR="00026085">
        <w:rPr>
          <w:lang w:val="en-US"/>
        </w:rPr>
        <w:t xml:space="preserve">can take </w:t>
      </w:r>
      <w:r w:rsidR="009E0C6C" w:rsidRPr="009E0C6C">
        <w:rPr>
          <w:lang w:val="en-US"/>
        </w:rPr>
        <w:t>up to 48 hours</w:t>
      </w:r>
      <w:r w:rsidR="007D1DC0">
        <w:rPr>
          <w:lang w:val="en-US"/>
        </w:rPr>
        <w:t xml:space="preserve"> or longer. RT-</w:t>
      </w:r>
      <w:r w:rsidR="004465C2">
        <w:rPr>
          <w:lang w:val="en-US"/>
        </w:rPr>
        <w:t>PC</w:t>
      </w:r>
      <w:r w:rsidR="007D1DC0">
        <w:rPr>
          <w:lang w:val="en-US"/>
        </w:rPr>
        <w:t>R remains</w:t>
      </w:r>
      <w:r w:rsidR="009E0C6C">
        <w:rPr>
          <w:lang w:val="en-US"/>
        </w:rPr>
        <w:t xml:space="preserve"> the</w:t>
      </w:r>
      <w:r w:rsidR="00FE5153">
        <w:rPr>
          <w:lang w:val="en-US"/>
        </w:rPr>
        <w:t xml:space="preserve"> </w:t>
      </w:r>
      <w:r w:rsidR="009E0C6C">
        <w:rPr>
          <w:lang w:val="en-US"/>
        </w:rPr>
        <w:t>g</w:t>
      </w:r>
      <w:r w:rsidR="009E0C6C" w:rsidRPr="009E0C6C">
        <w:rPr>
          <w:lang w:val="en-US"/>
        </w:rPr>
        <w:t>old standard</w:t>
      </w:r>
      <w:r w:rsidR="00885124" w:rsidRPr="009E0C6C">
        <w:rPr>
          <w:lang w:val="en-US"/>
        </w:rPr>
        <w:t xml:space="preserve"> in </w:t>
      </w:r>
      <w:r w:rsidR="009E0C6C">
        <w:rPr>
          <w:lang w:val="en-US"/>
        </w:rPr>
        <w:t>diagnosing</w:t>
      </w:r>
      <w:r w:rsidR="00885124" w:rsidRPr="009E0C6C">
        <w:rPr>
          <w:lang w:val="en-US"/>
        </w:rPr>
        <w:t xml:space="preserve"> SARS-CoV-2</w:t>
      </w:r>
      <w:r w:rsidR="009E0C6C">
        <w:rPr>
          <w:lang w:val="en-US"/>
        </w:rPr>
        <w:t>.</w:t>
      </w:r>
    </w:p>
    <w:p w14:paraId="47A12BF9" w14:textId="2833C134" w:rsidR="00675EE7" w:rsidRPr="0053310D" w:rsidRDefault="00675EE7" w:rsidP="003377EE">
      <w:pPr>
        <w:spacing w:line="276" w:lineRule="auto"/>
        <w:jc w:val="both"/>
        <w:rPr>
          <w:lang w:val="en-US"/>
        </w:rPr>
      </w:pPr>
      <w:r w:rsidRPr="0053310D">
        <w:rPr>
          <w:lang w:val="en-US"/>
        </w:rPr>
        <w:t>Per</w:t>
      </w:r>
      <w:r w:rsidR="00885124" w:rsidRPr="0053310D">
        <w:rPr>
          <w:lang w:val="en-US"/>
        </w:rPr>
        <w:t xml:space="preserve">formance </w:t>
      </w:r>
      <w:r w:rsidR="007D1DC0">
        <w:rPr>
          <w:lang w:val="en-US"/>
        </w:rPr>
        <w:t xml:space="preserve">of </w:t>
      </w:r>
      <w:r w:rsidR="007D1DC0" w:rsidRPr="0053310D">
        <w:rPr>
          <w:lang w:val="en-US"/>
        </w:rPr>
        <w:t>antigen rapid diagnostic tests</w:t>
      </w:r>
      <w:r w:rsidR="007D1DC0">
        <w:rPr>
          <w:lang w:val="en-US"/>
        </w:rPr>
        <w:t xml:space="preserve"> (Ag-RDT) </w:t>
      </w:r>
      <w:r w:rsidR="00885124" w:rsidRPr="0053310D">
        <w:rPr>
          <w:lang w:val="en-US"/>
        </w:rPr>
        <w:t>varies between different manufacturers</w:t>
      </w:r>
      <w:r w:rsidR="006652D5">
        <w:rPr>
          <w:lang w:val="en-US"/>
        </w:rPr>
        <w:t>, sampling types</w:t>
      </w:r>
      <w:r w:rsidR="00885124" w:rsidRPr="0053310D">
        <w:rPr>
          <w:lang w:val="en-US"/>
        </w:rPr>
        <w:t xml:space="preserve"> and</w:t>
      </w:r>
      <w:r w:rsidR="006652D5">
        <w:rPr>
          <w:lang w:val="en-US"/>
        </w:rPr>
        <w:t xml:space="preserve"> </w:t>
      </w:r>
      <w:r w:rsidR="007D1DC0">
        <w:rPr>
          <w:lang w:val="en-US"/>
        </w:rPr>
        <w:t>viral load present</w:t>
      </w:r>
      <w:r w:rsidR="00885124" w:rsidRPr="0053310D">
        <w:rPr>
          <w:lang w:val="en-US"/>
        </w:rPr>
        <w:t xml:space="preserve">. In </w:t>
      </w:r>
      <w:r w:rsidR="004465C2">
        <w:rPr>
          <w:lang w:val="en-US"/>
        </w:rPr>
        <w:t xml:space="preserve">recent </w:t>
      </w:r>
      <w:r w:rsidR="007F651B">
        <w:rPr>
          <w:lang w:val="en-US"/>
        </w:rPr>
        <w:t>meta-analyses</w:t>
      </w:r>
      <w:r w:rsidR="00885124" w:rsidRPr="0053310D">
        <w:rPr>
          <w:lang w:val="en-US"/>
        </w:rPr>
        <w:t xml:space="preserve"> overall sensitivity was highest in patients with a Ct value </w:t>
      </w:r>
      <w:r w:rsidR="00F65153">
        <w:rPr>
          <w:lang w:val="en-US"/>
        </w:rPr>
        <w:t>≤</w:t>
      </w:r>
      <w:r w:rsidR="00885124" w:rsidRPr="0053310D">
        <w:rPr>
          <w:lang w:val="en-US"/>
        </w:rPr>
        <w:t>25 and in patients within the first week of symptoms</w:t>
      </w:r>
      <w:r w:rsidR="004465C2">
        <w:rPr>
          <w:lang w:val="en-US"/>
        </w:rPr>
        <w:fldChar w:fldCharType="begin" w:fldLock="1"/>
      </w:r>
      <w:r w:rsidR="004465C2">
        <w:rPr>
          <w:lang w:val="en-US"/>
        </w:rPr>
        <w:instrText>ADDIN CSL_CITATION {"citationItems":[{"id":"ITEM-1","itemData":{"DOI":"10.1371/journal.pmed.1003735","ISBN":"1111111111","ISSN":"15491676","PMID":"34383750","abstract":"Background SARS-CoV-2 antigen rapid diagnostic tests (Ag-RDTs) are increasingly being integrated in testing strategies around the world. Studies of the Ag-RDTs have shown variable performance. In this systematic review and meta-analysis, we assessed the clinical accuracy (sensitivity and specificity) of commercially available Ag-RDTs. Methods and findings We registered the review on PROSPERO (registration number: CRD42020225140). We systematically searched multiple databases (PubMed, Web of Science Core Collection, medRvix, bioRvix, and FIND) for publications evaluating the accuracy of Ag-RDTs for SARS-CoV-2 up until 30 April 2021. Descriptive analyses of all studies were performed, and when more than 4 studies were available, a random-effects meta-analysis was used to estimate pooled sensitivity and specificity in comparison to reverse transcription polymerase chain reaction (RT-PCR) testing. We assessed heterogeneity by subgroup analyses, and rated study quality and risk of bias using the QUADAS-2 assessment tool. From a total of 14,254 articles, we included 133 analytical and clinical studies resulting in 214 clinical accuracy datasets with 112,323 samples. Across all meta-analyzed samples, the pooled Ag- RDT sensitivity and specificity were 71.2% (95% CI 68.2% to 74.0%) and 98.9% (95% CI 98.6% to 99.1%), respectively. Sensitivity increased to 76.3% (95% CI 73.1% to 79.2%) if analysis was restricted to studies that followed the Ag-RDT manufacturers' instructions. LumiraDx showed the highest sensitivity, with 88.2% (95% CI 59.0% to 97.5%). Of instrument- free Ag-RDTs, Standard Q nasal performed best, with 80.2% sensitivity (95% CI 70.3% to 87.4%). Across all Ag-RDTs, sensitivity was markedly better on samples with lower RT-PCR cycle threshold (Ct) values, i.e., &lt;20 (96.5%, 95% CI 92.6% to 98.4%) and &lt;25 (95.8%, 95% CI 92.3% to 97.8%), in comparison to those with Ct ≥ 25 (50.7%, 95% CI 35.6% to 65.8%) and ≥30 (20.9%, 95% CI 12.5% to 32.8%). Testing in the first week from symptom onset resulted in substantially higher sensitivity (83.8%, 95% CI 76.3% to 89.2%) compared to testing after 1 week (61.5%, 95% CI 52.2% to 70.0%). The best Ag-RDT sensitivity was found with anterior nasal sampling (75.5%, 95% CI 70.4% to 79.9%), in comparison to other sample types (e.g., nasopharyngeal, 71.6%, 95% CI 68.1% to 74.9%), although CIs were overlapping. Concerns of bias were raised across all datasets, and financial support from the manufacturer was reported in 24.1%…","author":[{"dropping-particle":"","family":"Brümmer","given":"Lukas E.","non-dropping-particle":"","parse-names":false,"suffix":""},{"dropping-particle":"","family":"Katzenschlager","given":"Stephan","non-dropping-particle":"","parse-names":false,"suffix":""},{"dropping-particle":"","family":"Gaeddert","given":"Mary","non-dropping-particle":"","parse-names":false,"suffix":""},{"dropping-particle":"","family":"Erdmann","given":"Christian","non-dropping-particle":"","parse-names":false,"suffix":""},{"dropping-particle":"","family":"Schmitz","given":"Stephani","non-dropping-particle":"","parse-names":false,"suffix":""},{"dropping-particle":"","family":"Bota","given":"Marc","non-dropping-particle":"","parse-names":false,"suffix":""},{"dropping-particle":"","family":"Grilli","given":"Maurizio","non-dropping-particle":"","parse-names":false,"suffix":""},{"dropping-particle":"","family":"Larmann","given":"Jan","non-dropping-particle":"","parse-names":false,"suffix":""},{"dropping-particle":"","family":"Weigand","given":"Markus A.","non-dropping-particle":"","parse-names":false,"suffix":""},{"dropping-particle":"","family":"Pollock","given":"Nira R.","non-dropping-particle":"","parse-names":false,"suffix":""},{"dropping-particle":"","family":"Macé","given":"Aurélien","non-dropping-particle":"","parse-names":false,"suffix":""},{"dropping-particle":"","family":"Carmona","given":"Sergio","non-dropping-particle":"","parse-names":false,"suffix":""},{"dropping-particle":"","family":"Ongarello","given":"Stefano","non-dropping-particle":"","parse-names":false,"suffix":""},{"dropping-particle":"","family":"Sacks","given":"Jilian A.","non-dropping-particle":"","parse-names":false,"suffix":""},{"dropping-particle":"","family":"Denkinger","given":"Claudia M.","non-dropping-particle":"","parse-names":false,"suffix":""}],"container-title":"PLoS Medicine","id":"ITEM-1","issue":"8","issued":{"date-parts":[["2021"]]},"number-of-pages":"1-41","title":"Accuracy of novel antigen rapid diagnostics for SARS-CoV-2: A living systematic review and meta-analysis","type":"book","volume":"18"},"uris":["http://www.mendeley.com/documents/?uuid=5bff96a5-9eb6-4c26-bf33-ed59d8176daa"]},{"id":"ITEM-2","itemData":{"DOI":"10.1002/14651858.CD013705.pub2.","author":[{"dropping-particle":"","family":"Dinnes","given":"J","non-dropping-particle":"","parse-names":false,"suffix":""},{"dropping-particle":"","family":"Deeks","given":"JJ","non-dropping-particle":"","parse-names":false,"suffix":""},{"dropping-particle":"","family":"Berhane","given":"S","non-dropping-particle":"","parse-names":false,"suffix":""},{"dropping-particle":"","family":"Taylor","given":"M","non-dropping-particle":"","parse-names":false,"suffix":""},{"dropping-particle":"","family":"Adriano","given":"A","non-dropping-particle":"","parse-names":false,"suffix":""},{"dropping-particle":"","family":"Davenport","given":"C","non-dropping-particle":"","parse-names":false,"suffix":""},{"dropping-particle":"","family":"Dittrich","given":"S","non-dropping-particle":"","parse-names":false,"suffix":""},{"dropping-particle":"","family":"Emperador","given":"D","non-dropping-particle":"","parse-names":false,"suffix":""},{"dropping-particle":"","family":"Takwoingi","given":"Y","non-dropping-particle":"","parse-names":false,"suffix":""},{"dropping-particle":"","family":"Cunningham","given":"J","non-dropping-particle":"","parse-names":false,"suffix":""},{"dropping-particle":"","family":"Beese","given":"S","non-dropping-particle":"","parse-names":false,"suffix":""},{"dropping-particle":"","family":"Domen","given":"J","non-dropping-particle":"","parse-names":false,"suffix":""},{"dropping-particle":"","family":"Dretzke","given":"J","non-dropping-particle":"","parse-names":false,"suffix":""},{"dropping-particle":"","family":"Ferrante di Ruffano","given":"L","non-dropping-particle":"","parse-names":false,"suffix":""},{"dropping-particle":"","family":"Harris","given":"IM","non-dropping-particle":"","parse-names":false,"suffix":""},{"dropping-particle":"","family":"Price","given":"MJ","non-dropping-particle":"","parse-names":false,"suffix":""},{"dropping-particle":"","family":"Taylor-Phillips","given":"S","non-dropping-particle":"","parse-names":false,"suffix":""},{"dropping-particle":"","family":"Hooft","given":"L","non-dropping-particle":"","parse-names":false,"suffix":""},{"dropping-particle":"","family":"Leeflang","given":"MMG","non-dropping-particle":"","parse-names":false,"suffix":""},{"dropping-particle":"","family":"McInnes","given":"MDF","non-dropping-particle":"","parse-names":false,"suffix":""},{"dropping-particle":"","family":"Spijker","given":"R","non-dropping-particle":"","parse-names":false,"suffix":""},{"dropping-particle":"","family":"Bruel","given":"A","non-dropping-particle":"Van den","parse-names":false,"suffix":""}],"container-title":"Cochrane Database of Systematic Reviews","id":"ITEM-2","issued":{"date-parts":[["2021"]]},"title":"Rapid, point-of-care antigen and molecular-based tests for diagnosis of SARS-CoV-2 infection (Review)","type":"article-journal"},"uris":["http://www.mendeley.com/documents/?uuid=c084bee5-a626-4429-b25d-f080e1cce210"]}],"mendeley":{"formattedCitation":"&lt;sup&gt;2,3&lt;/sup&gt;","plainTextFormattedCitation":"2,3","previouslyFormattedCitation":"&lt;sup&gt;2,3&lt;/sup&gt;"},"properties":{"noteIndex":0},"schema":"https://github.com/citation-style-language/schema/raw/master/csl-citation.json"}</w:instrText>
      </w:r>
      <w:r w:rsidR="004465C2">
        <w:rPr>
          <w:lang w:val="en-US"/>
        </w:rPr>
        <w:fldChar w:fldCharType="separate"/>
      </w:r>
      <w:r w:rsidR="004465C2" w:rsidRPr="004465C2">
        <w:rPr>
          <w:noProof/>
          <w:vertAlign w:val="superscript"/>
          <w:lang w:val="en-US"/>
        </w:rPr>
        <w:t>2,3</w:t>
      </w:r>
      <w:r w:rsidR="004465C2">
        <w:rPr>
          <w:lang w:val="en-US"/>
        </w:rPr>
        <w:fldChar w:fldCharType="end"/>
      </w:r>
      <w:r w:rsidR="00885124" w:rsidRPr="0053310D">
        <w:rPr>
          <w:lang w:val="en-US"/>
        </w:rPr>
        <w:t>.</w:t>
      </w:r>
    </w:p>
    <w:p w14:paraId="194FA3CF" w14:textId="411698BD" w:rsidR="00775A1A" w:rsidRPr="0053310D" w:rsidRDefault="007D1DC0" w:rsidP="003377EE">
      <w:pPr>
        <w:spacing w:line="276" w:lineRule="auto"/>
        <w:jc w:val="both"/>
        <w:rPr>
          <w:lang w:val="en-US"/>
        </w:rPr>
      </w:pPr>
      <w:r>
        <w:rPr>
          <w:lang w:val="en-US"/>
        </w:rPr>
        <w:t xml:space="preserve">Ag-RDT are easy to </w:t>
      </w:r>
      <w:proofErr w:type="gramStart"/>
      <w:r>
        <w:rPr>
          <w:lang w:val="en-US"/>
        </w:rPr>
        <w:t>perform</w:t>
      </w:r>
      <w:proofErr w:type="gramEnd"/>
      <w:r>
        <w:rPr>
          <w:lang w:val="en-US"/>
        </w:rPr>
        <w:t xml:space="preserve"> and studies have suggested that they can be conducted by lay operators</w:t>
      </w:r>
      <w:r w:rsidR="00A36A3D">
        <w:rPr>
          <w:lang w:val="en-US"/>
        </w:rPr>
        <w:t>.</w:t>
      </w:r>
      <w:r w:rsidR="009E4E70">
        <w:rPr>
          <w:lang w:val="en-US"/>
        </w:rPr>
        <w:t xml:space="preserve"> </w:t>
      </w:r>
      <w:r w:rsidR="00507CA9">
        <w:rPr>
          <w:lang w:val="en-US"/>
        </w:rPr>
        <w:t xml:space="preserve">Errors in sampling technique are common, but overall agreement has shown promising results when both swabs were assessed </w:t>
      </w:r>
      <w:r w:rsidR="009E4E70">
        <w:rPr>
          <w:lang w:val="en-US"/>
        </w:rPr>
        <w:t xml:space="preserve">comparing </w:t>
      </w:r>
      <w:r w:rsidR="00507CA9">
        <w:rPr>
          <w:lang w:val="en-US"/>
        </w:rPr>
        <w:t>RT-PCR</w:t>
      </w:r>
      <w:r w:rsidR="004465C2">
        <w:rPr>
          <w:lang w:val="en-US"/>
        </w:rPr>
        <w:fldChar w:fldCharType="begin" w:fldLock="1"/>
      </w:r>
      <w:r w:rsidR="00772A57">
        <w:rPr>
          <w:lang w:val="en-US"/>
        </w:rPr>
        <w:instrText>ADDIN CSL_CITATION {"citationItems":[{"id":"ITEM-1","itemData":{"abstract":"Background","author":[{"dropping-particle":"","family":"Lindner","given":"Andreas K","non-dropping-particle":"","parse-names":false,"suffix":""},{"dropping-particle":"","family":"Nikolai","given":"Olga","non-dropping-particle":"","parse-names":false,"suffix":""},{"dropping-particle":"","family":"Rohardt","given":"Chiara","non-dropping-particle":"","parse-names":false,"suffix":""},{"dropping-particle":"","family":"Kausch","given":"Franka","non-dropping-particle":"","parse-names":false,"suffix":""},{"dropping-particle":"","family":"Wintel","given":"Mia","non-dropping-particle":"","parse-names":false,"suffix":""},{"dropping-particle":"","family":"Gertler","given":"Maximilian","non-dropping-particle":"","parse-names":false,"suffix":""},{"dropping-particle":"","family":"Burock","given":"Susen","non-dropping-particle":"","parse-names":false,"suffix":""},{"dropping-particle":"","family":"Hörig","given":"Merle","non-dropping-particle":"","parse-names":false,"suffix":""},{"dropping-particle":"","family":"Bernhard","given":"Julian","non-dropping-particle":"","parse-names":false,"suffix":""},{"dropping-particle":"","family":"Tobian","given":"Frank","non-dropping-particle":"","parse-names":false,"suffix":""},{"dropping-particle":"","family":"Gaeddert","given":"Mary","non-dropping-particle":"","parse-names":false,"suffix":""},{"dropping-particle":"","family":"Lainati","given":"Federica","non-dropping-particle":"","parse-names":false,"suffix":""},{"dropping-particle":"","family":"Corman","given":"Victor M","non-dropping-particle":"","parse-names":false,"suffix":""},{"dropping-particle":"","family":"Jones","given":"Terry C","non-dropping-particle":"","parse-names":false,"suffix":""},{"dropping-particle":"","family":"Sacks","given":"Jilian A","non-dropping-particle":"","parse-names":false,"suffix":""},{"dropping-particle":"","family":"Seybold","given":"Joachim","non-dropping-particle":"","parse-names":false,"suffix":""},{"dropping-particle":"","family":"Denkinger","given":"Claudia M","non-dropping-particle":"","parse-names":false,"suffix":""},{"dropping-particle":"","family":"Mockenhaupt","given":"Frank P","non-dropping-particle":"","parse-names":false,"suffix":""}],"container-title":"medRxiv","id":"ITEM-1","issued":{"date-parts":[["2021"]]},"title":"SARS-CoV-2 patient self-testing with an antigen-detecting rapid test: a head-to-head comparison with professional testing","type":"article-journal"},"uris":["http://www.mendeley.com/documents/?uuid=d93cb4da-b7e4-42bd-9114-e6be1b63b856"]},{"id":"ITEM-2","itemData":{"DOI":"10.1089/pop.2020.0296","ISSN":"19427905","PMID":"33544647","abstract":"Laboratory testing is an important component in the diagnosis of respiratory tract infections such as with severe acute respiratory syndrome coronavirus-2 (SARS-CoV-2). However, specimen collection not only risks exposure of health care workers and other patients to infection, but also necessitates use of personal protective equipment that may be in short supply during periods of heightened disease activity. Self-collection of nasal or oropharyngeal swabs offers an alternative to address these drawbacks. Although studies in the past decade have demonstrated the utility of this approach for respiratory infections, it has not been widely adopted in routine clinical practice. The rapid spread of coronavirus disease 2019 (COVID-19), caused by SARS-CoV-2, has focused attention on the need for safe, convenient, timely, and scalable methods for collecting upper respiratory specimens for testing. The goals of this article are to highlight the literature regarding self-collected nasal or oropharyngeal specimens for respiratory pathogen testing; discuss the role of self-collection in helping prevent the spread of the COVID-19 disease from infected patients and facilitating a shift toward \"virtual\"medicine or telemedicine; and describe the current and future state of self-collection for infectious agents, and the impacts these approaches can have on population health management and disease diagnosis and prevention.","author":[{"dropping-particle":"","family":"Cockerill","given":"Franklin R.","non-dropping-particle":"","parse-names":false,"suffix":""},{"dropping-particle":"","family":"Wohlgemuth","given":"Jay G.","non-dropping-particle":"","parse-names":false,"suffix":""},{"dropping-particle":"","family":"Radcliff","given":"Jeff","non-dropping-particle":"","parse-names":false,"suffix":""},{"dropping-particle":"","family":"Sabol","given":"Christine E.","non-dropping-particle":"","parse-names":false,"suffix":""},{"dropping-particle":"","family":"Kapoor","given":"Hema","non-dropping-particle":"","parse-names":false,"suffix":""},{"dropping-particle":"","family":"Dlott","given":"Jeffrey S.","non-dropping-particle":"","parse-names":false,"suffix":""},{"dropping-particle":"","family":"Marlowe","given":"Elizabeth M.","non-dropping-particle":"","parse-names":false,"suffix":""},{"dropping-particle":"","family":"Clarke","given":"Nigel J.","non-dropping-particle":"","parse-names":false,"suffix":""}],"container-title":"Population Health Management","id":"ITEM-2","issue":"S1","issued":{"date-parts":[["2021"]]},"page":"S26-S34","title":"Evolution of Specimen Self-Collection in the COVID-19 Era: Implications for Population Health Management of Infectious Disease","type":"article-journal","volume":"24"},"uris":["http://www.mendeley.com/documents/?uuid=133733f5-d6d0-4736-97e6-9baeefe4bcd4"]},{"id":"ITEM-3","itemData":{"DOI":"10.3390/diagnostics10090678","ISSN":"20754418","abstract":"The aim of this study was to compare the sensitivity of self-collected versus healthcare worker (HCW)-collected swabs for Severe Acute Respiratory Syndrome Coronavirus 2 (SARS-CoV-2) testing. Symptomatic individuals referred for SARS-CoV-2 testing were invited to provide mobile-phone video-instructed self-collected oropharyngeal and nasal samples followed by a HCW-collected oropharyngeal sample. All samples were sent for analysis to the same microbiology laboratory, and the number of SARS-CoV-2-positive participants in the two tests was compared. A total of 109 participants were included, and 19 participants had SARS-CoV-2-positive results. The diagnostic sensitivity of the self-collected and HCW-collected swabs was 84.2% and 89.5%, respectively, with an acceptable agreement, Cohens kappa 0.82, p &lt; 0.001. Further, results from a questionnaire answered by the participants found that loss of smell as a self-reported symptom was a strong predictor for a SARS-CoV-2-positive test. In conclusion, we found that self-collected oropharyngeal and nasal swabs for SARS-CoV-2 testing can be reliable compared to HCW-collected oropharyngeal samples.","author":[{"dropping-particle":"","family":"Therchilsen","given":"Johan H.","non-dropping-particle":"","parse-names":false,"suffix":""},{"dropping-particle":"","family":"Buchwald","given":"Christian","non-dropping-particle":"von","parse-names":false,"suffix":""},{"dropping-particle":"","family":"Koch","given":"Anders","non-dropping-particle":"","parse-names":false,"suffix":""},{"dropping-particle":"","family":"Nielsen","given":"Susanne Dam","non-dropping-particle":"","parse-names":false,"suffix":""},{"dropping-particle":"","family":"Rasmussen","given":"Daniel B.","non-dropping-particle":"","parse-names":false,"suffix":""},{"dropping-particle":"","family":"Thudium","given":"Rebekka Faber","non-dropping-particle":"","parse-names":false,"suffix":""},{"dropping-particle":"","family":"Kirkby","given":"Nikolai S.","non-dropping-particle":"","parse-names":false,"suffix":""},{"dropping-particle":"","family":"Raaschou-Pedersen","given":"Daniel E.T.","non-dropping-particle":"","parse-names":false,"suffix":""},{"dropping-particle":"","family":"Bundgaard","given":"Johan S.","non-dropping-particle":"","parse-names":false,"suffix":""},{"dropping-particle":"","family":"Iversen","given":"Kasper","non-dropping-particle":"","parse-names":false,"suffix":""},{"dropping-particle":"","family":"Bundgaard","given":"Henning","non-dropping-particle":"","parse-names":false,"suffix":""},{"dropping-particle":"","family":"Todsen","given":"Tobias","non-dropping-particle":"","parse-names":false,"suffix":""}],"container-title":"Diagnostics","id":"ITEM-3","issue":"9","issued":{"date-parts":[["2020"]]},"page":"1-10","title":"Self-Collected versus Healthcare Worker-Collected Swabs in the Diagnosis of Severe Acute Respiratory Syndrome Coronavirus 2","type":"article-journal","volume":"10"},"uris":["http://www.mendeley.com/documents/?uuid=d5dace8e-baf2-4f53-8802-57c4d28c887a"]}],"mendeley":{"formattedCitation":"&lt;sup&gt;4–6&lt;/sup&gt;","plainTextFormattedCitation":"4–6","previouslyFormattedCitation":"&lt;sup&gt;4–6&lt;/sup&gt;"},"properties":{"noteIndex":0},"schema":"https://github.com/citation-style-language/schema/raw/master/csl-citation.json"}</w:instrText>
      </w:r>
      <w:r w:rsidR="004465C2">
        <w:rPr>
          <w:lang w:val="en-US"/>
        </w:rPr>
        <w:fldChar w:fldCharType="separate"/>
      </w:r>
      <w:r w:rsidR="004465C2" w:rsidRPr="004465C2">
        <w:rPr>
          <w:noProof/>
          <w:vertAlign w:val="superscript"/>
          <w:lang w:val="en-US"/>
        </w:rPr>
        <w:t>4–6</w:t>
      </w:r>
      <w:r w:rsidR="004465C2">
        <w:rPr>
          <w:lang w:val="en-US"/>
        </w:rPr>
        <w:fldChar w:fldCharType="end"/>
      </w:r>
      <w:r w:rsidR="00507CA9">
        <w:rPr>
          <w:lang w:val="en-US"/>
        </w:rPr>
        <w:t xml:space="preserve">. </w:t>
      </w:r>
    </w:p>
    <w:p w14:paraId="2260AB6D" w14:textId="5AFB7684" w:rsidR="00704C7F" w:rsidRDefault="000D65C4" w:rsidP="0039211B">
      <w:pPr>
        <w:spacing w:line="276" w:lineRule="auto"/>
        <w:jc w:val="both"/>
        <w:rPr>
          <w:rFonts w:ascii="Calibri" w:hAnsi="Calibri" w:cs="Calibri"/>
          <w:lang w:val="en-GB"/>
        </w:rPr>
      </w:pPr>
      <w:r>
        <w:rPr>
          <w:lang w:val="en-US"/>
        </w:rPr>
        <w:t>Self-</w:t>
      </w:r>
      <w:r w:rsidR="005D18A2">
        <w:rPr>
          <w:lang w:val="en-US"/>
        </w:rPr>
        <w:t>sampling</w:t>
      </w:r>
      <w:r w:rsidR="005D18A2" w:rsidRPr="0053310D">
        <w:rPr>
          <w:lang w:val="en-US"/>
        </w:rPr>
        <w:t xml:space="preserve"> </w:t>
      </w:r>
      <w:r w:rsidR="007D45CA">
        <w:rPr>
          <w:lang w:val="en-US"/>
        </w:rPr>
        <w:t xml:space="preserve">and self-testing </w:t>
      </w:r>
      <w:r w:rsidR="00775A1A" w:rsidRPr="005F2104">
        <w:rPr>
          <w:rFonts w:ascii="Calibri" w:hAnsi="Calibri" w:cs="Calibri"/>
          <w:lang w:val="en-US"/>
        </w:rPr>
        <w:t>would reduce the</w:t>
      </w:r>
      <w:r w:rsidR="00507CA9" w:rsidRPr="005F2104">
        <w:rPr>
          <w:rFonts w:ascii="Calibri" w:hAnsi="Calibri" w:cs="Calibri"/>
          <w:lang w:val="en-US"/>
        </w:rPr>
        <w:t xml:space="preserve"> need for protective personal equipment and the</w:t>
      </w:r>
      <w:r w:rsidR="00775A1A" w:rsidRPr="005F2104">
        <w:rPr>
          <w:rFonts w:ascii="Calibri" w:hAnsi="Calibri" w:cs="Calibri"/>
          <w:lang w:val="en-US"/>
        </w:rPr>
        <w:t xml:space="preserve"> risk of infection for healthcare workers</w:t>
      </w:r>
      <w:r w:rsidR="00507CA9" w:rsidRPr="005F2104">
        <w:rPr>
          <w:rFonts w:ascii="Calibri" w:hAnsi="Calibri" w:cs="Calibri"/>
          <w:lang w:val="en-US"/>
        </w:rPr>
        <w:fldChar w:fldCharType="begin" w:fldLock="1"/>
      </w:r>
      <w:r w:rsidR="004465C2">
        <w:rPr>
          <w:rFonts w:ascii="Calibri" w:hAnsi="Calibri" w:cs="Calibri"/>
          <w:lang w:val="en-US"/>
        </w:rPr>
        <w:instrText>ADDIN CSL_CITATION {"citationItems":[{"id":"ITEM-1","itemData":{"DOI":"10.1089/pop.2020.0296","ISSN":"19427905","PMID":"33544647","abstract":"Laboratory testing is an important component in the diagnosis of respiratory tract infections such as with severe acute respiratory syndrome coronavirus-2 (SARS-CoV-2). However, specimen collection not only risks exposure of health care workers and other patients to infection, but also necessitates use of personal protective equipment that may be in short supply during periods of heightened disease activity. Self-collection of nasal or oropharyngeal swabs offers an alternative to address these drawbacks. Although studies in the past decade have demonstrated the utility of this approach for respiratory infections, it has not been widely adopted in routine clinical practice. The rapid spread of coronavirus disease 2019 (COVID-19), caused by SARS-CoV-2, has focused attention on the need for safe, convenient, timely, and scalable methods for collecting upper respiratory specimens for testing. The goals of this article are to highlight the literature regarding self-collected nasal or oropharyngeal specimens for respiratory pathogen testing; discuss the role of self-collection in helping prevent the spread of the COVID-19 disease from infected patients and facilitating a shift toward \"virtual\"medicine or telemedicine; and describe the current and future state of self-collection for infectious agents, and the impacts these approaches can have on population health management and disease diagnosis and prevention.","author":[{"dropping-particle":"","family":"Cockerill","given":"Franklin R.","non-dropping-particle":"","parse-names":false,"suffix":""},{"dropping-particle":"","family":"Wohlgemuth","given":"Jay G.","non-dropping-particle":"","parse-names":false,"suffix":""},{"dropping-particle":"","family":"Radcliff","given":"Jeff","non-dropping-particle":"","parse-names":false,"suffix":""},{"dropping-particle":"","family":"Sabol","given":"Christine E.","non-dropping-particle":"","parse-names":false,"suffix":""},{"dropping-particle":"","family":"Kapoor","given":"Hema","non-dropping-particle":"","parse-names":false,"suffix":""},{"dropping-particle":"","family":"Dlott","given":"Jeffrey S.","non-dropping-particle":"","parse-names":false,"suffix":""},{"dropping-particle":"","family":"Marlowe","given":"Elizabeth M.","non-dropping-particle":"","parse-names":false,"suffix":""},{"dropping-particle":"","family":"Clarke","given":"Nigel J.","non-dropping-particle":"","parse-names":false,"suffix":""}],"container-title":"Population Health Management","id":"ITEM-1","issue":"S1","issued":{"date-parts":[["2021"]]},"page":"S26-S34","title":"Evolution of Specimen Self-Collection in the COVID-19 Era: Implications for Population Health Management of Infectious Disease","type":"article-journal","volume":"24"},"uris":["http://www.mendeley.com/documents/?uuid=133733f5-d6d0-4736-97e6-9baeefe4bcd4"]}],"mendeley":{"formattedCitation":"&lt;sup&gt;5&lt;/sup&gt;","plainTextFormattedCitation":"5","previouslyFormattedCitation":"&lt;sup&gt;5&lt;/sup&gt;"},"properties":{"noteIndex":0},"schema":"https://github.com/citation-style-language/schema/raw/master/csl-citation.json"}</w:instrText>
      </w:r>
      <w:r w:rsidR="00507CA9" w:rsidRPr="005F2104">
        <w:rPr>
          <w:rFonts w:ascii="Calibri" w:hAnsi="Calibri" w:cs="Calibri"/>
          <w:lang w:val="en-US"/>
        </w:rPr>
        <w:fldChar w:fldCharType="separate"/>
      </w:r>
      <w:r w:rsidR="00FE5153" w:rsidRPr="005F2104">
        <w:rPr>
          <w:rFonts w:ascii="Calibri" w:hAnsi="Calibri" w:cs="Calibri"/>
          <w:noProof/>
          <w:vertAlign w:val="superscript"/>
          <w:lang w:val="en-US"/>
        </w:rPr>
        <w:t>5</w:t>
      </w:r>
      <w:r w:rsidR="00507CA9" w:rsidRPr="005F2104">
        <w:rPr>
          <w:rFonts w:ascii="Calibri" w:hAnsi="Calibri" w:cs="Calibri"/>
          <w:lang w:val="en-US"/>
        </w:rPr>
        <w:fldChar w:fldCharType="end"/>
      </w:r>
      <w:r w:rsidR="00A36A3D" w:rsidRPr="005F2104">
        <w:rPr>
          <w:rFonts w:ascii="Calibri" w:hAnsi="Calibri" w:cs="Calibri"/>
          <w:lang w:val="en-US"/>
        </w:rPr>
        <w:t xml:space="preserve">. </w:t>
      </w:r>
      <w:r w:rsidR="00A36A3D" w:rsidRPr="005F2104">
        <w:rPr>
          <w:rFonts w:ascii="Calibri" w:hAnsi="Calibri" w:cs="Calibri"/>
          <w:lang w:val="en-GB"/>
        </w:rPr>
        <w:t xml:space="preserve">The utility of these tests for pandemic control through mass testing or testing to protect (e.g. in </w:t>
      </w:r>
      <w:r w:rsidR="005F2104" w:rsidRPr="005F2104">
        <w:rPr>
          <w:rFonts w:ascii="Calibri" w:hAnsi="Calibri" w:cs="Calibri"/>
          <w:lang w:val="en-GB"/>
        </w:rPr>
        <w:t>high-risk</w:t>
      </w:r>
      <w:r w:rsidR="00A36A3D" w:rsidRPr="005F2104">
        <w:rPr>
          <w:rFonts w:ascii="Calibri" w:hAnsi="Calibri" w:cs="Calibri"/>
          <w:lang w:val="en-GB"/>
        </w:rPr>
        <w:t xml:space="preserve"> settings such as hospitals), to release (e.g. contact testing) and to enable (e.g. regular school or workplace testing) has been suggested in different studies</w:t>
      </w:r>
      <w:r w:rsidR="00C80A4F">
        <w:rPr>
          <w:rFonts w:ascii="Calibri" w:hAnsi="Calibri" w:cs="Calibri"/>
          <w:lang w:val="en-GB"/>
        </w:rPr>
        <w:fldChar w:fldCharType="begin" w:fldLock="1"/>
      </w:r>
      <w:r w:rsidR="00C80A4F">
        <w:rPr>
          <w:rFonts w:ascii="Calibri" w:hAnsi="Calibri" w:cs="Calibri"/>
          <w:lang w:val="en-GB"/>
        </w:rPr>
        <w:instrText>ADDIN CSL_CITATION {"citationItems":[{"id":"ITEM-1","itemData":{"DOI":"10.1136/bmjpo-2021-001262","ISSN":"23999772","abstract":"Over the course of the pandemic, many countries have repeatedly closed schools and shifted schoolchildren to remote learning. However, evidence for negative mental and physiological health consequences of such measures for schoolchildren is increasing, highlighting the need for evidence-based recommendations on how to safely reopen schools. This study aims to assess implementation experiences, acceptability and feasibility of opt-in, at-home SARS-CoV-2 screening using rapid diagnostic tests (RDTs) to facilitate safe face-to-face teaching during a pandemic. We present data from a prospective study implementing an RDT-based screening programme at a primary school in southwest Germany. In addition to quantitative data collected to assess screening diagnostic yield (number of participants, tests handed out to participants, positive RDT results reported), we conducted qualitative in-depth interviews with participating pupils, parents and school stakeholders to elicit implementation experiences and screening perceptions. The screening intervention was highly accepted and appreciated among participants; no screening-associated positive RDT was reported over the duration of the study. Self-testing at home before coming to school was feasible, but more positive consequences of screening participation (eg, easing of mask mandates) besides a personal feeling of safety would have been appreciated across respondent groups. Participants preferred home-based RDTs over some other measures, particularly mask mandates. Despite the RDTs being licensed as self-tests in Germany, additional training can help avoid mistakes, and ensuring intervention ownership and improving pre-implementation communication can facilitate buy-in. Antigen-RDT-based SARS-CoV-2 screening programmes relying on self-testing at home are a feasible and acceptable supplement to the public health toolbox to facilitate a safe return to face-to-face teaching at schools. DRKS00024845.","author":[{"dropping-particle":"","family":"Wachinger","given":"Jonas","non-dropping-particle":"","parse-names":false,"suffix":""},{"dropping-particle":"","family":"Schirmer","given":"Maximilian","non-dropping-particle":"","parse-names":false,"suffix":""},{"dropping-particle":"","family":"Täuber","given":"Nicole","non-dropping-particle":"","parse-names":false,"suffix":""},{"dropping-particle":"","family":"McMahon","given":"Shannon A","non-dropping-particle":"","parse-names":false,"suffix":""},{"dropping-particle":"","family":"Denkinger","given":"Claudia M","non-dropping-particle":"","parse-names":false,"suffix":""}],"container-title":"BMJ Paediatrics Open","id":"ITEM-1","issue":"1","issued":{"date-parts":[["2021"]]},"page":"e001262","title":"Experiences with opt-in, at-home screening for SARS-CoV-2 at a primary school in Germany: an implementation study","type":"article-journal","volume":"5"},"uris":["http://www.mendeley.com/documents/?uuid=18fb91c8-d755-4d92-85c4-90ffc21ac3dd"]},{"id":"ITEM-2","itemData":{"DOI":"10.1016/j.ijid.2021.11.011","ISSN":"12019712","author":[{"dropping-particle":"","family":"Wee","given":"Liang En","non-dropping-particle":"","parse-names":false,"suffix":""},{"dropping-particle":"","family":"Conceicao","given":"Edwin Philip","non-dropping-particle":"","parse-names":false,"suffix":""},{"dropping-particle":"","family":"Sim","given":"Jean Xiang-Ying","non-dropping-particle":"","parse-names":false,"suffix":""},{"dropping-particle":"","family":"Venkatachalam","given":"Indumathi","non-dropping-particle":"","parse-names":false,"suffix":""},{"dropping-particle":"","family":"Wijaya","given":"Limin","non-dropping-particle":"","parse-names":false,"suffix":""}],"container-title":"International Journal of Infectious Diseases","id":"ITEM-2","issued":{"date-parts":[["2021"]]},"page":"132-134","publisher":"Elsevier Ltd","title":"Utilisation of SARS-CoV-2 rapid antigen assays in screening asymptomatic hospital visitors: mitigating the risk in low-incidence settings","type":"article-journal","volume":"114"},"uris":["http://www.mendeley.com/documents/?uuid=13c73300-e0a0-4109-9435-7356db4b8a4d"]},{"id":"ITEM-3","itemData":{"DOI":"10.1016/j.mayocp.2021.08.019","ISSN":"00256196","abstract":"Although there have been several case reports and simulation models of severe acute respiratory syndrome coronavirus 2 (SARS-CoV-2) transmission associated with air travel, there are limited data to guide testing strategy to minimize the risk of SARS-CoV-2 exposure and transmission onboard commercial aircraft. Among 9853 passengers with a negative SARS-CoV-2 polymerase chain reaction test performed within 72 hours of departure from December 2020 through May 2021, five (0.05%) passengers with active SARS-CoV-2 infection were identified with rapid antigen tests and confirmed with rapid molecular test performed before and after an international flight from the United States to Italy. This translates to a case detection rate of 1 per 1970 travelers during a time of high prevalence of active infection in the United States. A negative molecular test for SARS-CoV-2 within 72 hours of international airline departure results in a low probability of active infection identified on antigen testing during commercial airline flight.","author":[{"dropping-particle":"","family":"Tande","given":"Aaron J.","non-dropping-particle":"","parse-names":false,"suffix":""},{"dropping-particle":"","family":"Binnicker","given":"Matthew J.","non-dropping-particle":"","parse-names":false,"suffix":""},{"dropping-particle":"","family":"Ting","given":"Henry H.","non-dropping-particle":"","parse-names":false,"suffix":""},{"dropping-particle":"","family":"Rio","given":"Carlos","non-dropping-particle":"Del","parse-names":false,"suffix":""},{"dropping-particle":"","family":"Jalil","given":"Lindsey","non-dropping-particle":"","parse-names":false,"suffix":""},{"dropping-particle":"","family":"Brawner","given":"Matthew","non-dropping-particle":"","parse-names":false,"suffix":""},{"dropping-particle":"","family":"Carter","given":"Peter W.","non-dropping-particle":"","parse-names":false,"suffix":""},{"dropping-particle":"","family":"Toomey","given":"Kathleen","non-dropping-particle":"","parse-names":false,"suffix":""},{"dropping-particle":"","family":"Shah","given":"Nilay D.","non-dropping-particle":"","parse-names":false,"suffix":""},{"dropping-particle":"","family":"Berbari","given":"Elie F.","non-dropping-particle":"","parse-names":false,"suffix":""}],"container-title":"Mayo Clinic Proceedings","id":"ITEM-3","issue":"11","issued":{"date-parts":[["2021"]]},"page":"2856-2860","publisher":"[Author/Employing Institution]","title":"SARS-CoV-2 Testing Before International Airline Travel, December 2020 to May 2021","type":"article-journal","volume":"96"},"uris":["http://www.mendeley.com/documents/?uuid=01179ef3-4e1f-4846-9613-d5c339b55134"]},{"id":"ITEM-4","itemData":{"DOI":"10.1016/S0140-6736(21)01908-5","ISSN":"1474547X","PMID":"34534517","abstract":"Background: School-based COVID-19 contacts in England have been asked to self-isolate at home, missing key educational opportunities. We trialled daily testing of contacts as an alternative to assess whether this resulted in similar control of transmission, while allowing more school attendance. Methods: We did an open-label, cluster-randomised, controlled trial in secondary schools and further education colleges in England. Schools were randomly assigned (1:1) to self-isolation of school-based COVID-19 contacts for 10 days (control) or to voluntary daily lateral flow device (LFD) testing for 7 days with LFD-negative contacts remaining at school (intervention). Randomisation was stratified according to school type and size, presence of a sixth form, presence of residential students, and proportion of students eligible for free school meals. Group assignment was not masked during procedures or analysis. Coprimary outcomes in all students and staff were COVID-19-related school absence and symptomatic PCR-confirmed COVID-19, adjusted for community case rates, to estimate within-school transmission (non-inferiority margin &lt;50% relative increase). Analyses were done on an intention-to-treat basis using quasi-Poisson regression, also estimating complier average causal effects (CACE). This trial is registered with the ISRCTN registry, ISRCTN18100261. Findings: Between March 18 and May 4, 2021, 204 schools were taken through the consent process, during which three decided not to participate further. 201 schools were randomly assigned (control group n=99, intervention group n=102) in the 10-week study (April 19–May 10, 2021), which continued until the pre-appointed stop date (June 27, 2021). 76 control group schools and 86 intervention group schools actively participated; additional national data allowed most non-participating schools to be included in analysis of coprimary outcomes. 2432 (42·4%) of 5763 intervention group contacts participated in daily contact testing. There were 657 symptomatic PCR-confirmed infections during 7 782 537 days-at-risk (59·1 per 100 000 per week) in the control group and 740 during 8 379 749 days-at-risk (61·8 per 100 000 per week) in the intervention group (intention-to-treat adjusted incidence rate ratio [aIRR] 0·96 [95% CI 0·75–1·22]; p=0·72; CACE aIRR 0·86 [0·55–1·34]). Among students and staff, there were 59 422 (1·62%) COVID-19-related absences during 3 659 017 person-school-days in the control group and 51 541 (1·34%) durin…","author":[{"dropping-particle":"","family":"Young","given":"Bernadette C.","non-dropping-particle":"","parse-names":false,"suffix":""},{"dropping-particle":"","family":"Eyre","given":"David W.","non-dropping-particle":"","parse-names":false,"suffix":""},{"dropping-particle":"","family":"Kendrick","given":"Saroj","non-dropping-particle":"","parse-names":false,"suffix":""},{"dropping-particle":"","family":"White","given":"Chris","non-dropping-particle":"","parse-names":false,"suffix":""},{"dropping-particle":"","family":"Smith","given":"Sylvester","non-dropping-particle":"","parse-names":false,"suffix":""},{"dropping-particle":"","family":"Beveridge","given":"George","non-dropping-particle":"","parse-names":false,"suffix":""},{"dropping-particle":"","family":"Nonnenmacher","given":"Toby","non-dropping-particle":"","parse-names":false,"suffix":""},{"dropping-particle":"","family":"Ichofu","given":"Fegor","non-dropping-particle":"","parse-names":false,"suffix":""},{"dropping-particle":"","family":"Hillier","given":"Joseph","non-dropping-particle":"","parse-names":false,"suffix":""},{"dropping-particle":"","family":"Oakley","given":"Sarah","non-dropping-particle":"","parse-names":false,"suffix":""},{"dropping-particle":"","family":"Diamond","given":"Ian","non-dropping-particle":"","parse-names":false,"suffix":""},{"dropping-particle":"","family":"Rourke","given":"Emma","non-dropping-particle":"","parse-names":false,"suffix":""},{"dropping-particle":"","family":"Dawe","given":"Fiona","non-dropping-particle":"","parse-names":false,"suffix":""},{"dropping-particle":"","family":"Day","given":"Ieuan","non-dropping-particle":"","parse-names":false,"suffix":""},{"dropping-particle":"","family":"Davies","given":"Lisa","non-dropping-particle":"","parse-names":false,"suffix":""},{"dropping-particle":"","family":"Staite","given":"Paul","non-dropping-particle":"","parse-names":false,"suffix":""},{"dropping-particle":"","family":"Lacey","given":"Andrea","non-dropping-particle":"","parse-names":false,"suffix":""},{"dropping-particle":"","family":"McCrae","given":"James","non-dropping-particle":"","parse-names":false,"suffix":""},{"dropping-particle":"","family":"Jones","given":"Ffion","non-dropping-particle":"","parse-names":false,"suffix":""},{"dropping-particle":"","family":"Kelly","given":"Joseph","non-dropping-particle":"","parse-names":false,"suffix":""},{"dropping-particle":"","family":"Bankiewicz","given":"Urszula","non-dropping-particle":"","parse-names":false,"suffix":""},{"dropping-particle":"","family":"Tunkel","given":"Sarah","non-dropping-particle":"","parse-names":false,"suffix":""},{"dropping-particle":"","family":"Ovens","given":"Richard","non-dropping-particle":"","parse-names":false,"suffix":""},{"dropping-particle":"","family":"Chapman","given":"David","non-dropping-particle":"","parse-names":false,"suffix":""},{"dropping-particle":"","family":"Bhalla","given":"Vineta","non-dropping-particle":"","parse-names":false,"suffix":""},{"dropping-particle":"","family":"Marks","given":"Peter","non-dropping-particle":"","parse-names":false,"suffix":""},{"dropping-particle":"","family":"Hicks","given":"Nick","non-dropping-particle":"","parse-names":false,"suffix":""},{"dropping-particle":"","family":"Fowler","given":"Tom","non-dropping-particle":"","parse-names":false,"suffix":""},{"dropping-particle":"","family":"Hopkins","given":"Susan","non-dropping-particle":"","parse-names":false,"suffix":""},{"dropping-particle":"","family":"Yardley","given":"Lucy","non-dropping-particle":"","parse-names":false,"suffix":""},{"dropping-particle":"","family":"Peto","given":"Tim E.A.","non-dropping-particle":"","parse-names":false,"suffix":""}],"container-title":"The Lancet","id":"ITEM-4","issue":"10307","issued":{"date-parts":[["2021"]]},"page":"1217-1229","publisher":"Elsevier Ltd","title":"Daily testing for contacts of individuals with SARS-CoV-2 infection and attendance and SARS-CoV-2 transmission in English secondary schools and colleges: an open-label, cluster-randomised trial","type":"article-journal","volume":"398"},"uris":["http://www.mendeley.com/documents/?uuid=6bb96d5d-8afd-4e5d-9139-83503dfa73b4"]}],"mendeley":{"formattedCitation":"&lt;sup&gt;7–10&lt;/sup&gt;","plainTextFormattedCitation":"7–10"},"properties":{"noteIndex":0},"schema":"https://github.com/citation-style-language/schema/raw/master/csl-citation.json"}</w:instrText>
      </w:r>
      <w:r w:rsidR="00C80A4F">
        <w:rPr>
          <w:rFonts w:ascii="Calibri" w:hAnsi="Calibri" w:cs="Calibri"/>
          <w:lang w:val="en-GB"/>
        </w:rPr>
        <w:fldChar w:fldCharType="separate"/>
      </w:r>
      <w:r w:rsidR="00C80A4F" w:rsidRPr="00C80A4F">
        <w:rPr>
          <w:rFonts w:ascii="Calibri" w:hAnsi="Calibri" w:cs="Calibri"/>
          <w:noProof/>
          <w:vertAlign w:val="superscript"/>
          <w:lang w:val="en-GB"/>
        </w:rPr>
        <w:t>7–10</w:t>
      </w:r>
      <w:r w:rsidR="00C80A4F">
        <w:rPr>
          <w:rFonts w:ascii="Calibri" w:hAnsi="Calibri" w:cs="Calibri"/>
          <w:lang w:val="en-GB"/>
        </w:rPr>
        <w:fldChar w:fldCharType="end"/>
      </w:r>
      <w:r w:rsidR="00A36A3D" w:rsidRPr="005F2104">
        <w:rPr>
          <w:rFonts w:ascii="Calibri" w:hAnsi="Calibri" w:cs="Calibri"/>
          <w:lang w:val="en-GB"/>
        </w:rPr>
        <w:t xml:space="preserve">. </w:t>
      </w:r>
    </w:p>
    <w:p w14:paraId="5902BA6E" w14:textId="77777777" w:rsidR="00704C7F" w:rsidRDefault="00704C7F" w:rsidP="0039211B">
      <w:pPr>
        <w:spacing w:line="276" w:lineRule="auto"/>
        <w:jc w:val="both"/>
        <w:rPr>
          <w:rFonts w:ascii="Calibri" w:hAnsi="Calibri" w:cs="Calibri"/>
          <w:lang w:val="en-GB"/>
        </w:rPr>
      </w:pPr>
    </w:p>
    <w:p w14:paraId="2D0BAED3" w14:textId="10B95388" w:rsidR="00675EE7" w:rsidRPr="003377EE" w:rsidRDefault="00704C7F" w:rsidP="003377EE">
      <w:pPr>
        <w:spacing w:line="276" w:lineRule="auto"/>
        <w:jc w:val="both"/>
        <w:rPr>
          <w:rFonts w:ascii="Times New Roman" w:hAnsi="Times New Roman" w:cs="Times New Roman"/>
          <w:lang w:val="en-GB"/>
        </w:rPr>
      </w:pPr>
      <w:r>
        <w:rPr>
          <w:rFonts w:ascii="Calibri" w:hAnsi="Calibri" w:cs="Calibri"/>
          <w:lang w:val="en-US"/>
        </w:rPr>
        <w:t>With the proposed systematic review and meta-analysis,</w:t>
      </w:r>
      <w:r w:rsidR="009308AC">
        <w:rPr>
          <w:lang w:val="en-US"/>
        </w:rPr>
        <w:t xml:space="preserve"> </w:t>
      </w:r>
      <w:r w:rsidR="00775A1A" w:rsidRPr="0053310D">
        <w:rPr>
          <w:lang w:val="en-US"/>
        </w:rPr>
        <w:t>we will give an overview on the currently published accuracy evaluations on self-</w:t>
      </w:r>
      <w:r w:rsidR="003F350D">
        <w:rPr>
          <w:lang w:val="en-US"/>
        </w:rPr>
        <w:t>sampled</w:t>
      </w:r>
      <w:r w:rsidR="003F350D" w:rsidRPr="0053310D">
        <w:rPr>
          <w:lang w:val="en-US"/>
        </w:rPr>
        <w:t xml:space="preserve"> </w:t>
      </w:r>
      <w:r w:rsidR="00871587">
        <w:rPr>
          <w:lang w:val="en-US"/>
        </w:rPr>
        <w:t xml:space="preserve">and self-tested </w:t>
      </w:r>
      <w:r w:rsidR="00775A1A" w:rsidRPr="0053310D">
        <w:rPr>
          <w:lang w:val="en-US"/>
        </w:rPr>
        <w:t>SARS-CoV-2 antigen POC diagnostics</w:t>
      </w:r>
      <w:r w:rsidR="007567B9">
        <w:rPr>
          <w:lang w:val="en-US"/>
        </w:rPr>
        <w:t xml:space="preserve"> </w:t>
      </w:r>
      <w:r w:rsidR="005F2104">
        <w:rPr>
          <w:lang w:val="en-US"/>
        </w:rPr>
        <w:t>against the PCR reference standard</w:t>
      </w:r>
      <w:r w:rsidR="00775A1A" w:rsidRPr="0053310D">
        <w:rPr>
          <w:lang w:val="en-US"/>
        </w:rPr>
        <w:t xml:space="preserve">. </w:t>
      </w:r>
      <w:r w:rsidR="005F2104">
        <w:rPr>
          <w:lang w:val="en-US"/>
        </w:rPr>
        <w:t xml:space="preserve">Furthermore, we assess concordance where self-testing or self-sampling was compared to </w:t>
      </w:r>
      <w:r w:rsidR="00443F9B">
        <w:rPr>
          <w:lang w:val="en-US"/>
        </w:rPr>
        <w:t>professional</w:t>
      </w:r>
      <w:r w:rsidR="005F2104">
        <w:rPr>
          <w:lang w:val="en-US"/>
        </w:rPr>
        <w:t>ly sampled or</w:t>
      </w:r>
      <w:r w:rsidR="00443F9B">
        <w:rPr>
          <w:lang w:val="en-US"/>
        </w:rPr>
        <w:t xml:space="preserve"> tested</w:t>
      </w:r>
      <w:r w:rsidR="005F2104">
        <w:rPr>
          <w:lang w:val="en-US"/>
        </w:rPr>
        <w:t xml:space="preserve"> participants using </w:t>
      </w:r>
      <w:r w:rsidR="00443F9B">
        <w:rPr>
          <w:lang w:val="en-US"/>
        </w:rPr>
        <w:t xml:space="preserve">Cohen’s kappa, positive predictive value, negative predictive value for </w:t>
      </w:r>
      <w:proofErr w:type="gramStart"/>
      <w:r w:rsidR="00443F9B">
        <w:rPr>
          <w:lang w:val="en-US"/>
        </w:rPr>
        <w:t>head to head</w:t>
      </w:r>
      <w:proofErr w:type="gramEnd"/>
      <w:r w:rsidR="00443F9B">
        <w:rPr>
          <w:lang w:val="en-US"/>
        </w:rPr>
        <w:t xml:space="preserve"> studies. </w:t>
      </w:r>
      <w:r w:rsidR="00675EE7" w:rsidRPr="0053310D">
        <w:rPr>
          <w:lang w:val="en-US"/>
        </w:rPr>
        <w:t>Where possible, we will perform a meta-analysis, summarizing the sensitivity and specificity</w:t>
      </w:r>
      <w:r>
        <w:rPr>
          <w:lang w:val="en-US"/>
        </w:rPr>
        <w:t xml:space="preserve"> and concordance</w:t>
      </w:r>
      <w:r w:rsidR="00675EE7" w:rsidRPr="0053310D">
        <w:rPr>
          <w:lang w:val="en-US"/>
        </w:rPr>
        <w:t xml:space="preserve"> of tests that have been evaluated by multiple studies</w:t>
      </w:r>
      <w:r>
        <w:rPr>
          <w:lang w:val="en-US"/>
        </w:rPr>
        <w:t xml:space="preserve"> and </w:t>
      </w:r>
      <w:r w:rsidR="00675EE7" w:rsidRPr="0053310D">
        <w:rPr>
          <w:lang w:val="en-US"/>
        </w:rPr>
        <w:t xml:space="preserve"> analyze </w:t>
      </w:r>
      <w:r w:rsidR="00031381">
        <w:rPr>
          <w:lang w:val="en-US"/>
        </w:rPr>
        <w:t>aspects likely to affect the</w:t>
      </w:r>
      <w:r w:rsidR="00031381" w:rsidRPr="00031381">
        <w:rPr>
          <w:lang w:val="en-US"/>
        </w:rPr>
        <w:t xml:space="preserve"> </w:t>
      </w:r>
      <w:r w:rsidR="00031381">
        <w:rPr>
          <w:lang w:val="en-US"/>
        </w:rPr>
        <w:t>Ag-RD</w:t>
      </w:r>
      <w:r w:rsidR="00507CA9">
        <w:rPr>
          <w:lang w:val="en-US"/>
        </w:rPr>
        <w:t>Ts</w:t>
      </w:r>
      <w:r w:rsidR="00031381">
        <w:rPr>
          <w:lang w:val="en-US"/>
        </w:rPr>
        <w:t xml:space="preserve"> accuracy</w:t>
      </w:r>
      <w:r>
        <w:rPr>
          <w:lang w:val="en-US"/>
        </w:rPr>
        <w:t xml:space="preserve"> (e.g. viral load).</w:t>
      </w:r>
    </w:p>
    <w:p w14:paraId="24AFB60E" w14:textId="72F05370" w:rsidR="007567B9" w:rsidRDefault="007567B9" w:rsidP="0039211B">
      <w:pPr>
        <w:spacing w:line="276" w:lineRule="auto"/>
        <w:jc w:val="both"/>
        <w:rPr>
          <w:lang w:val="en-US"/>
        </w:rPr>
      </w:pPr>
      <w:r w:rsidRPr="0053310D">
        <w:rPr>
          <w:lang w:val="en-US"/>
        </w:rPr>
        <w:lastRenderedPageBreak/>
        <w:t>The quality of the studies will be evaluated</w:t>
      </w:r>
      <w:r>
        <w:rPr>
          <w:lang w:val="en-US"/>
        </w:rPr>
        <w:t>.</w:t>
      </w:r>
      <w:r w:rsidRPr="0053310D">
        <w:rPr>
          <w:lang w:val="en-US"/>
        </w:rPr>
        <w:t xml:space="preserve"> </w:t>
      </w:r>
      <w:r>
        <w:rPr>
          <w:lang w:val="en-US"/>
        </w:rPr>
        <w:t>I</w:t>
      </w:r>
      <w:r w:rsidRPr="0053310D">
        <w:rPr>
          <w:lang w:val="en-US"/>
        </w:rPr>
        <w:t>nformation about self-</w:t>
      </w:r>
      <w:r w:rsidR="00784E83">
        <w:rPr>
          <w:lang w:val="en-US"/>
        </w:rPr>
        <w:t xml:space="preserve">sampling </w:t>
      </w:r>
      <w:r w:rsidR="00704C7F">
        <w:rPr>
          <w:lang w:val="en-US"/>
        </w:rPr>
        <w:t>and self-testing</w:t>
      </w:r>
      <w:r w:rsidRPr="0053310D">
        <w:rPr>
          <w:lang w:val="en-US"/>
        </w:rPr>
        <w:t xml:space="preserve"> process and its ease of use</w:t>
      </w:r>
      <w:r>
        <w:rPr>
          <w:lang w:val="en-US"/>
        </w:rPr>
        <w:t>/feasibility will be assessed and described in a narrative</w:t>
      </w:r>
      <w:r w:rsidRPr="0053310D">
        <w:rPr>
          <w:lang w:val="en-US"/>
        </w:rPr>
        <w:t>.</w:t>
      </w:r>
      <w:r w:rsidR="00AC33B5">
        <w:rPr>
          <w:lang w:val="en-US"/>
        </w:rPr>
        <w:t xml:space="preserve"> </w:t>
      </w:r>
    </w:p>
    <w:p w14:paraId="48BA0DC9" w14:textId="0A918106" w:rsidR="007567B9" w:rsidRPr="0053310D" w:rsidRDefault="00704C7F" w:rsidP="003377EE">
      <w:pPr>
        <w:spacing w:line="276" w:lineRule="auto"/>
        <w:jc w:val="both"/>
        <w:rPr>
          <w:lang w:val="en-US"/>
        </w:rPr>
      </w:pPr>
      <w:proofErr w:type="gramStart"/>
      <w:r>
        <w:rPr>
          <w:lang w:val="en-US"/>
        </w:rPr>
        <w:t>For the purpose of</w:t>
      </w:r>
      <w:proofErr w:type="gramEnd"/>
      <w:r>
        <w:rPr>
          <w:lang w:val="en-US"/>
        </w:rPr>
        <w:t xml:space="preserve"> the WHO Guideline Development Meeting, we will focus on self-testing.</w:t>
      </w:r>
    </w:p>
    <w:p w14:paraId="3B378051" w14:textId="77777777" w:rsidR="00675EE7" w:rsidRPr="0053310D" w:rsidRDefault="00675EE7" w:rsidP="003377EE">
      <w:pPr>
        <w:spacing w:line="276" w:lineRule="auto"/>
        <w:jc w:val="both"/>
        <w:rPr>
          <w:lang w:val="en-US"/>
        </w:rPr>
      </w:pPr>
    </w:p>
    <w:p w14:paraId="2D92F280" w14:textId="23F110A1" w:rsidR="00675EE7" w:rsidRDefault="00675EE7" w:rsidP="003377EE">
      <w:pPr>
        <w:spacing w:line="276" w:lineRule="auto"/>
        <w:jc w:val="both"/>
        <w:rPr>
          <w:lang w:val="en-US"/>
        </w:rPr>
      </w:pPr>
      <w:r w:rsidRPr="0053310D">
        <w:rPr>
          <w:lang w:val="en-US"/>
        </w:rPr>
        <w:t>3. REVIEW QUESTION</w:t>
      </w:r>
    </w:p>
    <w:p w14:paraId="7217B113" w14:textId="77777777" w:rsidR="003C3196" w:rsidRPr="0053310D" w:rsidRDefault="003C3196" w:rsidP="003377EE">
      <w:pPr>
        <w:spacing w:line="276" w:lineRule="auto"/>
        <w:jc w:val="both"/>
        <w:rPr>
          <w:lang w:val="en-US"/>
        </w:rPr>
      </w:pPr>
    </w:p>
    <w:p w14:paraId="24687601" w14:textId="7ECC2A79" w:rsidR="00675EE7" w:rsidRPr="0053310D" w:rsidRDefault="00675EE7" w:rsidP="003377EE">
      <w:pPr>
        <w:spacing w:line="276" w:lineRule="auto"/>
        <w:jc w:val="both"/>
        <w:rPr>
          <w:lang w:val="en-US"/>
        </w:rPr>
      </w:pPr>
      <w:r w:rsidRPr="0053310D">
        <w:rPr>
          <w:lang w:val="en-US"/>
        </w:rPr>
        <w:t xml:space="preserve">To </w:t>
      </w:r>
      <w:r w:rsidR="00743094">
        <w:rPr>
          <w:lang w:val="en-US"/>
        </w:rPr>
        <w:t xml:space="preserve">(1) </w:t>
      </w:r>
      <w:r w:rsidRPr="0053310D">
        <w:rPr>
          <w:lang w:val="en-US"/>
        </w:rPr>
        <w:t>assess the feasibility and accuracy of commercially available Ag-RDTs with self-</w:t>
      </w:r>
      <w:r w:rsidR="00784E83">
        <w:rPr>
          <w:lang w:val="en-US"/>
        </w:rPr>
        <w:t>sampled</w:t>
      </w:r>
      <w:r w:rsidR="00784E83" w:rsidRPr="0053310D">
        <w:rPr>
          <w:lang w:val="en-US"/>
        </w:rPr>
        <w:t xml:space="preserve"> </w:t>
      </w:r>
      <w:r w:rsidR="00871587">
        <w:rPr>
          <w:lang w:val="en-US"/>
        </w:rPr>
        <w:t xml:space="preserve">and self-tested </w:t>
      </w:r>
      <w:r w:rsidRPr="0053310D">
        <w:rPr>
          <w:lang w:val="en-US"/>
        </w:rPr>
        <w:t xml:space="preserve">samples compared to RT-PCR </w:t>
      </w:r>
      <w:r w:rsidR="00743094">
        <w:rPr>
          <w:lang w:val="en-US"/>
        </w:rPr>
        <w:t>and (2)</w:t>
      </w:r>
      <w:r w:rsidRPr="0053310D">
        <w:rPr>
          <w:lang w:val="en-US"/>
        </w:rPr>
        <w:t xml:space="preserve"> </w:t>
      </w:r>
      <w:r w:rsidR="00871587">
        <w:rPr>
          <w:lang w:val="en-US"/>
        </w:rPr>
        <w:t>assess the concordance between self-</w:t>
      </w:r>
      <w:r w:rsidR="00784E83">
        <w:rPr>
          <w:lang w:val="en-US"/>
        </w:rPr>
        <w:t xml:space="preserve">sampled </w:t>
      </w:r>
      <w:r w:rsidR="00871587">
        <w:rPr>
          <w:lang w:val="en-US"/>
        </w:rPr>
        <w:t>and self-tested samples compared to professional samples</w:t>
      </w:r>
      <w:r w:rsidR="00A042D4">
        <w:rPr>
          <w:lang w:val="en-US"/>
        </w:rPr>
        <w:t xml:space="preserve"> </w:t>
      </w:r>
      <w:r w:rsidR="004465C2">
        <w:rPr>
          <w:lang w:val="en-US"/>
        </w:rPr>
        <w:t>and (3) ease-of-use and feasibility of self-</w:t>
      </w:r>
      <w:r w:rsidR="00784E83">
        <w:rPr>
          <w:lang w:val="en-US"/>
        </w:rPr>
        <w:t>sampling</w:t>
      </w:r>
      <w:r w:rsidR="004465C2">
        <w:rPr>
          <w:lang w:val="en-US"/>
        </w:rPr>
        <w:t xml:space="preserve"> and self-testing.</w:t>
      </w:r>
    </w:p>
    <w:p w14:paraId="2F63E5F7" w14:textId="2679F971" w:rsidR="00587FC0" w:rsidRPr="0053310D" w:rsidRDefault="00587FC0" w:rsidP="003377EE">
      <w:pPr>
        <w:spacing w:line="276" w:lineRule="auto"/>
        <w:jc w:val="both"/>
        <w:rPr>
          <w:lang w:val="en-US"/>
        </w:rPr>
      </w:pPr>
    </w:p>
    <w:p w14:paraId="30632D2F" w14:textId="1BFF3D2F" w:rsidR="00587FC0" w:rsidRPr="0053310D" w:rsidRDefault="00587FC0" w:rsidP="003377EE">
      <w:pPr>
        <w:spacing w:line="276" w:lineRule="auto"/>
        <w:jc w:val="both"/>
        <w:rPr>
          <w:lang w:val="en-US"/>
        </w:rPr>
      </w:pPr>
      <w:r w:rsidRPr="0053310D">
        <w:rPr>
          <w:lang w:val="en-US"/>
        </w:rPr>
        <w:t>4. CRITERIA FOR CONSIDERING STUDIES FOR THE REVIEW</w:t>
      </w:r>
    </w:p>
    <w:p w14:paraId="29DAFFC1" w14:textId="77777777" w:rsidR="004A79BA" w:rsidRPr="0053310D" w:rsidRDefault="004A79BA" w:rsidP="003377EE">
      <w:pPr>
        <w:spacing w:line="276" w:lineRule="auto"/>
        <w:jc w:val="both"/>
        <w:rPr>
          <w:lang w:val="en-US"/>
        </w:rPr>
      </w:pPr>
    </w:p>
    <w:p w14:paraId="0A77A812" w14:textId="77777777" w:rsidR="004A79BA" w:rsidRPr="0053310D" w:rsidRDefault="004A79BA" w:rsidP="003377EE">
      <w:pPr>
        <w:numPr>
          <w:ilvl w:val="1"/>
          <w:numId w:val="2"/>
        </w:numPr>
        <w:spacing w:line="276" w:lineRule="auto"/>
        <w:jc w:val="both"/>
        <w:rPr>
          <w:b/>
          <w:color w:val="000000" w:themeColor="text1"/>
          <w:lang w:val="en-US"/>
        </w:rPr>
      </w:pPr>
      <w:r w:rsidRPr="0053310D">
        <w:rPr>
          <w:b/>
          <w:color w:val="000000" w:themeColor="text1"/>
          <w:lang w:val="en-US"/>
        </w:rPr>
        <w:t>Types of studies (designs):</w:t>
      </w:r>
    </w:p>
    <w:p w14:paraId="3CAB93D5" w14:textId="0BED1FCD" w:rsidR="00871587" w:rsidRDefault="004A79BA" w:rsidP="003377EE">
      <w:pPr>
        <w:spacing w:line="276" w:lineRule="auto"/>
        <w:jc w:val="both"/>
        <w:rPr>
          <w:color w:val="000000" w:themeColor="text1"/>
          <w:lang w:val="en-US"/>
        </w:rPr>
      </w:pPr>
      <w:r w:rsidRPr="0053310D">
        <w:rPr>
          <w:color w:val="000000" w:themeColor="text1"/>
          <w:lang w:val="en-US"/>
        </w:rPr>
        <w:t>Clinical studies evaluating the accuracy of</w:t>
      </w:r>
      <w:r w:rsidR="007A32E8" w:rsidRPr="0053310D">
        <w:rPr>
          <w:color w:val="000000" w:themeColor="text1"/>
          <w:lang w:val="en-US"/>
        </w:rPr>
        <w:t xml:space="preserve"> self-</w:t>
      </w:r>
      <w:r w:rsidR="00784E83">
        <w:rPr>
          <w:color w:val="000000" w:themeColor="text1"/>
          <w:lang w:val="en-US"/>
        </w:rPr>
        <w:t>sampled</w:t>
      </w:r>
      <w:r w:rsidR="00784E83" w:rsidRPr="0053310D">
        <w:rPr>
          <w:color w:val="000000" w:themeColor="text1"/>
          <w:lang w:val="en-US"/>
        </w:rPr>
        <w:t xml:space="preserve"> </w:t>
      </w:r>
      <w:r w:rsidR="00871587">
        <w:rPr>
          <w:color w:val="000000" w:themeColor="text1"/>
          <w:lang w:val="en-US"/>
        </w:rPr>
        <w:t xml:space="preserve">or self-tested </w:t>
      </w:r>
      <w:r w:rsidRPr="0053310D">
        <w:rPr>
          <w:color w:val="000000" w:themeColor="text1"/>
          <w:lang w:val="en-US"/>
        </w:rPr>
        <w:t xml:space="preserve">antigen POC tests for SARS </w:t>
      </w:r>
      <w:proofErr w:type="spellStart"/>
      <w:r w:rsidRPr="0053310D">
        <w:rPr>
          <w:color w:val="000000" w:themeColor="text1"/>
          <w:lang w:val="en-US"/>
        </w:rPr>
        <w:t>CoV</w:t>
      </w:r>
      <w:proofErr w:type="spellEnd"/>
      <w:r w:rsidRPr="0053310D">
        <w:rPr>
          <w:color w:val="000000" w:themeColor="text1"/>
          <w:lang w:val="en-US"/>
        </w:rPr>
        <w:t xml:space="preserve"> 2 detection against a RT-PCR as reference standard. </w:t>
      </w:r>
      <w:r w:rsidR="00871587">
        <w:rPr>
          <w:color w:val="000000" w:themeColor="text1"/>
          <w:lang w:val="en-US"/>
        </w:rPr>
        <w:t>Clinical studies evaluating the concordance between self-</w:t>
      </w:r>
      <w:r w:rsidR="00784E83">
        <w:rPr>
          <w:color w:val="000000" w:themeColor="text1"/>
          <w:lang w:val="en-US"/>
        </w:rPr>
        <w:t>sampled</w:t>
      </w:r>
      <w:r w:rsidR="00871587">
        <w:rPr>
          <w:color w:val="000000" w:themeColor="text1"/>
          <w:lang w:val="en-US"/>
        </w:rPr>
        <w:t xml:space="preserve"> </w:t>
      </w:r>
      <w:r w:rsidR="00902949">
        <w:rPr>
          <w:color w:val="000000" w:themeColor="text1"/>
          <w:lang w:val="en-US"/>
        </w:rPr>
        <w:t>or</w:t>
      </w:r>
      <w:r w:rsidR="00871587">
        <w:rPr>
          <w:color w:val="000000" w:themeColor="text1"/>
          <w:lang w:val="en-US"/>
        </w:rPr>
        <w:t xml:space="preserve"> self-tested samples compared to professional tested samples.</w:t>
      </w:r>
    </w:p>
    <w:p w14:paraId="2B776420" w14:textId="5FA79FD5" w:rsidR="004A79BA" w:rsidRPr="0053310D" w:rsidRDefault="004A79BA" w:rsidP="003377EE">
      <w:pPr>
        <w:spacing w:line="276" w:lineRule="auto"/>
        <w:jc w:val="both"/>
        <w:rPr>
          <w:color w:val="000000" w:themeColor="text1"/>
          <w:lang w:val="en-US"/>
        </w:rPr>
      </w:pPr>
      <w:r w:rsidRPr="0053310D">
        <w:rPr>
          <w:color w:val="000000" w:themeColor="text1"/>
          <w:lang w:val="en-US"/>
        </w:rPr>
        <w:t>We will consider retrospective or prospective cohort or nested cohort studies, or cross-sectional studies, as well as randomized studies. Publications with less than 10 samples will be excluded. To present the latest available data, we will consider both peer reviewed publications and preprints as eligible.</w:t>
      </w:r>
    </w:p>
    <w:p w14:paraId="1E48F233" w14:textId="77777777" w:rsidR="004A79BA" w:rsidRPr="0053310D" w:rsidRDefault="004A79BA" w:rsidP="003377EE">
      <w:pPr>
        <w:numPr>
          <w:ilvl w:val="1"/>
          <w:numId w:val="2"/>
        </w:numPr>
        <w:spacing w:line="276" w:lineRule="auto"/>
        <w:jc w:val="both"/>
        <w:rPr>
          <w:b/>
          <w:color w:val="000000" w:themeColor="text1"/>
          <w:lang w:val="en-US"/>
        </w:rPr>
      </w:pPr>
      <w:r w:rsidRPr="0053310D">
        <w:rPr>
          <w:b/>
          <w:color w:val="000000" w:themeColor="text1"/>
          <w:lang w:val="en-US"/>
        </w:rPr>
        <w:t>Types of participants:</w:t>
      </w:r>
    </w:p>
    <w:p w14:paraId="6F804872" w14:textId="77777777" w:rsidR="004A79BA" w:rsidRPr="0053310D" w:rsidRDefault="004A79BA" w:rsidP="003377EE">
      <w:pPr>
        <w:spacing w:line="276" w:lineRule="auto"/>
        <w:jc w:val="both"/>
        <w:rPr>
          <w:color w:val="000000" w:themeColor="text1"/>
          <w:lang w:val="en-US"/>
        </w:rPr>
      </w:pPr>
      <w:r w:rsidRPr="0053310D">
        <w:rPr>
          <w:color w:val="000000" w:themeColor="text1"/>
          <w:lang w:val="en-US"/>
        </w:rPr>
        <w:t xml:space="preserve">Patients of all age-groups suspected of having or confirmed with SARS-CoV-2. All countries. </w:t>
      </w:r>
      <w:r w:rsidRPr="000E386D">
        <w:rPr>
          <w:color w:val="000000" w:themeColor="text1"/>
          <w:lang w:val="en-US"/>
        </w:rPr>
        <w:t xml:space="preserve">We will exclude any studies in which patients are being tested for monitoring or end of quarantine. </w:t>
      </w:r>
      <w:r w:rsidRPr="0053310D">
        <w:rPr>
          <w:color w:val="000000" w:themeColor="text1"/>
          <w:lang w:val="en-US"/>
        </w:rPr>
        <w:t xml:space="preserve">Although the size threshold of 10 is arbitrary, such small studies are likely to give unreliable estimates of sensitivity or specificity. </w:t>
      </w:r>
    </w:p>
    <w:p w14:paraId="276826EA" w14:textId="77777777" w:rsidR="004A79BA" w:rsidRPr="0053310D" w:rsidRDefault="004A79BA" w:rsidP="003377EE">
      <w:pPr>
        <w:numPr>
          <w:ilvl w:val="1"/>
          <w:numId w:val="2"/>
        </w:numPr>
        <w:spacing w:line="276" w:lineRule="auto"/>
        <w:jc w:val="both"/>
        <w:rPr>
          <w:b/>
          <w:color w:val="000000" w:themeColor="text1"/>
          <w:lang w:val="en-US"/>
        </w:rPr>
      </w:pPr>
      <w:r w:rsidRPr="0053310D">
        <w:rPr>
          <w:b/>
          <w:color w:val="000000" w:themeColor="text1"/>
          <w:lang w:val="en-US"/>
        </w:rPr>
        <w:t>Index test:</w:t>
      </w:r>
    </w:p>
    <w:p w14:paraId="61A9AF41" w14:textId="77777777" w:rsidR="004A79BA" w:rsidRPr="0053310D" w:rsidRDefault="004A79BA" w:rsidP="003377EE">
      <w:pPr>
        <w:spacing w:line="276" w:lineRule="auto"/>
        <w:jc w:val="both"/>
        <w:rPr>
          <w:color w:val="000000" w:themeColor="text1"/>
          <w:lang w:val="en-US"/>
        </w:rPr>
      </w:pPr>
      <w:r w:rsidRPr="0053310D">
        <w:rPr>
          <w:color w:val="000000" w:themeColor="text1"/>
          <w:lang w:val="en-US"/>
        </w:rPr>
        <w:t>Antigen POC diagnostic for SARS-CoV-2 of any type</w:t>
      </w:r>
    </w:p>
    <w:p w14:paraId="45B53F0F" w14:textId="77777777" w:rsidR="004A79BA" w:rsidRPr="0053310D" w:rsidRDefault="004A79BA" w:rsidP="003377EE">
      <w:pPr>
        <w:numPr>
          <w:ilvl w:val="1"/>
          <w:numId w:val="2"/>
        </w:numPr>
        <w:spacing w:line="276" w:lineRule="auto"/>
        <w:jc w:val="both"/>
        <w:rPr>
          <w:b/>
          <w:color w:val="000000" w:themeColor="text1"/>
          <w:lang w:val="en-US"/>
        </w:rPr>
      </w:pPr>
      <w:r w:rsidRPr="0053310D">
        <w:rPr>
          <w:b/>
          <w:color w:val="000000" w:themeColor="text1"/>
          <w:lang w:val="en-US"/>
        </w:rPr>
        <w:t>Target conditions</w:t>
      </w:r>
    </w:p>
    <w:p w14:paraId="5540F23F" w14:textId="4BEA2E28" w:rsidR="004A79BA" w:rsidRPr="0053310D" w:rsidRDefault="004A79BA" w:rsidP="003377EE">
      <w:pPr>
        <w:spacing w:line="276" w:lineRule="auto"/>
        <w:jc w:val="both"/>
        <w:rPr>
          <w:color w:val="000000" w:themeColor="text1"/>
          <w:lang w:val="en-US"/>
        </w:rPr>
      </w:pPr>
      <w:r w:rsidRPr="0053310D">
        <w:rPr>
          <w:color w:val="000000" w:themeColor="text1"/>
          <w:lang w:val="en-US"/>
        </w:rPr>
        <w:t xml:space="preserve">Persons presumed to have COVID-19, </w:t>
      </w:r>
      <w:r w:rsidR="006B4057" w:rsidRPr="0053310D">
        <w:rPr>
          <w:color w:val="000000" w:themeColor="text1"/>
          <w:lang w:val="en-US"/>
        </w:rPr>
        <w:t xml:space="preserve">screening </w:t>
      </w:r>
      <w:r w:rsidRPr="0053310D">
        <w:rPr>
          <w:color w:val="000000" w:themeColor="text1"/>
          <w:lang w:val="en-US"/>
        </w:rPr>
        <w:t>independent of symptoms</w:t>
      </w:r>
      <w:r w:rsidR="006B4057" w:rsidRPr="0053310D">
        <w:rPr>
          <w:color w:val="000000" w:themeColor="text1"/>
          <w:lang w:val="en-US"/>
        </w:rPr>
        <w:t xml:space="preserve">, high risk </w:t>
      </w:r>
      <w:proofErr w:type="gramStart"/>
      <w:r w:rsidR="006B4057" w:rsidRPr="0053310D">
        <w:rPr>
          <w:color w:val="000000" w:themeColor="text1"/>
          <w:lang w:val="en-US"/>
        </w:rPr>
        <w:t>contacts</w:t>
      </w:r>
      <w:proofErr w:type="gramEnd"/>
    </w:p>
    <w:p w14:paraId="379A45E3" w14:textId="77777777" w:rsidR="004A79BA" w:rsidRPr="0053310D" w:rsidRDefault="004A79BA" w:rsidP="003377EE">
      <w:pPr>
        <w:numPr>
          <w:ilvl w:val="1"/>
          <w:numId w:val="2"/>
        </w:numPr>
        <w:spacing w:line="276" w:lineRule="auto"/>
        <w:jc w:val="both"/>
        <w:rPr>
          <w:b/>
          <w:color w:val="000000" w:themeColor="text1"/>
          <w:lang w:val="en-US"/>
        </w:rPr>
      </w:pPr>
      <w:r w:rsidRPr="0053310D">
        <w:rPr>
          <w:b/>
          <w:color w:val="000000" w:themeColor="text1"/>
          <w:lang w:val="en-US"/>
        </w:rPr>
        <w:lastRenderedPageBreak/>
        <w:t>Reference Standard:</w:t>
      </w:r>
    </w:p>
    <w:p w14:paraId="3310BB42" w14:textId="4A364D1A" w:rsidR="00216DEF" w:rsidRDefault="004A79BA" w:rsidP="003377EE">
      <w:pPr>
        <w:spacing w:line="276" w:lineRule="auto"/>
        <w:jc w:val="both"/>
        <w:rPr>
          <w:color w:val="000000" w:themeColor="text1"/>
          <w:lang w:val="en-US"/>
        </w:rPr>
      </w:pPr>
      <w:r w:rsidRPr="0053310D">
        <w:rPr>
          <w:color w:val="000000" w:themeColor="text1"/>
          <w:lang w:val="en-US"/>
        </w:rPr>
        <w:t>For the purposes of this review, we considered RT-PCR to be the ‘reference standard’ against which the rapid tests are compared. RT-PCR is the most direct reference standard for an antigen test as RNA to be highly correlated with Antigen quantities</w:t>
      </w:r>
      <w:r w:rsidR="00D16D9B">
        <w:rPr>
          <w:color w:val="000000" w:themeColor="text1"/>
          <w:lang w:val="en-US"/>
        </w:rPr>
        <w:fldChar w:fldCharType="begin" w:fldLock="1"/>
      </w:r>
      <w:r w:rsidR="00C80A4F">
        <w:rPr>
          <w:color w:val="000000" w:themeColor="text1"/>
          <w:lang w:val="en-US"/>
        </w:rPr>
        <w:instrText>ADDIN CSL_CITATION {"citationItems":[{"id":"ITEM-1","itemData":{"DOI":"10.1101/2020.11.10.20227371","ISSN":"1098-660X","PMID":"33441395","abstract":"Background: Diagnosis of COVID-19 by PCR offers high sensitivity, but the utility of detecting samples with high cycle threshold (Ct) values remains controversial. Currently available rapid diagnostic tests (RDTs) for SARS-CoV-2 nucleocapsid antigens (Ag) have sensitivity well below PCR. The correlation of Ag and RNA quantities in clinical nasopharyngeal (NP) samples is unknown. Methods: An ultrasensitive, quantitative electrochemiluminescence immunoassay for SARSCoV-2 nucleocapsid (the MSD® S-PLEX® CoV-2 N assay) was used to measure Ag in clinical NP samples from adults and children previously tested by PCR. Results: The S-PLEX Ag assay had a limit of detection (LOD) of 0.16 pg/mL and a cutoff of 0.32 pg/mL. Ag concentrations measured in clinical NP samples (collected in 3.0 mL media) ranged from less than 160 fg/mL to 2.7 ug/mL. Log-transformed Ag concentrations correlated tightly with Ct values. In 35 adult and 101 pediatric PCR-positive samples, sensitivity was 91% (95% CI, 77-98%) and 79% (70-87%), respectively. In samples with Ct &lt; 35, sensitivity was 100% (88-100%) and 96% (88-99%), respectively. In 50 adult and 40 pediatric PCR-negative specimens, specificity was 100% (93-100%) and 98% (87-100%), respectively. Conclusions: Nucleocapsid concentrations in clinical NP samples span 8 orders of magnitude and correlate closely with RNA concentrations (Ct values). The S-PLEX Ag assay had 96-100% sensitivity in samples from children and adults with Ct values &lt; 35, and 98-100% specificity. These results clarify Ag concentration distributions in clinical samples, providing insight into the performance of Ag RDTs and offering a new approach to diagnosis of COVID-19.","author":[{"dropping-particle":"","family":"Pollock","given":"Nira R.","non-dropping-particle":"","parse-names":false,"suffix":""},{"dropping-particle":"","family":"Savage","given":"Timothy J.","non-dropping-particle":"","parse-names":false,"suffix":""},{"dropping-particle":"","family":"Wardell","given":"Hanna","non-dropping-particle":"","parse-names":false,"suffix":""},{"dropping-particle":"","family":"Lee","given":"Rose","non-dropping-particle":"","parse-names":false,"suffix":""},{"dropping-particle":"","family":"Mathew","given":"Anu","non-dropping-particle":"","parse-names":false,"suffix":""},{"dropping-particle":"","family":"Stengelin","given":"Martin","non-dropping-particle":"","parse-names":false,"suffix":""},{"dropping-particle":"","family":"Sigal","given":"George B.","non-dropping-particle":"","parse-names":false,"suffix":""}],"container-title":"Journal of Clinical Microbiology","id":"ITEM-1","issue":"4","issued":{"date-parts":[["2021"]]},"page":"1-10","title":"Correlation of SARS-CoV-2 nucleocapsid antigen and RNA concentrations in nasopharyngeal samples from children and adults using an ultrasensitive and quantitative antigen assay","type":"article-journal","volume":"59"},"uris":["http://www.mendeley.com/documents/?uuid=f18886bc-8ffd-4ea5-88f5-5f64eb60e20a"]}],"mendeley":{"formattedCitation":"&lt;sup&gt;11&lt;/sup&gt;","plainTextFormattedCitation":"11","previouslyFormattedCitation":"&lt;sup&gt;11&lt;/sup&gt;"},"properties":{"noteIndex":0},"schema":"https://github.com/citation-style-language/schema/raw/master/csl-citation.json"}</w:instrText>
      </w:r>
      <w:r w:rsidR="00D16D9B">
        <w:rPr>
          <w:color w:val="000000" w:themeColor="text1"/>
          <w:lang w:val="en-US"/>
        </w:rPr>
        <w:fldChar w:fldCharType="separate"/>
      </w:r>
      <w:r w:rsidR="00C80A4F" w:rsidRPr="00C80A4F">
        <w:rPr>
          <w:noProof/>
          <w:color w:val="000000" w:themeColor="text1"/>
          <w:vertAlign w:val="superscript"/>
          <w:lang w:val="en-US"/>
        </w:rPr>
        <w:t>11</w:t>
      </w:r>
      <w:r w:rsidR="00D16D9B">
        <w:rPr>
          <w:color w:val="000000" w:themeColor="text1"/>
          <w:lang w:val="en-US"/>
        </w:rPr>
        <w:fldChar w:fldCharType="end"/>
      </w:r>
      <w:r w:rsidRPr="0053310D">
        <w:rPr>
          <w:color w:val="000000" w:themeColor="text1"/>
          <w:lang w:val="en-US"/>
        </w:rPr>
        <w:t xml:space="preserve">. The result of further RT-PCR analysis of discrepant cells (samples with results disagreeing on the rapid test and the RT-PCR) will also considered in sensitivity analyses. </w:t>
      </w:r>
      <w:r w:rsidR="002C5875">
        <w:rPr>
          <w:color w:val="000000" w:themeColor="text1"/>
          <w:lang w:val="en-US"/>
        </w:rPr>
        <w:t>We</w:t>
      </w:r>
      <w:r w:rsidRPr="0053310D">
        <w:rPr>
          <w:color w:val="000000" w:themeColor="text1"/>
          <w:lang w:val="en-US"/>
        </w:rPr>
        <w:t xml:space="preserve"> will consider results from retesting with a second test in a sensitivity analysis.</w:t>
      </w:r>
    </w:p>
    <w:p w14:paraId="6831E789" w14:textId="39422E5E" w:rsidR="00443F9B" w:rsidRPr="00061E5B" w:rsidRDefault="00443F9B" w:rsidP="003377EE">
      <w:pPr>
        <w:spacing w:line="276" w:lineRule="auto"/>
        <w:jc w:val="both"/>
        <w:rPr>
          <w:color w:val="000000" w:themeColor="text1"/>
          <w:lang w:val="en-US"/>
        </w:rPr>
      </w:pPr>
      <w:r>
        <w:rPr>
          <w:color w:val="000000" w:themeColor="text1"/>
          <w:lang w:val="en-US"/>
        </w:rPr>
        <w:t xml:space="preserve">In studies reporting </w:t>
      </w:r>
      <w:r w:rsidR="002C5875">
        <w:rPr>
          <w:color w:val="000000" w:themeColor="text1"/>
          <w:lang w:val="en-US"/>
        </w:rPr>
        <w:t xml:space="preserve">on </w:t>
      </w:r>
      <w:r w:rsidR="00784E83">
        <w:rPr>
          <w:color w:val="000000" w:themeColor="text1"/>
          <w:lang w:val="en-US"/>
        </w:rPr>
        <w:t>comparison</w:t>
      </w:r>
      <w:r>
        <w:rPr>
          <w:color w:val="000000" w:themeColor="text1"/>
          <w:lang w:val="en-US"/>
        </w:rPr>
        <w:t xml:space="preserve"> between self- and professional tested samples</w:t>
      </w:r>
      <w:r w:rsidR="002C5875">
        <w:rPr>
          <w:color w:val="000000" w:themeColor="text1"/>
          <w:lang w:val="en-US"/>
        </w:rPr>
        <w:t xml:space="preserve"> in the absence of a RT-PCR</w:t>
      </w:r>
      <w:r>
        <w:rPr>
          <w:color w:val="000000" w:themeColor="text1"/>
          <w:lang w:val="en-US"/>
        </w:rPr>
        <w:t xml:space="preserve">, we will </w:t>
      </w:r>
      <w:r w:rsidR="002C5875">
        <w:rPr>
          <w:color w:val="000000" w:themeColor="text1"/>
          <w:lang w:val="en-US"/>
        </w:rPr>
        <w:t>report concordance to professional samples.</w:t>
      </w:r>
    </w:p>
    <w:p w14:paraId="42BA6DE2" w14:textId="685A1C69" w:rsidR="00587FC0" w:rsidRPr="0053310D" w:rsidRDefault="00587FC0" w:rsidP="003377EE">
      <w:pPr>
        <w:spacing w:line="276" w:lineRule="auto"/>
        <w:jc w:val="both"/>
        <w:rPr>
          <w:color w:val="FFFFFF" w:themeColor="background1"/>
          <w:lang w:val="en-US"/>
        </w:rPr>
      </w:pPr>
    </w:p>
    <w:p w14:paraId="72801A42" w14:textId="6D721F14" w:rsidR="001B555D" w:rsidRDefault="001B555D" w:rsidP="0039211B">
      <w:pPr>
        <w:spacing w:line="276" w:lineRule="auto"/>
        <w:jc w:val="both"/>
        <w:rPr>
          <w:rFonts w:cstheme="minorHAnsi"/>
          <w:bCs/>
          <w:caps/>
          <w:lang w:val="en-US"/>
        </w:rPr>
      </w:pPr>
      <w:r w:rsidRPr="0053310D">
        <w:rPr>
          <w:rFonts w:cstheme="minorHAnsi"/>
          <w:bCs/>
          <w:caps/>
          <w:lang w:val="en-US"/>
        </w:rPr>
        <w:t>5. Criteria for considering studies for the METANANLYSIS:</w:t>
      </w:r>
    </w:p>
    <w:p w14:paraId="4E1F3B59" w14:textId="77777777" w:rsidR="00F9297A" w:rsidRPr="0053310D" w:rsidRDefault="00F9297A" w:rsidP="0039211B">
      <w:pPr>
        <w:spacing w:line="276" w:lineRule="auto"/>
        <w:jc w:val="both"/>
        <w:rPr>
          <w:rFonts w:cstheme="minorHAnsi"/>
          <w:bCs/>
          <w:caps/>
          <w:lang w:val="en-US"/>
        </w:rPr>
      </w:pPr>
    </w:p>
    <w:p w14:paraId="377C4386" w14:textId="74A63BA6" w:rsidR="001B555D" w:rsidRPr="0053310D" w:rsidRDefault="001B555D" w:rsidP="0039211B">
      <w:pPr>
        <w:spacing w:line="276" w:lineRule="auto"/>
        <w:jc w:val="both"/>
        <w:rPr>
          <w:rFonts w:cstheme="minorHAnsi"/>
          <w:lang w:val="en-US"/>
        </w:rPr>
      </w:pPr>
      <w:r w:rsidRPr="0053310D">
        <w:rPr>
          <w:rFonts w:cstheme="minorHAnsi"/>
          <w:lang w:val="en-US"/>
        </w:rPr>
        <w:t>We will only consider all studies that have been included into the systematic review as eligible for the meta-analysis. We will provide meta-analysis for clinical accuracy. In addition, we will only provide a test specific meta-analysis for index tests that have been evaluated by at least 4 studies.</w:t>
      </w:r>
    </w:p>
    <w:p w14:paraId="6400DB62" w14:textId="53354C55" w:rsidR="001B555D" w:rsidRPr="0053310D" w:rsidRDefault="001B555D" w:rsidP="003377EE">
      <w:pPr>
        <w:spacing w:line="276" w:lineRule="auto"/>
        <w:jc w:val="both"/>
        <w:rPr>
          <w:color w:val="FFFFFF" w:themeColor="background1"/>
          <w:lang w:val="en-US"/>
        </w:rPr>
      </w:pPr>
    </w:p>
    <w:p w14:paraId="2372BA16" w14:textId="1F34B38E" w:rsidR="001B555D" w:rsidRDefault="001B555D" w:rsidP="0039211B">
      <w:pPr>
        <w:spacing w:line="276" w:lineRule="auto"/>
        <w:jc w:val="both"/>
        <w:rPr>
          <w:rFonts w:cstheme="minorHAnsi"/>
          <w:bCs/>
          <w:lang w:val="en-US"/>
        </w:rPr>
      </w:pPr>
      <w:r w:rsidRPr="0053310D">
        <w:rPr>
          <w:rFonts w:cstheme="minorHAnsi"/>
          <w:bCs/>
          <w:lang w:val="en-US"/>
        </w:rPr>
        <w:t>6. SEARCH METHODS</w:t>
      </w:r>
    </w:p>
    <w:p w14:paraId="43D9097B" w14:textId="77777777" w:rsidR="00F9297A" w:rsidRPr="0053310D" w:rsidRDefault="00F9297A" w:rsidP="0039211B">
      <w:pPr>
        <w:spacing w:line="276" w:lineRule="auto"/>
        <w:jc w:val="both"/>
        <w:rPr>
          <w:rFonts w:cstheme="minorHAnsi"/>
          <w:bCs/>
          <w:lang w:val="en-US"/>
        </w:rPr>
      </w:pPr>
    </w:p>
    <w:p w14:paraId="03599212" w14:textId="3AF99C3F" w:rsidR="001B555D" w:rsidRPr="0053310D" w:rsidRDefault="001B555D" w:rsidP="0039211B">
      <w:pPr>
        <w:spacing w:line="276" w:lineRule="auto"/>
        <w:jc w:val="both"/>
        <w:rPr>
          <w:rFonts w:cstheme="minorHAnsi"/>
          <w:lang w:val="en-US"/>
        </w:rPr>
      </w:pPr>
      <w:r w:rsidRPr="0053310D">
        <w:rPr>
          <w:rFonts w:cstheme="minorHAnsi"/>
          <w:lang w:val="en-US"/>
        </w:rPr>
        <w:t>We will perform an electronic search in the databases PubMed and Web of Science using an automated search algorithm. The main search terms are “Severe Acute Respiratory Syndrome Coronavirus 2”, “COVID-19”, “Betacoronavirus”, “Coronavirus” and “Point of Care Testing”</w:t>
      </w:r>
      <w:r w:rsidR="007F651B">
        <w:rPr>
          <w:rFonts w:cstheme="minorHAnsi"/>
          <w:lang w:val="en-US"/>
        </w:rPr>
        <w:t xml:space="preserve">. </w:t>
      </w:r>
      <w:r w:rsidRPr="0053310D">
        <w:rPr>
          <w:rFonts w:cstheme="minorHAnsi"/>
          <w:lang w:val="en-US"/>
        </w:rPr>
        <w:t>A librarian defined the search. We will search for any literature published between December 01</w:t>
      </w:r>
      <w:r w:rsidRPr="0053310D">
        <w:rPr>
          <w:rFonts w:cstheme="minorHAnsi"/>
          <w:vertAlign w:val="superscript"/>
          <w:lang w:val="en-US"/>
        </w:rPr>
        <w:t>st</w:t>
      </w:r>
      <w:r w:rsidR="00A042D4">
        <w:rPr>
          <w:rFonts w:cstheme="minorHAnsi"/>
          <w:lang w:val="en-US"/>
        </w:rPr>
        <w:t xml:space="preserve"> </w:t>
      </w:r>
      <w:r w:rsidRPr="0053310D">
        <w:rPr>
          <w:rFonts w:cstheme="minorHAnsi"/>
          <w:lang w:val="en-US"/>
        </w:rPr>
        <w:t xml:space="preserve">2019 and </w:t>
      </w:r>
      <w:r w:rsidR="00A042D4">
        <w:rPr>
          <w:rFonts w:cstheme="minorHAnsi"/>
          <w:lang w:val="en-US"/>
        </w:rPr>
        <w:t>November 16</w:t>
      </w:r>
      <w:r w:rsidR="00A042D4" w:rsidRPr="00A042D4">
        <w:rPr>
          <w:rFonts w:cstheme="minorHAnsi"/>
          <w:vertAlign w:val="superscript"/>
          <w:lang w:val="en-US"/>
        </w:rPr>
        <w:t>th</w:t>
      </w:r>
      <w:proofErr w:type="gramStart"/>
      <w:r w:rsidRPr="0053310D">
        <w:rPr>
          <w:rFonts w:cstheme="minorHAnsi"/>
          <w:lang w:val="en-US"/>
        </w:rPr>
        <w:t xml:space="preserve"> 2021</w:t>
      </w:r>
      <w:proofErr w:type="gramEnd"/>
      <w:r w:rsidRPr="0053310D">
        <w:rPr>
          <w:rFonts w:cstheme="minorHAnsi"/>
          <w:lang w:val="en-US"/>
        </w:rPr>
        <w:t>. No language restrictions will be applied.</w:t>
      </w:r>
    </w:p>
    <w:p w14:paraId="3EBE3E8F" w14:textId="21739A95" w:rsidR="001B555D" w:rsidRPr="0053310D" w:rsidRDefault="001B555D" w:rsidP="003377EE">
      <w:pPr>
        <w:spacing w:line="276" w:lineRule="auto"/>
        <w:jc w:val="both"/>
        <w:rPr>
          <w:color w:val="FFFFFF" w:themeColor="background1"/>
          <w:lang w:val="en-US"/>
        </w:rPr>
      </w:pPr>
    </w:p>
    <w:p w14:paraId="283A2275" w14:textId="258DBFBE" w:rsidR="00B23179" w:rsidRDefault="00B23179" w:rsidP="0039211B">
      <w:pPr>
        <w:spacing w:line="276" w:lineRule="auto"/>
        <w:jc w:val="both"/>
        <w:rPr>
          <w:rFonts w:cstheme="minorHAnsi"/>
          <w:bCs/>
        </w:rPr>
      </w:pPr>
      <w:r w:rsidRPr="0053310D">
        <w:rPr>
          <w:rFonts w:cstheme="minorHAnsi"/>
          <w:bCs/>
        </w:rPr>
        <w:t>7. REVIEW METHODS</w:t>
      </w:r>
    </w:p>
    <w:p w14:paraId="4A0191D2" w14:textId="77777777" w:rsidR="00332FE8" w:rsidRPr="0053310D" w:rsidRDefault="00332FE8" w:rsidP="0039211B">
      <w:pPr>
        <w:spacing w:line="276" w:lineRule="auto"/>
        <w:jc w:val="both"/>
        <w:rPr>
          <w:rFonts w:cstheme="minorHAnsi"/>
          <w:bCs/>
        </w:rPr>
      </w:pPr>
    </w:p>
    <w:p w14:paraId="5948B346" w14:textId="77777777" w:rsidR="00B23179" w:rsidRPr="0053310D" w:rsidRDefault="00B23179" w:rsidP="0039211B">
      <w:pPr>
        <w:pStyle w:val="ListParagraph"/>
        <w:numPr>
          <w:ilvl w:val="1"/>
          <w:numId w:val="5"/>
        </w:numPr>
        <w:spacing w:after="0" w:line="276" w:lineRule="auto"/>
        <w:ind w:left="1440"/>
        <w:jc w:val="both"/>
        <w:rPr>
          <w:rFonts w:cstheme="minorHAnsi"/>
          <w:b/>
          <w:sz w:val="24"/>
          <w:szCs w:val="24"/>
        </w:rPr>
      </w:pPr>
      <w:r w:rsidRPr="0053310D">
        <w:rPr>
          <w:rFonts w:cstheme="minorHAnsi"/>
          <w:b/>
          <w:sz w:val="24"/>
          <w:szCs w:val="24"/>
        </w:rPr>
        <w:t>Study selection methods:</w:t>
      </w:r>
    </w:p>
    <w:p w14:paraId="52CC4D65" w14:textId="550AB533" w:rsidR="00482AB2" w:rsidRPr="0053310D" w:rsidRDefault="00B23179" w:rsidP="0039211B">
      <w:pPr>
        <w:spacing w:line="276" w:lineRule="auto"/>
        <w:jc w:val="both"/>
        <w:rPr>
          <w:rFonts w:cstheme="minorHAnsi"/>
          <w:lang w:val="en-US"/>
        </w:rPr>
      </w:pPr>
      <w:r w:rsidRPr="0053310D">
        <w:rPr>
          <w:rFonts w:cstheme="minorHAnsi"/>
          <w:lang w:val="en-US"/>
        </w:rPr>
        <w:t xml:space="preserve">Two independent authors (LEB and </w:t>
      </w:r>
      <w:r w:rsidR="0027575E" w:rsidRPr="0053310D">
        <w:rPr>
          <w:rFonts w:cstheme="minorHAnsi"/>
          <w:lang w:val="en-US"/>
        </w:rPr>
        <w:t>CE</w:t>
      </w:r>
      <w:r w:rsidR="00321637" w:rsidRPr="0053310D">
        <w:rPr>
          <w:rFonts w:cstheme="minorHAnsi"/>
          <w:lang w:val="en-US"/>
        </w:rPr>
        <w:t xml:space="preserve"> or LEB and SS or SS and CE</w:t>
      </w:r>
      <w:r w:rsidR="00A042D4">
        <w:rPr>
          <w:rFonts w:cstheme="minorHAnsi"/>
          <w:lang w:val="en-US"/>
        </w:rPr>
        <w:t xml:space="preserve"> or SK and HT</w:t>
      </w:r>
      <w:r w:rsidRPr="0053310D">
        <w:rPr>
          <w:rFonts w:cstheme="minorHAnsi"/>
          <w:lang w:val="en-US"/>
        </w:rPr>
        <w:t xml:space="preserve">) will review the titles and abstracts of all publications returned by the search algorithm (screen 1). Any publication selected for inclusion by one of the authors will be considered as potentially eligible. All </w:t>
      </w:r>
      <w:r w:rsidRPr="0053310D">
        <w:rPr>
          <w:rFonts w:cstheme="minorHAnsi"/>
          <w:lang w:val="en-US"/>
        </w:rPr>
        <w:lastRenderedPageBreak/>
        <w:t>potentially eligible publications will be reviewed again in detail by the same authors (screen 2). After the detailed review, both authors will independently decide which publications to include into the systematic review. Any disputes will be solved by discussion or by a third author (CMD).</w:t>
      </w:r>
    </w:p>
    <w:p w14:paraId="55127D4A" w14:textId="29E1B43D" w:rsidR="00B23179" w:rsidRPr="0053310D" w:rsidRDefault="00B23179" w:rsidP="0039211B">
      <w:pPr>
        <w:spacing w:line="276" w:lineRule="auto"/>
        <w:jc w:val="both"/>
        <w:rPr>
          <w:rFonts w:cstheme="minorHAnsi"/>
          <w:lang w:val="en-US"/>
        </w:rPr>
      </w:pPr>
      <w:r w:rsidRPr="0053310D">
        <w:rPr>
          <w:rFonts w:cstheme="minorHAnsi"/>
          <w:lang w:val="en-US"/>
        </w:rPr>
        <w:t xml:space="preserve"> </w:t>
      </w:r>
    </w:p>
    <w:p w14:paraId="415D5933" w14:textId="77777777" w:rsidR="00B23179" w:rsidRPr="0053310D" w:rsidRDefault="00B23179" w:rsidP="0039211B">
      <w:pPr>
        <w:pStyle w:val="ListParagraph"/>
        <w:numPr>
          <w:ilvl w:val="1"/>
          <w:numId w:val="5"/>
        </w:numPr>
        <w:spacing w:line="276" w:lineRule="auto"/>
        <w:ind w:left="1440"/>
        <w:jc w:val="both"/>
        <w:rPr>
          <w:rFonts w:cstheme="minorHAnsi"/>
          <w:b/>
          <w:sz w:val="24"/>
          <w:szCs w:val="24"/>
        </w:rPr>
      </w:pPr>
      <w:r w:rsidRPr="0053310D">
        <w:rPr>
          <w:rFonts w:cstheme="minorHAnsi"/>
          <w:b/>
          <w:sz w:val="24"/>
          <w:szCs w:val="24"/>
        </w:rPr>
        <w:t>Data extraction methods:</w:t>
      </w:r>
    </w:p>
    <w:p w14:paraId="3533C0C9" w14:textId="77777777" w:rsidR="00B23179" w:rsidRPr="0053310D" w:rsidRDefault="00B23179" w:rsidP="003377EE">
      <w:pPr>
        <w:spacing w:line="276" w:lineRule="auto"/>
        <w:jc w:val="both"/>
        <w:rPr>
          <w:lang w:val="en-GB"/>
        </w:rPr>
      </w:pPr>
      <w:r w:rsidRPr="0053310D">
        <w:rPr>
          <w:lang w:val="en-GB"/>
        </w:rPr>
        <w:t xml:space="preserve">We extracted only data </w:t>
      </w:r>
      <w:r w:rsidRPr="0053310D">
        <w:rPr>
          <w:rFonts w:cstheme="minorHAnsi"/>
          <w:lang w:val="en-US"/>
        </w:rPr>
        <w:t xml:space="preserve">for Ag-RDT results at the time of diagnosis. </w:t>
      </w:r>
      <w:r w:rsidRPr="0053310D">
        <w:rPr>
          <w:lang w:val="en-GB"/>
        </w:rPr>
        <w:t xml:space="preserve">If multiple different RT-PCR tests were performed on one sample within one study, we utilized the data from the best-performing assay. </w:t>
      </w:r>
    </w:p>
    <w:p w14:paraId="3293879B" w14:textId="3C64E3BC" w:rsidR="00B774FC" w:rsidRPr="001E77F3" w:rsidRDefault="00B23179" w:rsidP="003377EE">
      <w:pPr>
        <w:spacing w:line="276" w:lineRule="auto"/>
        <w:jc w:val="both"/>
        <w:rPr>
          <w:rFonts w:cstheme="minorHAnsi"/>
          <w:lang w:val="en-US"/>
        </w:rPr>
      </w:pPr>
      <w:r w:rsidRPr="0053310D">
        <w:rPr>
          <w:lang w:val="en-GB"/>
        </w:rPr>
        <w:t xml:space="preserve">If a study contributed data to more than one analysis (e.g., two different alternative sample types in one study used for the Ag-RDT), it was considered as two or more datasets. </w:t>
      </w:r>
      <w:r w:rsidRPr="0053310D">
        <w:rPr>
          <w:rFonts w:cstheme="minorHAnsi"/>
          <w:lang w:val="en-GB"/>
        </w:rPr>
        <w:t>I</w:t>
      </w:r>
      <w:proofErr w:type="spellStart"/>
      <w:r w:rsidRPr="0053310D">
        <w:rPr>
          <w:rFonts w:cstheme="minorHAnsi"/>
          <w:lang w:val="en-US"/>
        </w:rPr>
        <w:t>n</w:t>
      </w:r>
      <w:proofErr w:type="spellEnd"/>
      <w:r w:rsidRPr="0053310D">
        <w:rPr>
          <w:rFonts w:cstheme="minorHAnsi"/>
          <w:lang w:val="en-US"/>
        </w:rPr>
        <w:t xml:space="preserve"> addition to data on test performance, we extracted data for factors likely to affect test performance: (1) asymptomatic versus symptomatic (2) </w:t>
      </w:r>
      <w:r w:rsidRPr="0053310D">
        <w:rPr>
          <w:rFonts w:eastAsia="Times New Roman" w:cs="Arial"/>
          <w:color w:val="000000" w:themeColor="text1"/>
          <w:lang w:val="en-US" w:eastAsia="de-DE"/>
        </w:rPr>
        <w:t xml:space="preserve">symptom duration prior to testing </w:t>
      </w:r>
      <w:r w:rsidRPr="0053310D">
        <w:rPr>
          <w:rFonts w:cstheme="minorHAnsi"/>
          <w:lang w:val="en-US"/>
        </w:rPr>
        <w:t xml:space="preserve">(3) </w:t>
      </w:r>
      <w:r w:rsidR="00321637" w:rsidRPr="0053310D">
        <w:rPr>
          <w:rFonts w:cstheme="minorHAnsi"/>
          <w:lang w:val="en-US"/>
        </w:rPr>
        <w:t xml:space="preserve">Type of RT-PCR </w:t>
      </w:r>
      <w:r w:rsidRPr="0053310D">
        <w:rPr>
          <w:lang w:val="en-US"/>
        </w:rPr>
        <w:t xml:space="preserve">(4) </w:t>
      </w:r>
      <w:r w:rsidRPr="0053310D">
        <w:rPr>
          <w:rFonts w:cstheme="minorHAnsi"/>
          <w:lang w:val="en-US"/>
        </w:rPr>
        <w:t xml:space="preserve">populations </w:t>
      </w:r>
      <w:r w:rsidRPr="0053310D">
        <w:rPr>
          <w:rFonts w:eastAsia="Times New Roman" w:cs="Arial"/>
          <w:color w:val="000000" w:themeColor="text1"/>
          <w:lang w:val="en-US" w:eastAsia="de-DE"/>
        </w:rPr>
        <w:t xml:space="preserve">(e.g. pediatric versus adults); (5) </w:t>
      </w:r>
      <w:r w:rsidRPr="0053310D">
        <w:rPr>
          <w:rFonts w:cstheme="minorHAnsi"/>
          <w:lang w:val="en-US"/>
        </w:rPr>
        <w:t xml:space="preserve">site of sampling; </w:t>
      </w:r>
      <w:r w:rsidR="00321637" w:rsidRPr="0053310D">
        <w:rPr>
          <w:rFonts w:cstheme="minorHAnsi"/>
          <w:lang w:val="en-US"/>
        </w:rPr>
        <w:t>(</w:t>
      </w:r>
      <w:r w:rsidR="00B774FC">
        <w:rPr>
          <w:rFonts w:cstheme="minorHAnsi"/>
          <w:lang w:val="en-US"/>
        </w:rPr>
        <w:t>6</w:t>
      </w:r>
      <w:r w:rsidR="00321637" w:rsidRPr="0053310D">
        <w:rPr>
          <w:rFonts w:cstheme="minorHAnsi"/>
          <w:lang w:val="en-US"/>
        </w:rPr>
        <w:t>) viral load; (</w:t>
      </w:r>
      <w:r w:rsidR="00B774FC">
        <w:rPr>
          <w:rFonts w:cstheme="minorHAnsi"/>
          <w:lang w:val="en-US"/>
        </w:rPr>
        <w:t>7</w:t>
      </w:r>
      <w:r w:rsidR="00321637" w:rsidRPr="0053310D">
        <w:rPr>
          <w:rFonts w:cstheme="minorHAnsi"/>
          <w:lang w:val="en-US"/>
        </w:rPr>
        <w:t>) Ct-value</w:t>
      </w:r>
      <w:r w:rsidR="00B774FC">
        <w:rPr>
          <w:rFonts w:cstheme="minorHAnsi"/>
          <w:lang w:val="en-US"/>
        </w:rPr>
        <w:t xml:space="preserve">; (8) Sampling (e.g. </w:t>
      </w:r>
      <w:r w:rsidR="00784E83">
        <w:rPr>
          <w:rFonts w:cstheme="minorHAnsi"/>
          <w:lang w:val="en-US"/>
        </w:rPr>
        <w:t xml:space="preserve">lay versus professional; if lay person sampling: </w:t>
      </w:r>
      <w:r w:rsidR="00B774FC">
        <w:rPr>
          <w:rFonts w:cstheme="minorHAnsi"/>
          <w:lang w:val="en-US"/>
        </w:rPr>
        <w:t xml:space="preserve">supervised, non-supervised); (9) </w:t>
      </w:r>
      <w:r w:rsidR="00784E83">
        <w:rPr>
          <w:rFonts w:cstheme="minorHAnsi"/>
          <w:lang w:val="en-US"/>
        </w:rPr>
        <w:t xml:space="preserve">Test conducted </w:t>
      </w:r>
      <w:r w:rsidR="00B774FC">
        <w:rPr>
          <w:rFonts w:cstheme="minorHAnsi"/>
          <w:lang w:val="en-US"/>
        </w:rPr>
        <w:t xml:space="preserve">(e.g. self or professional); (10) </w:t>
      </w:r>
      <w:r w:rsidR="00B774FC" w:rsidRPr="001E77F3">
        <w:rPr>
          <w:rFonts w:cstheme="minorHAnsi"/>
          <w:lang w:val="en-US"/>
        </w:rPr>
        <w:t>use case (e.g. universal screening, targeted screening, diagnostic use case)</w:t>
      </w:r>
      <w:r w:rsidR="00B774FC">
        <w:rPr>
          <w:rFonts w:cstheme="minorHAnsi"/>
          <w:lang w:val="en-US"/>
        </w:rPr>
        <w:t xml:space="preserve">; </w:t>
      </w:r>
      <w:r w:rsidR="00A042D4">
        <w:rPr>
          <w:rFonts w:cstheme="minorHAnsi"/>
          <w:lang w:val="en-US"/>
        </w:rPr>
        <w:t xml:space="preserve">(11) </w:t>
      </w:r>
      <w:r w:rsidR="00B774FC" w:rsidRPr="001E77F3">
        <w:rPr>
          <w:rFonts w:cstheme="minorHAnsi"/>
          <w:lang w:val="en-US"/>
        </w:rPr>
        <w:t>Setting (e.g. hospitals, schools, work environment</w:t>
      </w:r>
      <w:r w:rsidR="00B774FC">
        <w:rPr>
          <w:rFonts w:cstheme="minorHAnsi"/>
          <w:lang w:val="en-US"/>
        </w:rPr>
        <w:t>)</w:t>
      </w:r>
      <w:r w:rsidR="00A042D4">
        <w:rPr>
          <w:rFonts w:cstheme="minorHAnsi"/>
          <w:lang w:val="en-US"/>
        </w:rPr>
        <w:t>; (12) testing procedure (e.g. self-</w:t>
      </w:r>
      <w:r w:rsidR="00784E83">
        <w:rPr>
          <w:rFonts w:cstheme="minorHAnsi"/>
          <w:lang w:val="en-US"/>
        </w:rPr>
        <w:t xml:space="preserve">sampling </w:t>
      </w:r>
      <w:r w:rsidR="00A042D4">
        <w:rPr>
          <w:rFonts w:cstheme="minorHAnsi"/>
          <w:lang w:val="en-US"/>
        </w:rPr>
        <w:t>or self-testing)</w:t>
      </w:r>
    </w:p>
    <w:p w14:paraId="17E7820C" w14:textId="77777777" w:rsidR="00B774FC" w:rsidRPr="0053310D" w:rsidRDefault="00B774FC" w:rsidP="003377EE">
      <w:pPr>
        <w:spacing w:line="276" w:lineRule="auto"/>
        <w:jc w:val="both"/>
        <w:rPr>
          <w:rFonts w:cstheme="minorHAnsi"/>
          <w:lang w:val="en-US"/>
        </w:rPr>
      </w:pPr>
    </w:p>
    <w:p w14:paraId="137D52CC" w14:textId="77777777" w:rsidR="00B23179" w:rsidRPr="0053310D" w:rsidRDefault="00B23179" w:rsidP="003377EE">
      <w:pPr>
        <w:spacing w:line="276" w:lineRule="auto"/>
        <w:jc w:val="both"/>
        <w:rPr>
          <w:rFonts w:cstheme="minorHAnsi"/>
          <w:lang w:val="en-US"/>
        </w:rPr>
      </w:pPr>
      <w:r w:rsidRPr="0053310D">
        <w:rPr>
          <w:lang w:val="en-GB"/>
        </w:rPr>
        <w:t>Where possible, we separately extracted data according to viral load, and for molecular assays, before and after re-analysis of samples in discrepant cells.</w:t>
      </w:r>
    </w:p>
    <w:p w14:paraId="4D00CA23" w14:textId="77777777" w:rsidR="00A6546A" w:rsidRPr="0053310D" w:rsidRDefault="00A6546A" w:rsidP="003377EE">
      <w:pPr>
        <w:spacing w:line="276" w:lineRule="auto"/>
        <w:jc w:val="both"/>
        <w:rPr>
          <w:lang w:val="en-US"/>
        </w:rPr>
      </w:pPr>
    </w:p>
    <w:p w14:paraId="689E0CED" w14:textId="77777777" w:rsidR="00B23179" w:rsidRPr="0053310D" w:rsidRDefault="00B23179" w:rsidP="0039211B">
      <w:pPr>
        <w:pStyle w:val="ListParagraph"/>
        <w:numPr>
          <w:ilvl w:val="1"/>
          <w:numId w:val="5"/>
        </w:numPr>
        <w:spacing w:after="0" w:line="276" w:lineRule="auto"/>
        <w:ind w:left="1440"/>
        <w:jc w:val="both"/>
        <w:rPr>
          <w:rFonts w:cstheme="minorHAnsi"/>
          <w:sz w:val="24"/>
          <w:szCs w:val="24"/>
        </w:rPr>
      </w:pPr>
      <w:r w:rsidRPr="0053310D">
        <w:rPr>
          <w:rFonts w:cstheme="minorHAnsi"/>
          <w:b/>
          <w:sz w:val="24"/>
          <w:szCs w:val="24"/>
        </w:rPr>
        <w:t>Quality assessment methods [risk of bias in individual studies] and how quality data will be used:</w:t>
      </w:r>
    </w:p>
    <w:p w14:paraId="1262DA3C" w14:textId="33A0080F" w:rsidR="00B23179" w:rsidRPr="0053310D" w:rsidRDefault="00B23179" w:rsidP="0053310D">
      <w:pPr>
        <w:spacing w:line="276" w:lineRule="auto"/>
        <w:jc w:val="both"/>
        <w:rPr>
          <w:rFonts w:cstheme="minorHAnsi"/>
          <w:bCs/>
          <w:lang w:val="en-US"/>
        </w:rPr>
      </w:pPr>
      <w:r w:rsidRPr="0053310D">
        <w:rPr>
          <w:rFonts w:cstheme="minorHAnsi"/>
          <w:bCs/>
          <w:lang w:val="en-US"/>
        </w:rPr>
        <w:t>We will assess the quality of each study by applying the QUADAS-2 tool</w:t>
      </w:r>
      <w:r w:rsidR="00E969DA">
        <w:rPr>
          <w:rFonts w:cstheme="minorHAnsi"/>
          <w:bCs/>
          <w:lang w:val="en-US"/>
        </w:rPr>
        <w:fldChar w:fldCharType="begin" w:fldLock="1"/>
      </w:r>
      <w:r w:rsidR="00C80A4F">
        <w:rPr>
          <w:rFonts w:cstheme="minorHAnsi"/>
          <w:bCs/>
          <w:lang w:val="en-US"/>
        </w:rPr>
        <w:instrText>ADDIN CSL_CITATION {"citationItems":[{"id":"ITEM-1","itemData":{"DOI":"10.1088/0004-637X/721/2/1919","ISSN":"15384357","abstract":"Background: In the era of evidence based medicine, with systematic reviews as its cornerstone, adequate quality assessment tools should be available. There is currently a lack of a systematically developed and evaluated tool for the assessment of diagnostic accuracy studies. The aim of this project was to combine empirical evidence and expert opinion in a formal consensus method to develop a tool to be used in systematic reviews to assess the quality of primary studies of diagnostic accuracy. Methods: We conducted a Delphi procedure to develop the quality assessment tool by refining an initial list of items. Members of the Delphi panel were experts in the area of diagnostic research. The results of three previously conducted reviews of the diagnostic literature were used to generate a list of potential items for inclusion in the tool and to provide an evidence base upon which to develop the tool. Results: A total of nine experts in the field of diagnostics took part in the Delphi procedure. The Delphi procedure consisted of four rounds, after which agreement was reached on the items to be included in the tool which we have called QUADAS. The initial list of 28 items was reduced to fourteen items in the final tool. Items included covered patient spectrum, reference standard, disease progression bias, verification bias, review bias, clinical review bias, incorporation bias, test execution, study withdrawals, and indeterminate results. The QUADAS tool is presented together with guidelines for scoring each of the items included in the tool. Conclusions: This project has produced an evidence based quality assessment tool to be used in systematic reviews of diagnostic accuracy studies. Further work to determine the usability and validity of the tool continues.","author":[{"dropping-particle":"","family":"Whiting","given":"Penny","non-dropping-particle":"","parse-names":false,"suffix":""},{"dropping-particle":"","family":"Rutjes","given":"Anne WS","non-dropping-particle":"","parse-names":false,"suffix":""},{"dropping-particle":"","family":"Reitsma","given":"Johannes B","non-dropping-particle":"","parse-names":false,"suffix":""},{"dropping-particle":"","family":"Bossuyt","given":"Patrick MM","non-dropping-particle":"","parse-names":false,"suffix":""},{"dropping-particle":"","family":"Kleijnen","given":"Jos","non-dropping-particle":"","parse-names":false,"suffix":""}],"container-title":"BMC Medical Research Methodology","id":"ITEM-1","issued":{"date-parts":[["2003"]]},"title":"The development of QUADAS: a tool for the quality assessment of studies of diagnostic accuracy included in systematic reviews","type":"article-journal"},"uris":["http://www.mendeley.com/documents/?uuid=f7d7f0c7-7d11-4801-bb09-d0b8db8cf527"]}],"mendeley":{"formattedCitation":"&lt;sup&gt;12&lt;/sup&gt;","plainTextFormattedCitation":"12","previouslyFormattedCitation":"&lt;sup&gt;12&lt;/sup&gt;"},"properties":{"noteIndex":0},"schema":"https://github.com/citation-style-language/schema/raw/master/csl-citation.json"}</w:instrText>
      </w:r>
      <w:r w:rsidR="00E969DA">
        <w:rPr>
          <w:rFonts w:cstheme="minorHAnsi"/>
          <w:bCs/>
          <w:lang w:val="en-US"/>
        </w:rPr>
        <w:fldChar w:fldCharType="separate"/>
      </w:r>
      <w:r w:rsidR="00C80A4F" w:rsidRPr="00C80A4F">
        <w:rPr>
          <w:rFonts w:cstheme="minorHAnsi"/>
          <w:bCs/>
          <w:noProof/>
          <w:vertAlign w:val="superscript"/>
          <w:lang w:val="en-US"/>
        </w:rPr>
        <w:t>12</w:t>
      </w:r>
      <w:r w:rsidR="00E969DA">
        <w:rPr>
          <w:rFonts w:cstheme="minorHAnsi"/>
          <w:bCs/>
          <w:lang w:val="en-US"/>
        </w:rPr>
        <w:fldChar w:fldCharType="end"/>
      </w:r>
      <w:r w:rsidRPr="0053310D">
        <w:rPr>
          <w:rFonts w:cstheme="minorHAnsi"/>
          <w:bCs/>
          <w:lang w:val="en-US"/>
        </w:rPr>
        <w:t>. The tool consists out of four domains: patient selection, index test, reference standard, and flow and timing. For each domain, the risk of bias is analyzed using different signaling questions. Beyond the risk of bias, the tool also evaluates the applicability of the study design to the research question for every domain. We have adapted the tool for the present review as follows:</w:t>
      </w:r>
    </w:p>
    <w:p w14:paraId="6AFDFF72" w14:textId="0C2D2737" w:rsidR="00B23179" w:rsidRPr="0053310D" w:rsidRDefault="00B23179" w:rsidP="0053310D">
      <w:pPr>
        <w:spacing w:line="276" w:lineRule="auto"/>
        <w:rPr>
          <w:color w:val="FFFFFF" w:themeColor="background1"/>
          <w:lang w:val="en-US"/>
        </w:rPr>
      </w:pPr>
    </w:p>
    <w:p w14:paraId="0D931119" w14:textId="77777777" w:rsidR="00321637" w:rsidRPr="0053310D" w:rsidRDefault="00321637" w:rsidP="0053310D">
      <w:pPr>
        <w:spacing w:line="276" w:lineRule="auto"/>
        <w:jc w:val="both"/>
        <w:rPr>
          <w:rFonts w:cstheme="minorHAnsi"/>
          <w:b/>
          <w:bCs/>
          <w:lang w:val="en-US"/>
        </w:rPr>
      </w:pPr>
      <w:r w:rsidRPr="0053310D">
        <w:rPr>
          <w:rFonts w:cstheme="minorHAnsi"/>
          <w:b/>
          <w:bCs/>
          <w:lang w:val="en-US"/>
        </w:rPr>
        <w:t xml:space="preserve">Domain 1 Patient Selection: </w:t>
      </w:r>
    </w:p>
    <w:p w14:paraId="5E03B1EA"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Risk of Bias:</w:t>
      </w:r>
      <w:r w:rsidRPr="0053310D">
        <w:rPr>
          <w:rFonts w:cstheme="minorHAnsi"/>
          <w:lang w:val="en-US"/>
        </w:rPr>
        <w:t xml:space="preserve"> Could the selection of patients have introduced bias?</w:t>
      </w:r>
    </w:p>
    <w:p w14:paraId="4ECD42F0"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1: Was a consecutive or random sample of patients or specimens enrolled?</w:t>
      </w:r>
    </w:p>
    <w:p w14:paraId="338DBE5D" w14:textId="77777777" w:rsidR="00321637" w:rsidRPr="0053310D" w:rsidRDefault="00321637" w:rsidP="0053310D">
      <w:pPr>
        <w:spacing w:line="276" w:lineRule="auto"/>
        <w:jc w:val="both"/>
        <w:rPr>
          <w:rFonts w:cstheme="minorHAnsi"/>
          <w:lang w:val="en-US"/>
        </w:rPr>
      </w:pPr>
      <w:r w:rsidRPr="0053310D">
        <w:rPr>
          <w:rFonts w:cstheme="minorHAnsi"/>
          <w:lang w:val="en-US"/>
        </w:rPr>
        <w:lastRenderedPageBreak/>
        <w:t>Score ‘yes’ if the study enrolled a consecutive or random sample of eligible patients; ‘no’ if the study selected patients by convenience, and ‘unclear’ if the study did not report the manner of patient selection or unable to tell.</w:t>
      </w:r>
    </w:p>
    <w:p w14:paraId="5FCCD312" w14:textId="77777777" w:rsidR="00321637" w:rsidRPr="0053310D" w:rsidRDefault="00321637" w:rsidP="0053310D">
      <w:pPr>
        <w:spacing w:line="276" w:lineRule="auto"/>
        <w:jc w:val="both"/>
        <w:rPr>
          <w:rFonts w:cstheme="minorHAnsi"/>
          <w:lang w:val="en-US"/>
        </w:rPr>
      </w:pPr>
      <w:bookmarkStart w:id="2" w:name="_Hlk56311372"/>
      <w:r w:rsidRPr="0053310D">
        <w:rPr>
          <w:rFonts w:cstheme="minorHAnsi"/>
          <w:lang w:val="en-US"/>
        </w:rPr>
        <w:t>•</w:t>
      </w:r>
      <w:r w:rsidRPr="0053310D">
        <w:rPr>
          <w:rFonts w:cstheme="minorHAnsi"/>
          <w:lang w:val="en-US"/>
        </w:rPr>
        <w:tab/>
        <w:t xml:space="preserve">Signaling question 2: Was a case-control design avoided? </w:t>
      </w:r>
    </w:p>
    <w:bookmarkEnd w:id="2"/>
    <w:p w14:paraId="4FCA38D9" w14:textId="77777777" w:rsidR="00321637" w:rsidRPr="0053310D" w:rsidRDefault="00321637" w:rsidP="0053310D">
      <w:pPr>
        <w:spacing w:line="276" w:lineRule="auto"/>
        <w:jc w:val="both"/>
        <w:rPr>
          <w:rFonts w:cstheme="minorHAnsi"/>
          <w:lang w:val="en-US"/>
        </w:rPr>
      </w:pPr>
      <w:r w:rsidRPr="0053310D">
        <w:rPr>
          <w:rFonts w:cstheme="minorHAnsi"/>
          <w:lang w:val="en-US"/>
        </w:rPr>
        <w:t>We scored ’yes’ to all included studies given that we are excluding case-control study designs.</w:t>
      </w:r>
    </w:p>
    <w:p w14:paraId="1BF3B879"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3: Did the study avoid inappropriate exclusions?</w:t>
      </w:r>
    </w:p>
    <w:p w14:paraId="6FF8B30D" w14:textId="77777777" w:rsidR="00321637" w:rsidRPr="0053310D" w:rsidRDefault="00321637" w:rsidP="0053310D">
      <w:pPr>
        <w:spacing w:line="276" w:lineRule="auto"/>
        <w:jc w:val="both"/>
        <w:rPr>
          <w:rFonts w:cstheme="minorHAnsi"/>
        </w:rPr>
      </w:pPr>
      <w:r w:rsidRPr="0053310D">
        <w:rPr>
          <w:rFonts w:cstheme="minorHAnsi"/>
          <w:lang w:val="en-US"/>
        </w:rPr>
        <w:t xml:space="preserve">We scored ’yes’ to studies which included: all participants a) regardless of symptoms or b) duration of symptoms and c) prior testing (e.g. CXR). We scored ’no’ if studies excluded participants </w:t>
      </w:r>
      <w:proofErr w:type="gramStart"/>
      <w:r w:rsidRPr="0053310D">
        <w:rPr>
          <w:rFonts w:cstheme="minorHAnsi"/>
          <w:lang w:val="en-US"/>
        </w:rPr>
        <w:t>on the basis of</w:t>
      </w:r>
      <w:proofErr w:type="gramEnd"/>
      <w:r w:rsidRPr="0053310D">
        <w:rPr>
          <w:rFonts w:cstheme="minorHAnsi"/>
          <w:lang w:val="en-US"/>
        </w:rPr>
        <w:t xml:space="preserve"> symptoms or duration of symptoms or prior testing. </w:t>
      </w:r>
      <w:proofErr w:type="spellStart"/>
      <w:r w:rsidRPr="0053310D">
        <w:rPr>
          <w:rFonts w:cstheme="minorHAnsi"/>
        </w:rPr>
        <w:t>We</w:t>
      </w:r>
      <w:proofErr w:type="spellEnd"/>
      <w:r w:rsidRPr="0053310D">
        <w:rPr>
          <w:rFonts w:cstheme="minorHAnsi"/>
        </w:rPr>
        <w:t xml:space="preserve"> </w:t>
      </w:r>
      <w:proofErr w:type="spellStart"/>
      <w:r w:rsidRPr="0053310D">
        <w:rPr>
          <w:rFonts w:cstheme="minorHAnsi"/>
        </w:rPr>
        <w:t>scored</w:t>
      </w:r>
      <w:proofErr w:type="spellEnd"/>
      <w:r w:rsidRPr="0053310D">
        <w:rPr>
          <w:rFonts w:cstheme="minorHAnsi"/>
        </w:rPr>
        <w:t xml:space="preserve"> ’</w:t>
      </w:r>
      <w:proofErr w:type="spellStart"/>
      <w:r w:rsidRPr="0053310D">
        <w:rPr>
          <w:rFonts w:cstheme="minorHAnsi"/>
        </w:rPr>
        <w:t>unclear</w:t>
      </w:r>
      <w:proofErr w:type="spellEnd"/>
      <w:r w:rsidRPr="0053310D">
        <w:rPr>
          <w:rFonts w:cstheme="minorHAnsi"/>
        </w:rPr>
        <w:t xml:space="preserve">’ </w:t>
      </w:r>
      <w:proofErr w:type="spellStart"/>
      <w:r w:rsidRPr="0053310D">
        <w:rPr>
          <w:rFonts w:cstheme="minorHAnsi"/>
        </w:rPr>
        <w:t>if</w:t>
      </w:r>
      <w:proofErr w:type="spellEnd"/>
      <w:r w:rsidRPr="0053310D">
        <w:rPr>
          <w:rFonts w:cstheme="minorHAnsi"/>
        </w:rPr>
        <w:t xml:space="preserve"> </w:t>
      </w:r>
      <w:proofErr w:type="spellStart"/>
      <w:r w:rsidRPr="0053310D">
        <w:rPr>
          <w:rFonts w:cstheme="minorHAnsi"/>
        </w:rPr>
        <w:t>we</w:t>
      </w:r>
      <w:proofErr w:type="spellEnd"/>
      <w:r w:rsidRPr="0053310D">
        <w:rPr>
          <w:rFonts w:cstheme="minorHAnsi"/>
        </w:rPr>
        <w:t xml:space="preserve"> </w:t>
      </w:r>
      <w:proofErr w:type="spellStart"/>
      <w:r w:rsidRPr="0053310D">
        <w:rPr>
          <w:rFonts w:cstheme="minorHAnsi"/>
        </w:rPr>
        <w:t>could</w:t>
      </w:r>
      <w:proofErr w:type="spellEnd"/>
      <w:r w:rsidRPr="0053310D">
        <w:rPr>
          <w:rFonts w:cstheme="minorHAnsi"/>
        </w:rPr>
        <w:t xml:space="preserve"> not </w:t>
      </w:r>
      <w:proofErr w:type="spellStart"/>
      <w:r w:rsidRPr="0053310D">
        <w:rPr>
          <w:rFonts w:cstheme="minorHAnsi"/>
        </w:rPr>
        <w:t>tell</w:t>
      </w:r>
      <w:proofErr w:type="spellEnd"/>
      <w:r w:rsidRPr="0053310D">
        <w:rPr>
          <w:rFonts w:cstheme="minorHAnsi"/>
        </w:rPr>
        <w:t>.</w:t>
      </w:r>
    </w:p>
    <w:p w14:paraId="32F9E34C" w14:textId="77777777" w:rsidR="00321637" w:rsidRPr="0053310D" w:rsidRDefault="00321637" w:rsidP="0053310D">
      <w:pPr>
        <w:pStyle w:val="ListParagraph"/>
        <w:numPr>
          <w:ilvl w:val="0"/>
          <w:numId w:val="1"/>
        </w:numPr>
        <w:spacing w:line="276" w:lineRule="auto"/>
        <w:jc w:val="both"/>
        <w:rPr>
          <w:rFonts w:cstheme="minorHAnsi"/>
          <w:sz w:val="24"/>
          <w:szCs w:val="24"/>
        </w:rPr>
      </w:pPr>
      <w:r w:rsidRPr="0053310D">
        <w:rPr>
          <w:rFonts w:cstheme="minorHAnsi"/>
          <w:sz w:val="24"/>
          <w:szCs w:val="24"/>
        </w:rPr>
        <w:t>Risk of Bias is scored ‘low concern’ if studies score ‘yes’ on all the question, ‘unclear concern’ if questions are answered with ‘yes’ and ‘unclear’, ‘intermediate concern’ if one question is answered with ‘no’, ‘high concern’ if two or more questions are answered with ‘no’.</w:t>
      </w:r>
    </w:p>
    <w:p w14:paraId="3791B1E7"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Applicability:</w:t>
      </w:r>
      <w:r w:rsidRPr="0053310D">
        <w:rPr>
          <w:rFonts w:cstheme="minorHAnsi"/>
          <w:lang w:val="en-US"/>
        </w:rPr>
        <w:t xml:space="preserve"> Are there concerns that the included patients and setting do not match the review question? We were interested in how Ag-RDT performs in patients whose specimens were evaluated as they would be in routine practice. We expected to score most studies as ’low concern’ since we planned to determine test accuracy only for COVID diagnosis. We scored ‘high concern’ if Ag-RDT were evaluated for end of quarantine evaluation or monitoring.</w:t>
      </w:r>
    </w:p>
    <w:p w14:paraId="6B62B5D8" w14:textId="77777777" w:rsidR="00321637" w:rsidRPr="0053310D" w:rsidRDefault="00321637" w:rsidP="0053310D">
      <w:pPr>
        <w:spacing w:line="276" w:lineRule="auto"/>
        <w:jc w:val="both"/>
        <w:rPr>
          <w:rFonts w:cstheme="minorHAnsi"/>
          <w:lang w:val="en-US"/>
        </w:rPr>
      </w:pPr>
    </w:p>
    <w:p w14:paraId="44E711E2" w14:textId="77777777" w:rsidR="00321637" w:rsidRPr="0053310D" w:rsidRDefault="00321637" w:rsidP="0053310D">
      <w:pPr>
        <w:spacing w:line="276" w:lineRule="auto"/>
        <w:jc w:val="both"/>
        <w:rPr>
          <w:rFonts w:cstheme="minorHAnsi"/>
          <w:b/>
          <w:bCs/>
          <w:lang w:val="en-US"/>
        </w:rPr>
      </w:pPr>
      <w:r w:rsidRPr="0053310D">
        <w:rPr>
          <w:rFonts w:cstheme="minorHAnsi"/>
          <w:b/>
          <w:bCs/>
          <w:lang w:val="en-US"/>
        </w:rPr>
        <w:t>Domain 2: Index Test</w:t>
      </w:r>
    </w:p>
    <w:p w14:paraId="6FA5F306"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Risk of Bias:</w:t>
      </w:r>
      <w:r w:rsidRPr="0053310D">
        <w:rPr>
          <w:rFonts w:cstheme="minorHAnsi"/>
          <w:lang w:val="en-US"/>
        </w:rPr>
        <w:t xml:space="preserve"> Could the conduct or interpretation of the index test have introduced bias?</w:t>
      </w:r>
    </w:p>
    <w:p w14:paraId="4C692AE9"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1: Were the index test results interpreted with knowledge of the results of the reference standard?</w:t>
      </w:r>
    </w:p>
    <w:p w14:paraId="799FFEB0" w14:textId="77777777" w:rsidR="00321637" w:rsidRPr="0053310D" w:rsidRDefault="00321637" w:rsidP="0053310D">
      <w:pPr>
        <w:spacing w:line="276" w:lineRule="auto"/>
        <w:jc w:val="both"/>
        <w:rPr>
          <w:rFonts w:cstheme="minorHAnsi"/>
          <w:lang w:val="en-US"/>
        </w:rPr>
      </w:pPr>
      <w:r w:rsidRPr="0053310D">
        <w:rPr>
          <w:rFonts w:cstheme="minorHAnsi"/>
          <w:lang w:val="en-US"/>
        </w:rPr>
        <w:t>We answered ’yes’ if the study interpreted the result of Ag-RDT blinded to the result of the reference standard; we answered ’no’ if the study did not interpret the result of Ag-RDT blinded to the result of the reference standard. We answered ’yes’ for studies in which Ag-RDT was performed on fresh specimens, since reference standard results would be unavailable at the time of test interpretation. We answered ’unclear’ if stored specimens were tested or we could not tell if the index test results were interpreted without knowledge of the reference standard results.</w:t>
      </w:r>
    </w:p>
    <w:p w14:paraId="09FAA22C"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2: If a threshold was used, was it prespecified?</w:t>
      </w:r>
    </w:p>
    <w:p w14:paraId="6F2C2BC0" w14:textId="77777777" w:rsidR="00321637" w:rsidRPr="0053310D" w:rsidRDefault="00321637" w:rsidP="0053310D">
      <w:pPr>
        <w:spacing w:line="276" w:lineRule="auto"/>
        <w:jc w:val="both"/>
        <w:rPr>
          <w:rFonts w:cstheme="minorHAnsi"/>
          <w:lang w:val="en-US"/>
        </w:rPr>
      </w:pPr>
      <w:r w:rsidRPr="0053310D">
        <w:rPr>
          <w:rFonts w:cstheme="minorHAnsi"/>
          <w:lang w:val="en-US"/>
        </w:rPr>
        <w:t>We answered ’yes’ if the threshold was prespecified or if the tests was performed by IFU. We scored ’no’ if the threshold was not prespecified, and ’unclear’ if we could not determine if the threshold was prespecified or not.</w:t>
      </w:r>
    </w:p>
    <w:p w14:paraId="0C9766AE" w14:textId="77777777" w:rsidR="00321637" w:rsidRPr="0053310D" w:rsidRDefault="00321637" w:rsidP="0053310D">
      <w:pPr>
        <w:pStyle w:val="ListParagraph"/>
        <w:numPr>
          <w:ilvl w:val="0"/>
          <w:numId w:val="1"/>
        </w:numPr>
        <w:spacing w:line="276" w:lineRule="auto"/>
        <w:jc w:val="both"/>
        <w:rPr>
          <w:rFonts w:cstheme="minorHAnsi"/>
          <w:sz w:val="24"/>
          <w:szCs w:val="24"/>
        </w:rPr>
      </w:pPr>
      <w:r w:rsidRPr="0053310D">
        <w:rPr>
          <w:rFonts w:cstheme="minorHAnsi"/>
          <w:sz w:val="24"/>
          <w:szCs w:val="24"/>
        </w:rPr>
        <w:lastRenderedPageBreak/>
        <w:t>Risk of Bias is scored ‘low concern’ if studies score ‘yes’ on all the question, ‘unclear concern’ if questions are answered with ‘yes’ and ‘unclear’, ‘intermediate concern’ if one question is answered with ‘no’, ‘high concern’ if two or more questions are answered with ‘no’.</w:t>
      </w:r>
    </w:p>
    <w:p w14:paraId="274AD37D"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Applicability:</w:t>
      </w:r>
      <w:r w:rsidRPr="0053310D">
        <w:rPr>
          <w:rFonts w:cstheme="minorHAnsi"/>
          <w:lang w:val="en-US"/>
        </w:rPr>
        <w:t xml:space="preserve"> Are there concerns that the index test, its conduct, or its interpretation differ from the review question? If index test methods vary from those specified in the review question, concerns about applicability may exist. We judged ’high concern’ if the test procedure was inconsistent with the manufacturer recommendations, ’low concern’ if the test procedure was consistent with the manufacturer recommendations, and ’unclear concern’ if we could not tell.</w:t>
      </w:r>
    </w:p>
    <w:p w14:paraId="7CA037AD" w14:textId="77777777" w:rsidR="00321637" w:rsidRPr="0053310D" w:rsidRDefault="00321637" w:rsidP="0053310D">
      <w:pPr>
        <w:spacing w:line="276" w:lineRule="auto"/>
        <w:jc w:val="both"/>
        <w:rPr>
          <w:rFonts w:cstheme="minorHAnsi"/>
          <w:lang w:val="en-US"/>
        </w:rPr>
      </w:pPr>
    </w:p>
    <w:p w14:paraId="2984DCD0" w14:textId="77777777" w:rsidR="00321637" w:rsidRPr="0053310D" w:rsidRDefault="00321637" w:rsidP="0053310D">
      <w:pPr>
        <w:spacing w:line="276" w:lineRule="auto"/>
        <w:jc w:val="both"/>
        <w:rPr>
          <w:rFonts w:cstheme="minorHAnsi"/>
          <w:b/>
          <w:bCs/>
          <w:lang w:val="en-US"/>
        </w:rPr>
      </w:pPr>
      <w:r w:rsidRPr="0053310D">
        <w:rPr>
          <w:rFonts w:cstheme="minorHAnsi"/>
          <w:b/>
          <w:bCs/>
          <w:lang w:val="en-US"/>
        </w:rPr>
        <w:t>Domain 3: Reference Standard</w:t>
      </w:r>
    </w:p>
    <w:p w14:paraId="6917DFDE"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Risk of Bias:</w:t>
      </w:r>
      <w:r w:rsidRPr="0053310D">
        <w:rPr>
          <w:rFonts w:cstheme="minorHAnsi"/>
          <w:lang w:val="en-US"/>
        </w:rPr>
        <w:t xml:space="preserve"> Could the reference standard, its conduct, or its interpretation have introduced bias?</w:t>
      </w:r>
    </w:p>
    <w:p w14:paraId="53F42C5A"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1: Is the reference standard likely to correctly classify the target condition?</w:t>
      </w:r>
    </w:p>
    <w:p w14:paraId="59565754" w14:textId="77777777" w:rsidR="00321637" w:rsidRPr="0053310D" w:rsidRDefault="00321637" w:rsidP="0053310D">
      <w:pPr>
        <w:spacing w:line="276" w:lineRule="auto"/>
        <w:jc w:val="both"/>
        <w:rPr>
          <w:rFonts w:cstheme="minorHAnsi"/>
          <w:lang w:val="en-US"/>
        </w:rPr>
      </w:pPr>
      <w:r w:rsidRPr="0053310D">
        <w:rPr>
          <w:rFonts w:cstheme="minorHAnsi"/>
          <w:lang w:val="en-US"/>
        </w:rPr>
        <w:t xml:space="preserve">NAAT </w:t>
      </w:r>
      <w:proofErr w:type="gramStart"/>
      <w:r w:rsidRPr="0053310D">
        <w:rPr>
          <w:rFonts w:cstheme="minorHAnsi"/>
          <w:lang w:val="en-US"/>
        </w:rPr>
        <w:t>is considered to be</w:t>
      </w:r>
      <w:proofErr w:type="gramEnd"/>
      <w:r w:rsidRPr="0053310D">
        <w:rPr>
          <w:rFonts w:cstheme="minorHAnsi"/>
          <w:lang w:val="en-US"/>
        </w:rPr>
        <w:t xml:space="preserve"> the gold standard for COVID. However, the accuracy of this reference standard is not 100%, especially late in the disease and it varies widely across the different non-respiratory samples. However, given that viral loads measured in NAATs correlate well with Antigen, we scored ‘yes’ for all studies included.</w:t>
      </w:r>
    </w:p>
    <w:p w14:paraId="60611B2A"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2: Were the reference standard results interpreted without knowledge of the results of the index test?</w:t>
      </w:r>
    </w:p>
    <w:p w14:paraId="085BF872" w14:textId="77777777" w:rsidR="00321637" w:rsidRPr="0053310D" w:rsidRDefault="00321637" w:rsidP="0053310D">
      <w:pPr>
        <w:spacing w:line="276" w:lineRule="auto"/>
        <w:jc w:val="both"/>
        <w:rPr>
          <w:rFonts w:cstheme="minorHAnsi"/>
        </w:rPr>
      </w:pPr>
      <w:r w:rsidRPr="0053310D">
        <w:rPr>
          <w:rFonts w:cstheme="minorHAnsi"/>
          <w:lang w:val="en-US"/>
        </w:rPr>
        <w:t xml:space="preserve">We scored ‘yes’ if the test was performed immediately at the POC on fresh samples and ‘no’ if performed in the laboratory on stored samples unless blinding was specifically reported. </w:t>
      </w:r>
      <w:proofErr w:type="spellStart"/>
      <w:r w:rsidRPr="0053310D">
        <w:rPr>
          <w:rFonts w:cstheme="minorHAnsi"/>
        </w:rPr>
        <w:t>We</w:t>
      </w:r>
      <w:proofErr w:type="spellEnd"/>
      <w:r w:rsidRPr="0053310D">
        <w:rPr>
          <w:rFonts w:cstheme="minorHAnsi"/>
        </w:rPr>
        <w:t xml:space="preserve"> </w:t>
      </w:r>
      <w:proofErr w:type="spellStart"/>
      <w:r w:rsidRPr="0053310D">
        <w:rPr>
          <w:rFonts w:cstheme="minorHAnsi"/>
        </w:rPr>
        <w:t>scored</w:t>
      </w:r>
      <w:proofErr w:type="spellEnd"/>
      <w:r w:rsidRPr="0053310D">
        <w:rPr>
          <w:rFonts w:cstheme="minorHAnsi"/>
        </w:rPr>
        <w:t xml:space="preserve"> ‘</w:t>
      </w:r>
      <w:proofErr w:type="spellStart"/>
      <w:r w:rsidRPr="0053310D">
        <w:rPr>
          <w:rFonts w:cstheme="minorHAnsi"/>
        </w:rPr>
        <w:t>unclear</w:t>
      </w:r>
      <w:proofErr w:type="spellEnd"/>
      <w:r w:rsidRPr="0053310D">
        <w:rPr>
          <w:rFonts w:cstheme="minorHAnsi"/>
        </w:rPr>
        <w:t xml:space="preserve">’ </w:t>
      </w:r>
      <w:proofErr w:type="spellStart"/>
      <w:r w:rsidRPr="0053310D">
        <w:rPr>
          <w:rFonts w:cstheme="minorHAnsi"/>
        </w:rPr>
        <w:t>if</w:t>
      </w:r>
      <w:proofErr w:type="spellEnd"/>
      <w:r w:rsidRPr="0053310D">
        <w:rPr>
          <w:rFonts w:cstheme="minorHAnsi"/>
        </w:rPr>
        <w:t xml:space="preserve"> </w:t>
      </w:r>
      <w:proofErr w:type="spellStart"/>
      <w:r w:rsidRPr="0053310D">
        <w:rPr>
          <w:rFonts w:cstheme="minorHAnsi"/>
        </w:rPr>
        <w:t>we</w:t>
      </w:r>
      <w:proofErr w:type="spellEnd"/>
      <w:r w:rsidRPr="0053310D">
        <w:rPr>
          <w:rFonts w:cstheme="minorHAnsi"/>
        </w:rPr>
        <w:t xml:space="preserve"> </w:t>
      </w:r>
      <w:proofErr w:type="spellStart"/>
      <w:r w:rsidRPr="0053310D">
        <w:rPr>
          <w:rFonts w:cstheme="minorHAnsi"/>
        </w:rPr>
        <w:t>could</w:t>
      </w:r>
      <w:proofErr w:type="spellEnd"/>
      <w:r w:rsidRPr="0053310D">
        <w:rPr>
          <w:rFonts w:cstheme="minorHAnsi"/>
        </w:rPr>
        <w:t xml:space="preserve"> not </w:t>
      </w:r>
      <w:proofErr w:type="spellStart"/>
      <w:r w:rsidRPr="0053310D">
        <w:rPr>
          <w:rFonts w:cstheme="minorHAnsi"/>
        </w:rPr>
        <w:t>tell</w:t>
      </w:r>
      <w:proofErr w:type="spellEnd"/>
      <w:r w:rsidRPr="0053310D">
        <w:rPr>
          <w:rFonts w:cstheme="minorHAnsi"/>
        </w:rPr>
        <w:t>.</w:t>
      </w:r>
    </w:p>
    <w:p w14:paraId="4B56ED41" w14:textId="77777777" w:rsidR="00321637" w:rsidRPr="0053310D" w:rsidRDefault="00321637" w:rsidP="0053310D">
      <w:pPr>
        <w:pStyle w:val="ListParagraph"/>
        <w:numPr>
          <w:ilvl w:val="0"/>
          <w:numId w:val="1"/>
        </w:numPr>
        <w:spacing w:line="276" w:lineRule="auto"/>
        <w:jc w:val="both"/>
        <w:rPr>
          <w:rFonts w:cstheme="minorHAnsi"/>
          <w:sz w:val="24"/>
          <w:szCs w:val="24"/>
        </w:rPr>
      </w:pPr>
      <w:r w:rsidRPr="0053310D">
        <w:rPr>
          <w:rFonts w:cstheme="minorHAnsi"/>
          <w:sz w:val="24"/>
          <w:szCs w:val="24"/>
        </w:rPr>
        <w:t>Risk of Bias is scored ‘low concern’ if studies score ‘yes’ on all the question, ‘unclear concern’ if questions are answered with ‘yes’ and ‘unclear’, ‘intermediate concern’ if one question is answered with ‘no’, ‘high concern’ if two or more questions are answered with ‘no’.</w:t>
      </w:r>
    </w:p>
    <w:p w14:paraId="60D8A729"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Applicability:</w:t>
      </w:r>
      <w:r w:rsidRPr="0053310D">
        <w:rPr>
          <w:rFonts w:cstheme="minorHAnsi"/>
          <w:lang w:val="en-US"/>
        </w:rPr>
        <w:t xml:space="preserve"> Are there concerns that the target condition as defined by the reference standard does not match the question?  We judged applicability to be of ‘low concern’ for all studies.</w:t>
      </w:r>
    </w:p>
    <w:p w14:paraId="7291B3D9" w14:textId="77777777" w:rsidR="00321637" w:rsidRPr="0053310D" w:rsidRDefault="00321637" w:rsidP="0053310D">
      <w:pPr>
        <w:spacing w:line="276" w:lineRule="auto"/>
        <w:jc w:val="both"/>
        <w:rPr>
          <w:rFonts w:cstheme="minorHAnsi"/>
          <w:lang w:val="en-US"/>
        </w:rPr>
      </w:pPr>
    </w:p>
    <w:p w14:paraId="5AAD7182" w14:textId="77777777" w:rsidR="00321637" w:rsidRPr="0053310D" w:rsidRDefault="00321637" w:rsidP="0053310D">
      <w:pPr>
        <w:spacing w:line="276" w:lineRule="auto"/>
        <w:jc w:val="both"/>
        <w:rPr>
          <w:rFonts w:cstheme="minorHAnsi"/>
          <w:b/>
          <w:bCs/>
          <w:lang w:val="en-US"/>
        </w:rPr>
      </w:pPr>
      <w:r w:rsidRPr="0053310D">
        <w:rPr>
          <w:rFonts w:cstheme="minorHAnsi"/>
          <w:b/>
          <w:bCs/>
          <w:lang w:val="en-US"/>
        </w:rPr>
        <w:t>Domain 4: Flow and Timing</w:t>
      </w:r>
    </w:p>
    <w:p w14:paraId="4AE874CC" w14:textId="77777777" w:rsidR="00321637" w:rsidRPr="0053310D" w:rsidRDefault="00321637" w:rsidP="0053310D">
      <w:pPr>
        <w:spacing w:line="276" w:lineRule="auto"/>
        <w:jc w:val="both"/>
        <w:rPr>
          <w:rFonts w:cstheme="minorHAnsi"/>
          <w:lang w:val="en-US"/>
        </w:rPr>
      </w:pPr>
      <w:r w:rsidRPr="0053310D">
        <w:rPr>
          <w:rFonts w:cstheme="minorHAnsi"/>
          <w:u w:val="single"/>
          <w:lang w:val="en-US"/>
        </w:rPr>
        <w:t>Risk of Bias:</w:t>
      </w:r>
      <w:r w:rsidRPr="0053310D">
        <w:rPr>
          <w:rFonts w:cstheme="minorHAnsi"/>
          <w:lang w:val="en-US"/>
        </w:rPr>
        <w:t xml:space="preserve"> Could the patient flow have introduced bias?</w:t>
      </w:r>
    </w:p>
    <w:p w14:paraId="52D59784"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1: Was there an appropriate interval between the index test and reference standard?</w:t>
      </w:r>
    </w:p>
    <w:p w14:paraId="672281E3" w14:textId="77777777" w:rsidR="00321637" w:rsidRPr="0053310D" w:rsidRDefault="00321637" w:rsidP="0053310D">
      <w:pPr>
        <w:spacing w:line="276" w:lineRule="auto"/>
        <w:jc w:val="both"/>
        <w:rPr>
          <w:rFonts w:cstheme="minorHAnsi"/>
          <w:lang w:val="en-US"/>
        </w:rPr>
      </w:pPr>
      <w:r w:rsidRPr="0053310D">
        <w:rPr>
          <w:rFonts w:cstheme="minorHAnsi"/>
          <w:lang w:val="en-US"/>
        </w:rPr>
        <w:lastRenderedPageBreak/>
        <w:t>We expected specimens for Ag-RDT and the reference standards to be obtained at the same time and answered ’yes’ for all studies that meet these criteria. We answered ’no’ if specimens were collected for index and reference standard tests greater than 24h apart, and ’unclear’ if we could not tell.</w:t>
      </w:r>
    </w:p>
    <w:p w14:paraId="31DDC0A0"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2: Did all patients receive the same reference standard?</w:t>
      </w:r>
    </w:p>
    <w:p w14:paraId="233387D4" w14:textId="77777777" w:rsidR="00321637" w:rsidRPr="0053310D" w:rsidRDefault="00321637" w:rsidP="0053310D">
      <w:pPr>
        <w:spacing w:line="276" w:lineRule="auto"/>
        <w:jc w:val="both"/>
        <w:rPr>
          <w:rFonts w:cstheme="minorHAnsi"/>
          <w:lang w:val="en-US"/>
        </w:rPr>
      </w:pPr>
      <w:r w:rsidRPr="0053310D">
        <w:rPr>
          <w:rFonts w:cstheme="minorHAnsi"/>
          <w:lang w:val="en-US"/>
        </w:rPr>
        <w:t>Answer this question ‘yes’ if all studies used the same reference standard (acceptable reference standard as specified as a criterion for inclusion in the review), answer ‘no’ if different reference standards were used.</w:t>
      </w:r>
    </w:p>
    <w:p w14:paraId="0AEE915B" w14:textId="77777777" w:rsidR="00321637" w:rsidRPr="0053310D" w:rsidRDefault="00321637" w:rsidP="0053310D">
      <w:pPr>
        <w:spacing w:line="276" w:lineRule="auto"/>
        <w:jc w:val="both"/>
        <w:rPr>
          <w:rFonts w:cstheme="minorHAnsi"/>
          <w:lang w:val="en-US"/>
        </w:rPr>
      </w:pPr>
      <w:r w:rsidRPr="0053310D">
        <w:rPr>
          <w:rFonts w:cstheme="minorHAnsi"/>
          <w:lang w:val="en-US"/>
        </w:rPr>
        <w:t>•</w:t>
      </w:r>
      <w:r w:rsidRPr="0053310D">
        <w:rPr>
          <w:rFonts w:cstheme="minorHAnsi"/>
          <w:lang w:val="en-US"/>
        </w:rPr>
        <w:tab/>
        <w:t>Signaling question 3: Were all patients included in the analysis?</w:t>
      </w:r>
    </w:p>
    <w:p w14:paraId="7D4B1284" w14:textId="77777777" w:rsidR="00321637" w:rsidRPr="0053310D" w:rsidRDefault="00321637" w:rsidP="0053310D">
      <w:pPr>
        <w:spacing w:line="276" w:lineRule="auto"/>
        <w:jc w:val="both"/>
        <w:rPr>
          <w:rFonts w:cstheme="minorHAnsi"/>
          <w:lang w:val="en-US"/>
        </w:rPr>
      </w:pPr>
      <w:r w:rsidRPr="0053310D">
        <w:rPr>
          <w:rFonts w:cstheme="minorHAnsi"/>
          <w:lang w:val="en-US"/>
        </w:rPr>
        <w:t>We determined the answer to this question by comparing the number of participants enrolled in the study with the number of participants included in the two-by-two tables. We answered ’yes’ if all participants enrolled in the study were tested with results presented and accounted for. We answered ’no’ if participants meeting enrolment criteria were not tested or results were not presented, and ’unclear’ if we could not tell.</w:t>
      </w:r>
    </w:p>
    <w:p w14:paraId="44125694" w14:textId="77777777" w:rsidR="00321637" w:rsidRPr="0053310D" w:rsidRDefault="00321637" w:rsidP="0053310D">
      <w:pPr>
        <w:pStyle w:val="ListParagraph"/>
        <w:numPr>
          <w:ilvl w:val="0"/>
          <w:numId w:val="1"/>
        </w:numPr>
        <w:spacing w:line="276" w:lineRule="auto"/>
        <w:jc w:val="both"/>
        <w:rPr>
          <w:rFonts w:cstheme="minorHAnsi"/>
          <w:sz w:val="24"/>
          <w:szCs w:val="24"/>
        </w:rPr>
      </w:pPr>
      <w:r w:rsidRPr="0053310D">
        <w:rPr>
          <w:rFonts w:cstheme="minorHAnsi"/>
          <w:sz w:val="24"/>
          <w:szCs w:val="24"/>
        </w:rPr>
        <w:t>Risk of Bias is scored ‘low concern’ if studies score ‘yes’ on all the question, ‘unclear concern’ if questions are answered with ‘yes’ and ‘unclear’, ‘intermediate concern’ if one question is answered with ‘no’, ‘high concern’ if two or more questions are answered with ‘no’.</w:t>
      </w:r>
    </w:p>
    <w:p w14:paraId="64ACA124" w14:textId="77777777" w:rsidR="00321637" w:rsidRPr="00FE5153" w:rsidRDefault="00321637" w:rsidP="0053310D">
      <w:pPr>
        <w:spacing w:line="276" w:lineRule="auto"/>
        <w:jc w:val="both"/>
        <w:rPr>
          <w:rFonts w:cstheme="minorHAnsi"/>
          <w:b/>
          <w:lang w:val="en-US"/>
        </w:rPr>
      </w:pPr>
    </w:p>
    <w:p w14:paraId="304C9312" w14:textId="2B047B58" w:rsidR="00321637" w:rsidRPr="00FE5153" w:rsidRDefault="00321637" w:rsidP="0053310D">
      <w:pPr>
        <w:spacing w:line="276" w:lineRule="auto"/>
        <w:jc w:val="both"/>
        <w:rPr>
          <w:rFonts w:cstheme="minorHAnsi"/>
          <w:bCs/>
          <w:lang w:val="en-US"/>
        </w:rPr>
      </w:pPr>
      <w:r w:rsidRPr="00FE5153">
        <w:rPr>
          <w:rFonts w:cstheme="minorHAnsi"/>
          <w:bCs/>
          <w:lang w:val="en-US"/>
        </w:rPr>
        <w:t>8. STATISTICAL ANALYSIS</w:t>
      </w:r>
    </w:p>
    <w:p w14:paraId="04B2D8EF" w14:textId="77777777" w:rsidR="00321637" w:rsidRPr="00FE5153" w:rsidRDefault="00321637" w:rsidP="0053310D">
      <w:pPr>
        <w:spacing w:line="276" w:lineRule="auto"/>
        <w:jc w:val="both"/>
        <w:rPr>
          <w:rFonts w:cstheme="minorHAnsi"/>
          <w:b/>
          <w:lang w:val="en-US"/>
        </w:rPr>
      </w:pPr>
    </w:p>
    <w:p w14:paraId="73B15720" w14:textId="67BF47E3" w:rsidR="00542100" w:rsidRDefault="00321637" w:rsidP="0053310D">
      <w:pPr>
        <w:spacing w:line="276" w:lineRule="auto"/>
        <w:jc w:val="both"/>
        <w:rPr>
          <w:rFonts w:cstheme="minorHAnsi"/>
          <w:bCs/>
          <w:lang w:val="en-US"/>
        </w:rPr>
      </w:pPr>
      <w:r w:rsidRPr="0053310D">
        <w:rPr>
          <w:rFonts w:cstheme="minorHAnsi"/>
          <w:bCs/>
          <w:lang w:val="en-US"/>
        </w:rPr>
        <w:t xml:space="preserve">We present estimates of sensitivity and specificity </w:t>
      </w:r>
      <w:r w:rsidR="00542100">
        <w:rPr>
          <w:rFonts w:cstheme="minorHAnsi"/>
          <w:bCs/>
          <w:lang w:val="en-US"/>
        </w:rPr>
        <w:t xml:space="preserve">overall by </w:t>
      </w:r>
      <w:r w:rsidRPr="0053310D">
        <w:rPr>
          <w:rFonts w:cstheme="minorHAnsi"/>
          <w:bCs/>
          <w:lang w:val="en-US"/>
        </w:rPr>
        <w:t xml:space="preserve">using paired forest </w:t>
      </w:r>
      <w:proofErr w:type="gramStart"/>
      <w:r w:rsidRPr="0053310D">
        <w:rPr>
          <w:rFonts w:cstheme="minorHAnsi"/>
          <w:bCs/>
          <w:lang w:val="en-US"/>
        </w:rPr>
        <w:t>plots, and</w:t>
      </w:r>
      <w:proofErr w:type="gramEnd"/>
      <w:r w:rsidRPr="0053310D">
        <w:rPr>
          <w:rFonts w:cstheme="minorHAnsi"/>
          <w:bCs/>
          <w:lang w:val="en-US"/>
        </w:rPr>
        <w:t xml:space="preserve"> </w:t>
      </w:r>
      <w:r w:rsidR="00A042D4" w:rsidRPr="0053310D">
        <w:rPr>
          <w:rFonts w:cstheme="minorHAnsi"/>
          <w:bCs/>
          <w:lang w:val="en-US"/>
        </w:rPr>
        <w:t>summarize</w:t>
      </w:r>
      <w:r w:rsidRPr="0053310D">
        <w:rPr>
          <w:rFonts w:cstheme="minorHAnsi"/>
          <w:bCs/>
          <w:lang w:val="en-US"/>
        </w:rPr>
        <w:t xml:space="preserve"> results using average sensitivity and specificity in tables as appropriate. We estimate summary sensitivities and specificities with 95% confidence intervals (CI) using the bivariate model</w:t>
      </w:r>
      <w:r w:rsidR="00E969DA">
        <w:rPr>
          <w:rFonts w:cstheme="minorHAnsi"/>
          <w:bCs/>
          <w:lang w:val="en-US"/>
        </w:rPr>
        <w:fldChar w:fldCharType="begin" w:fldLock="1"/>
      </w:r>
      <w:r w:rsidR="00C80A4F">
        <w:rPr>
          <w:rFonts w:cstheme="minorHAnsi"/>
          <w:bCs/>
          <w:lang w:val="en-US"/>
        </w:rPr>
        <w:instrText>ADDIN CSL_CITATION {"citationItems":[{"id":"ITEM-1","itemData":{"DOI":"10.1016/j.jclinepi.2005.02.022","ISSN":"08954356","PMID":"16168343","abstract":"Background and Objectives: Studies of diagnostic accuracy most often report pairs of sensitivity and specificity. We demonstrate the advantage of using bivariate meta-regression models to analyze such data. Methods: We discuss the methodology of both the summary Receiver Operating Characteristic (sROC) and the bivariate approach by reanalyzing the data of a published meta-analysis. Results: The sROC approach is the standard method for meta-analyzing diagnostic studies reporting pairs of sensitivity and specificity. This method uses the diagnostic odds ratio as the main outcome measure, which removes the effect of a possible threshold but at the same time loses relevant clinical information about test performance. The bivariate approach preserves the two-dimensional nature of the original data. Pairs of sensitivity and specificity are jointly analyzed, incorporating any correlation that might exist between these two measures using a random effects approach. Explanatory variables can be added to the bivariate model and lead to separate effects on sensitivity and specificity, rather than a net effect on the odds ratio scale as in the sROC approach. The statistical properties of the bivariate model are sound and flexible. Conclusion: The bivariate model can be seen as an improvement and extension of the traditional sROC approach. © 2005 Elsevier Inc. All rights reserved.","author":[{"dropping-particle":"","family":"Reitsma","given":"Johannes B.","non-dropping-particle":"","parse-names":false,"suffix":""},{"dropping-particle":"","family":"Glas","given":"Afina S.","non-dropping-particle":"","parse-names":false,"suffix":""},{"dropping-particle":"","family":"Rutjes","given":"Anne W.S.","non-dropping-particle":"","parse-names":false,"suffix":""},{"dropping-particle":"","family":"Scholten","given":"Rob J.P.M.","non-dropping-particle":"","parse-names":false,"suffix":""},{"dropping-particle":"","family":"Bossuyt","given":"Patrick M.","non-dropping-particle":"","parse-names":false,"suffix":""},{"dropping-particle":"","family":"Zwinderman","given":"Aeilko H.","non-dropping-particle":"","parse-names":false,"suffix":""}],"container-title":"Journal of Clinical Epidemiology","id":"ITEM-1","issue":"10","issued":{"date-parts":[["2005"]]},"page":"982-990","title":"Bivariate analysis of sensitivity and specificity produces informative summary measures in diagnostic reviews","type":"article-journal","volume":"58"},"uris":["http://www.mendeley.com/documents/?uuid=d78de84e-2dae-444d-afbf-42d8b04ebfac"]}],"mendeley":{"formattedCitation":"&lt;sup&gt;13&lt;/sup&gt;","plainTextFormattedCitation":"13","previouslyFormattedCitation":"&lt;sup&gt;13&lt;/sup&gt;"},"properties":{"noteIndex":0},"schema":"https://github.com/citation-style-language/schema/raw/master/csl-citation.json"}</w:instrText>
      </w:r>
      <w:r w:rsidR="00E969DA">
        <w:rPr>
          <w:rFonts w:cstheme="minorHAnsi"/>
          <w:bCs/>
          <w:lang w:val="en-US"/>
        </w:rPr>
        <w:fldChar w:fldCharType="separate"/>
      </w:r>
      <w:r w:rsidR="00C80A4F" w:rsidRPr="00C80A4F">
        <w:rPr>
          <w:rFonts w:cstheme="minorHAnsi"/>
          <w:bCs/>
          <w:noProof/>
          <w:vertAlign w:val="superscript"/>
          <w:lang w:val="en-US"/>
        </w:rPr>
        <w:t>13</w:t>
      </w:r>
      <w:r w:rsidR="00E969DA">
        <w:rPr>
          <w:rFonts w:cstheme="minorHAnsi"/>
          <w:bCs/>
          <w:lang w:val="en-US"/>
        </w:rPr>
        <w:fldChar w:fldCharType="end"/>
      </w:r>
      <w:r w:rsidRPr="0053310D">
        <w:rPr>
          <w:rFonts w:cstheme="minorHAnsi"/>
          <w:bCs/>
          <w:lang w:val="en-US"/>
        </w:rPr>
        <w:t xml:space="preserve">, via the </w:t>
      </w:r>
      <w:proofErr w:type="spellStart"/>
      <w:r w:rsidRPr="0053310D">
        <w:rPr>
          <w:rFonts w:cstheme="minorHAnsi"/>
          <w:bCs/>
          <w:lang w:val="en-US"/>
        </w:rPr>
        <w:t>meqrlogit</w:t>
      </w:r>
      <w:proofErr w:type="spellEnd"/>
      <w:r w:rsidRPr="0053310D">
        <w:rPr>
          <w:rFonts w:cstheme="minorHAnsi"/>
          <w:bCs/>
          <w:lang w:val="en-US"/>
        </w:rPr>
        <w:t xml:space="preserve"> command of Stata/SE 16.0. Where studies presented only estimates of sensitivity</w:t>
      </w:r>
      <w:r w:rsidR="00107CBA" w:rsidRPr="0053310D">
        <w:rPr>
          <w:rFonts w:cstheme="minorHAnsi"/>
          <w:bCs/>
          <w:lang w:val="en-US"/>
        </w:rPr>
        <w:t xml:space="preserve"> or specificity</w:t>
      </w:r>
      <w:r w:rsidRPr="0053310D">
        <w:rPr>
          <w:rFonts w:cstheme="minorHAnsi"/>
          <w:bCs/>
          <w:lang w:val="en-US"/>
        </w:rPr>
        <w:t>, we will fit univariate random effects logistic regression models.</w:t>
      </w:r>
    </w:p>
    <w:p w14:paraId="08C33F7D" w14:textId="456766F1" w:rsidR="00542100" w:rsidRDefault="00542100" w:rsidP="0053310D">
      <w:pPr>
        <w:spacing w:line="276" w:lineRule="auto"/>
        <w:jc w:val="both"/>
        <w:rPr>
          <w:rFonts w:cstheme="minorHAnsi"/>
          <w:bCs/>
          <w:lang w:val="en-US"/>
        </w:rPr>
      </w:pPr>
    </w:p>
    <w:p w14:paraId="3BC3BCC3" w14:textId="3133D10C" w:rsidR="00542100" w:rsidRPr="0053310D" w:rsidRDefault="00542100" w:rsidP="0053310D">
      <w:pPr>
        <w:spacing w:line="276" w:lineRule="auto"/>
        <w:jc w:val="both"/>
        <w:rPr>
          <w:rFonts w:cstheme="minorHAnsi"/>
          <w:bCs/>
          <w:lang w:val="en-US"/>
        </w:rPr>
      </w:pPr>
      <w:r>
        <w:rPr>
          <w:rFonts w:cstheme="minorHAnsi"/>
          <w:bCs/>
          <w:lang w:val="en-US"/>
        </w:rPr>
        <w:t xml:space="preserve">We will describe the studies according to the following </w:t>
      </w:r>
      <w:proofErr w:type="gramStart"/>
      <w:r w:rsidR="00A042D4">
        <w:rPr>
          <w:rFonts w:cstheme="minorHAnsi"/>
          <w:bCs/>
          <w:lang w:val="en-US"/>
        </w:rPr>
        <w:t>characteristics</w:t>
      </w:r>
      <w:proofErr w:type="gramEnd"/>
      <w:r>
        <w:rPr>
          <w:rFonts w:cstheme="minorHAnsi"/>
          <w:bCs/>
          <w:lang w:val="en-US"/>
        </w:rPr>
        <w:t xml:space="preserve"> </w:t>
      </w:r>
    </w:p>
    <w:p w14:paraId="13AD98FA" w14:textId="1146B9B8" w:rsidR="00542100" w:rsidRPr="00EE575A" w:rsidRDefault="00542100" w:rsidP="00542100">
      <w:pPr>
        <w:pStyle w:val="ListParagraph"/>
        <w:numPr>
          <w:ilvl w:val="0"/>
          <w:numId w:val="6"/>
        </w:numPr>
        <w:spacing w:after="0" w:line="276" w:lineRule="auto"/>
        <w:jc w:val="both"/>
        <w:rPr>
          <w:rFonts w:cstheme="minorHAnsi"/>
          <w:b/>
          <w:sz w:val="24"/>
          <w:szCs w:val="24"/>
        </w:rPr>
      </w:pPr>
      <w:r>
        <w:rPr>
          <w:rFonts w:cstheme="minorHAnsi"/>
          <w:sz w:val="24"/>
          <w:szCs w:val="24"/>
        </w:rPr>
        <w:t xml:space="preserve">Test brand </w:t>
      </w:r>
      <w:proofErr w:type="gramStart"/>
      <w:r>
        <w:rPr>
          <w:rFonts w:cstheme="minorHAnsi"/>
          <w:sz w:val="24"/>
          <w:szCs w:val="24"/>
        </w:rPr>
        <w:t>used</w:t>
      </w:r>
      <w:proofErr w:type="gramEnd"/>
    </w:p>
    <w:p w14:paraId="017DB360" w14:textId="668EE9D6" w:rsidR="00542100" w:rsidRPr="0053310D"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asymptomatic versus symptomatic</w:t>
      </w:r>
    </w:p>
    <w:p w14:paraId="4E570DFD" w14:textId="77777777" w:rsidR="00542100" w:rsidRPr="000E386D"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symptom duration prior to testing</w:t>
      </w:r>
    </w:p>
    <w:p w14:paraId="7CC091E0" w14:textId="05816730" w:rsidR="00542100" w:rsidRPr="00A042D4" w:rsidRDefault="00542100" w:rsidP="00542100">
      <w:pPr>
        <w:pStyle w:val="ListParagraph"/>
        <w:numPr>
          <w:ilvl w:val="0"/>
          <w:numId w:val="6"/>
        </w:numPr>
        <w:spacing w:after="0" w:line="276" w:lineRule="auto"/>
        <w:jc w:val="both"/>
        <w:rPr>
          <w:rFonts w:cstheme="minorHAnsi"/>
          <w:b/>
          <w:sz w:val="24"/>
          <w:szCs w:val="24"/>
        </w:rPr>
      </w:pPr>
      <w:r>
        <w:rPr>
          <w:rFonts w:cstheme="minorHAnsi"/>
          <w:sz w:val="24"/>
          <w:szCs w:val="24"/>
        </w:rPr>
        <w:t xml:space="preserve">Sampling (e.g. </w:t>
      </w:r>
      <w:r w:rsidR="002C5875">
        <w:rPr>
          <w:rFonts w:cstheme="minorHAnsi"/>
          <w:sz w:val="24"/>
          <w:szCs w:val="24"/>
        </w:rPr>
        <w:t xml:space="preserve">lay or professional). If lay, we will also consider </w:t>
      </w:r>
      <w:r>
        <w:rPr>
          <w:rFonts w:cstheme="minorHAnsi"/>
          <w:sz w:val="24"/>
          <w:szCs w:val="24"/>
        </w:rPr>
        <w:t>supervised, non-</w:t>
      </w:r>
      <w:proofErr w:type="gramStart"/>
      <w:r>
        <w:rPr>
          <w:rFonts w:cstheme="minorHAnsi"/>
          <w:sz w:val="24"/>
          <w:szCs w:val="24"/>
        </w:rPr>
        <w:t>supervised</w:t>
      </w:r>
      <w:proofErr w:type="gramEnd"/>
    </w:p>
    <w:p w14:paraId="6A8325AD" w14:textId="1CF939E0" w:rsidR="00A042D4" w:rsidRPr="000E386D" w:rsidRDefault="002C5875" w:rsidP="00542100">
      <w:pPr>
        <w:pStyle w:val="ListParagraph"/>
        <w:numPr>
          <w:ilvl w:val="0"/>
          <w:numId w:val="6"/>
        </w:numPr>
        <w:spacing w:after="0" w:line="276" w:lineRule="auto"/>
        <w:jc w:val="both"/>
        <w:rPr>
          <w:rFonts w:cstheme="minorHAnsi"/>
          <w:b/>
          <w:sz w:val="24"/>
          <w:szCs w:val="24"/>
        </w:rPr>
      </w:pPr>
      <w:r>
        <w:rPr>
          <w:rFonts w:cstheme="minorHAnsi"/>
          <w:sz w:val="24"/>
          <w:szCs w:val="24"/>
        </w:rPr>
        <w:lastRenderedPageBreak/>
        <w:t xml:space="preserve">Test conducted </w:t>
      </w:r>
      <w:r w:rsidR="00A042D4">
        <w:rPr>
          <w:rFonts w:cstheme="minorHAnsi"/>
          <w:sz w:val="24"/>
          <w:szCs w:val="24"/>
        </w:rPr>
        <w:t xml:space="preserve">(e.g. </w:t>
      </w:r>
      <w:r>
        <w:rPr>
          <w:rFonts w:cstheme="minorHAnsi"/>
          <w:sz w:val="24"/>
          <w:szCs w:val="24"/>
        </w:rPr>
        <w:t xml:space="preserve">lay </w:t>
      </w:r>
      <w:r w:rsidR="00A042D4">
        <w:rPr>
          <w:rFonts w:cstheme="minorHAnsi"/>
          <w:sz w:val="24"/>
          <w:szCs w:val="24"/>
        </w:rPr>
        <w:t>or professional)</w:t>
      </w:r>
    </w:p>
    <w:p w14:paraId="3398B114" w14:textId="77777777" w:rsidR="00542100" w:rsidRPr="0053310D"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Type of RT-PCR</w:t>
      </w:r>
    </w:p>
    <w:p w14:paraId="03CE2DAE" w14:textId="77777777" w:rsidR="00542100" w:rsidRPr="0053310D"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populations (e.g. pediatric versus adults)</w:t>
      </w:r>
    </w:p>
    <w:p w14:paraId="17BB156D" w14:textId="77777777" w:rsidR="00542100" w:rsidRPr="000E386D" w:rsidRDefault="00542100" w:rsidP="00542100">
      <w:pPr>
        <w:pStyle w:val="ListParagraph"/>
        <w:numPr>
          <w:ilvl w:val="0"/>
          <w:numId w:val="6"/>
        </w:numPr>
        <w:spacing w:after="0" w:line="276" w:lineRule="auto"/>
        <w:jc w:val="both"/>
        <w:rPr>
          <w:rFonts w:cstheme="minorHAnsi"/>
          <w:b/>
          <w:sz w:val="24"/>
          <w:szCs w:val="24"/>
        </w:rPr>
      </w:pPr>
      <w:r>
        <w:rPr>
          <w:rFonts w:cstheme="minorHAnsi"/>
          <w:sz w:val="24"/>
          <w:szCs w:val="24"/>
        </w:rPr>
        <w:t>use case</w:t>
      </w:r>
      <w:r w:rsidRPr="0053310D">
        <w:rPr>
          <w:rFonts w:cstheme="minorHAnsi"/>
          <w:sz w:val="24"/>
          <w:szCs w:val="24"/>
        </w:rPr>
        <w:t xml:space="preserve"> (e.g. </w:t>
      </w:r>
      <w:r>
        <w:rPr>
          <w:rFonts w:cstheme="minorHAnsi"/>
          <w:sz w:val="24"/>
          <w:szCs w:val="24"/>
        </w:rPr>
        <w:t>universal screening, targeted screening, diagnostic use case</w:t>
      </w:r>
      <w:r w:rsidRPr="0053310D">
        <w:rPr>
          <w:rFonts w:cstheme="minorHAnsi"/>
          <w:sz w:val="24"/>
          <w:szCs w:val="24"/>
        </w:rPr>
        <w:t>)</w:t>
      </w:r>
    </w:p>
    <w:p w14:paraId="7F31A653" w14:textId="77777777" w:rsidR="00542100" w:rsidRPr="0053310D" w:rsidRDefault="00542100" w:rsidP="00542100">
      <w:pPr>
        <w:pStyle w:val="ListParagraph"/>
        <w:numPr>
          <w:ilvl w:val="0"/>
          <w:numId w:val="6"/>
        </w:numPr>
        <w:spacing w:after="0" w:line="276" w:lineRule="auto"/>
        <w:jc w:val="both"/>
        <w:rPr>
          <w:rFonts w:cstheme="minorHAnsi"/>
          <w:b/>
          <w:sz w:val="24"/>
          <w:szCs w:val="24"/>
        </w:rPr>
      </w:pPr>
      <w:r>
        <w:rPr>
          <w:rFonts w:cstheme="minorHAnsi"/>
          <w:sz w:val="24"/>
          <w:szCs w:val="24"/>
        </w:rPr>
        <w:t>Setting (e.g. hospitals, schools, work environment)</w:t>
      </w:r>
    </w:p>
    <w:p w14:paraId="2EC6B30B" w14:textId="287B9F55" w:rsidR="00542100" w:rsidRPr="0053310D"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viral load</w:t>
      </w:r>
    </w:p>
    <w:p w14:paraId="17CF6E43" w14:textId="164E4C37" w:rsidR="00542100" w:rsidRPr="00EE575A" w:rsidRDefault="00542100" w:rsidP="00542100">
      <w:pPr>
        <w:pStyle w:val="ListParagraph"/>
        <w:numPr>
          <w:ilvl w:val="0"/>
          <w:numId w:val="6"/>
        </w:numPr>
        <w:spacing w:after="0" w:line="276" w:lineRule="auto"/>
        <w:jc w:val="both"/>
        <w:rPr>
          <w:rFonts w:cstheme="minorHAnsi"/>
          <w:b/>
          <w:sz w:val="24"/>
          <w:szCs w:val="24"/>
        </w:rPr>
      </w:pPr>
      <w:r w:rsidRPr="0053310D">
        <w:rPr>
          <w:rFonts w:cstheme="minorHAnsi"/>
          <w:sz w:val="24"/>
          <w:szCs w:val="24"/>
        </w:rPr>
        <w:t>Ct-value</w:t>
      </w:r>
    </w:p>
    <w:p w14:paraId="153EAB3B" w14:textId="21E1EED2" w:rsidR="00542100" w:rsidRDefault="002C5875" w:rsidP="00542100">
      <w:pPr>
        <w:spacing w:line="276" w:lineRule="auto"/>
        <w:rPr>
          <w:color w:val="000000" w:themeColor="text1"/>
          <w:lang w:val="en-US"/>
        </w:rPr>
      </w:pPr>
      <w:r>
        <w:rPr>
          <w:rFonts w:cstheme="minorHAnsi"/>
          <w:bCs/>
          <w:lang w:val="en-US"/>
        </w:rPr>
        <w:t xml:space="preserve">For purpose of the WHO, we will perform a meta-analysis only on the self-testing studies (provided data allows). </w:t>
      </w:r>
      <w:proofErr w:type="gramStart"/>
      <w:r>
        <w:rPr>
          <w:rFonts w:cstheme="minorHAnsi"/>
          <w:bCs/>
          <w:lang w:val="en-US"/>
        </w:rPr>
        <w:t>For the purpose of</w:t>
      </w:r>
      <w:proofErr w:type="gramEnd"/>
      <w:r>
        <w:rPr>
          <w:rFonts w:cstheme="minorHAnsi"/>
          <w:bCs/>
          <w:lang w:val="en-US"/>
        </w:rPr>
        <w:t xml:space="preserve"> the publication, we will perform a meta-analysis combining self-testing and self-sampling studies and i</w:t>
      </w:r>
      <w:r w:rsidR="00542100" w:rsidRPr="00EE575A">
        <w:rPr>
          <w:rFonts w:cstheme="minorHAnsi"/>
          <w:bCs/>
          <w:lang w:val="en-US"/>
        </w:rPr>
        <w:t>f data allows, we will consider subgroup meta-analyses by</w:t>
      </w:r>
      <w:r>
        <w:rPr>
          <w:rFonts w:cstheme="minorHAnsi"/>
          <w:bCs/>
          <w:lang w:val="en-US"/>
        </w:rPr>
        <w:t xml:space="preserve"> self-sampling/self-testing,</w:t>
      </w:r>
      <w:r w:rsidR="00542100" w:rsidRPr="00EE575A">
        <w:rPr>
          <w:rFonts w:cstheme="minorHAnsi"/>
          <w:bCs/>
          <w:lang w:val="en-US"/>
        </w:rPr>
        <w:t xml:space="preserve"> test brand, symptom presence, professional versus </w:t>
      </w:r>
      <w:r w:rsidR="00A643D1" w:rsidRPr="00EE575A">
        <w:rPr>
          <w:rFonts w:cstheme="minorHAnsi"/>
          <w:bCs/>
          <w:lang w:val="en-US"/>
        </w:rPr>
        <w:t>self-sampling</w:t>
      </w:r>
      <w:r w:rsidR="00542100" w:rsidRPr="00EE575A">
        <w:rPr>
          <w:rFonts w:cstheme="minorHAnsi"/>
          <w:bCs/>
          <w:lang w:val="en-US"/>
        </w:rPr>
        <w:t xml:space="preserve"> and testing</w:t>
      </w:r>
      <w:r>
        <w:rPr>
          <w:rFonts w:cstheme="minorHAnsi"/>
          <w:bCs/>
          <w:lang w:val="en-US"/>
        </w:rPr>
        <w:t>, viral load (as defined by PCR)</w:t>
      </w:r>
      <w:r w:rsidR="00542100" w:rsidRPr="00EE575A">
        <w:rPr>
          <w:rFonts w:cstheme="minorHAnsi"/>
          <w:bCs/>
          <w:lang w:val="en-US"/>
        </w:rPr>
        <w:t xml:space="preserve">. </w:t>
      </w:r>
      <w:r w:rsidR="00542100" w:rsidRPr="00542100">
        <w:rPr>
          <w:color w:val="000000" w:themeColor="text1"/>
          <w:lang w:val="en-US"/>
        </w:rPr>
        <w:t xml:space="preserve"> </w:t>
      </w:r>
      <w:r w:rsidR="00542100">
        <w:rPr>
          <w:color w:val="000000" w:themeColor="text1"/>
          <w:lang w:val="en-US"/>
        </w:rPr>
        <w:t>If meta-analysis is not possible in a subgroup, we will provide a descriptive overview, a range for accuracy and describe outliers.</w:t>
      </w:r>
      <w:r w:rsidR="00A643D1">
        <w:rPr>
          <w:color w:val="000000" w:themeColor="text1"/>
          <w:lang w:val="en-US"/>
        </w:rPr>
        <w:t xml:space="preserve"> We will present ease of use (feasibility, usability, acceptability) in a descriptive matter</w:t>
      </w:r>
      <w:r>
        <w:rPr>
          <w:color w:val="000000" w:themeColor="text1"/>
          <w:lang w:val="en-US"/>
        </w:rPr>
        <w:t xml:space="preserve"> as comparability of data is expected to be low (unless several studies use a </w:t>
      </w:r>
      <w:r w:rsidR="00801B53">
        <w:rPr>
          <w:color w:val="000000" w:themeColor="text1"/>
          <w:lang w:val="en-US"/>
        </w:rPr>
        <w:t xml:space="preserve">standardized tool like the </w:t>
      </w:r>
      <w:r w:rsidR="00772A57">
        <w:rPr>
          <w:color w:val="000000" w:themeColor="text1"/>
          <w:lang w:val="en-US"/>
        </w:rPr>
        <w:t xml:space="preserve">(modified) </w:t>
      </w:r>
      <w:r w:rsidR="00801B53">
        <w:rPr>
          <w:color w:val="000000" w:themeColor="text1"/>
          <w:lang w:val="en-US"/>
        </w:rPr>
        <w:t>System Usability Scale</w:t>
      </w:r>
      <w:r w:rsidR="00772A57">
        <w:rPr>
          <w:color w:val="000000" w:themeColor="text1"/>
          <w:lang w:val="en-US"/>
        </w:rPr>
        <w:fldChar w:fldCharType="begin" w:fldLock="1"/>
      </w:r>
      <w:r w:rsidR="00C80A4F">
        <w:rPr>
          <w:color w:val="000000" w:themeColor="text1"/>
          <w:lang w:val="en-US"/>
        </w:rPr>
        <w:instrText>ADDIN CSL_CITATION {"citationItems":[{"id":"ITEM-1","itemData":{"ISBN":"9780429157011","author":[{"dropping-particle":"","family":"Brooke","given":"John","non-dropping-particle":"","parse-names":false,"suffix":""}],"container-title":"Usability Evaluation In Industry","edition":"1st","id":"ITEM-1","issued":{"date-parts":[["1996"]]},"page":"6","title":"SUS: A 'Quick and Dirty' Usability Scale","type":"chapter"},"uris":["http://www.mendeley.com/documents/?uuid=2a4164ec-2c99-4499-876c-1bb3cac55da1"]},{"id":"ITEM-2","itemData":{"DOI":"10.1080/10447310802205776","ISBN":"1044731080220","ISSN":"10447318","abstract":"This article presents nearly 10 year's worth of System Usability Scale (SUS) data collected on numerous products in all phases of the development lifecycle. The SUS, developed by Brooke (1996), reflected a strong need in the usability community for a tool that could quickly and easily collect a user's subjective rating of a product's usability. The data in this study indicate that the SUS fulfills that need. Results from the analysis of this large number of SUS scores show that the SUS is a highly robust and versatile tool for usability professionals. The article presents these results and discusses their implications, describes nontraditional uses of the SUS, explains a proposed modification to the SUS to provide an adjective rating that correlates with a given score, and provides details of what constitutes an acceptable SUS score. Copyright © Taylor &amp; Francis Group, LLC.","author":[{"dropping-particle":"","family":"Bangor","given":"Aaron","non-dropping-particle":"","parse-names":false,"suffix":""},{"dropping-particle":"","family":"Kortum","given":"Philip T.","non-dropping-particle":"","parse-names":false,"suffix":""},{"dropping-particle":"","family":"Miller","given":"James T.","non-dropping-particle":"","parse-names":false,"suffix":""}],"container-title":"International Journal of Human-Computer Interaction","id":"ITEM-2","issue":"6","issued":{"date-parts":[["2008"]]},"page":"574-594","title":"An empirical evaluation of the system usability scale","type":"article-journal","volume":"24"},"uris":["http://www.mendeley.com/documents/?uuid=7101d63d-49b3-480a-a49f-ce9e01dec1b0"]}],"mendeley":{"formattedCitation":"&lt;sup&gt;14,15&lt;/sup&gt;","plainTextFormattedCitation":"14,15","previouslyFormattedCitation":"&lt;sup&gt;14,15&lt;/sup&gt;"},"properties":{"noteIndex":0},"schema":"https://github.com/citation-style-language/schema/raw/master/csl-citation.json"}</w:instrText>
      </w:r>
      <w:r w:rsidR="00772A57">
        <w:rPr>
          <w:color w:val="000000" w:themeColor="text1"/>
          <w:lang w:val="en-US"/>
        </w:rPr>
        <w:fldChar w:fldCharType="separate"/>
      </w:r>
      <w:r w:rsidR="00C80A4F" w:rsidRPr="00C80A4F">
        <w:rPr>
          <w:noProof/>
          <w:color w:val="000000" w:themeColor="text1"/>
          <w:vertAlign w:val="superscript"/>
          <w:lang w:val="en-US"/>
        </w:rPr>
        <w:t>14,15</w:t>
      </w:r>
      <w:r w:rsidR="00772A57">
        <w:rPr>
          <w:color w:val="000000" w:themeColor="text1"/>
          <w:lang w:val="en-US"/>
        </w:rPr>
        <w:fldChar w:fldCharType="end"/>
      </w:r>
      <w:r w:rsidR="00801B53">
        <w:rPr>
          <w:color w:val="000000" w:themeColor="text1"/>
          <w:lang w:val="en-US"/>
        </w:rPr>
        <w:t>).</w:t>
      </w:r>
    </w:p>
    <w:p w14:paraId="617A3AF5" w14:textId="203BB5F0" w:rsidR="00542100" w:rsidRPr="00EE575A" w:rsidRDefault="00542100" w:rsidP="00EE575A">
      <w:pPr>
        <w:spacing w:line="276" w:lineRule="auto"/>
        <w:jc w:val="both"/>
        <w:rPr>
          <w:rFonts w:cstheme="minorHAnsi"/>
          <w:bCs/>
          <w:lang w:val="en-US"/>
        </w:rPr>
      </w:pPr>
    </w:p>
    <w:p w14:paraId="0F4B3DA2" w14:textId="77777777" w:rsidR="00321637" w:rsidRPr="0053310D" w:rsidRDefault="00321637" w:rsidP="0053310D">
      <w:pPr>
        <w:spacing w:line="276" w:lineRule="auto"/>
        <w:jc w:val="both"/>
        <w:rPr>
          <w:rFonts w:cstheme="minorHAnsi"/>
          <w:bCs/>
          <w:lang w:val="en-US"/>
        </w:rPr>
      </w:pPr>
    </w:p>
    <w:p w14:paraId="54882CEB" w14:textId="77777777" w:rsidR="00321637" w:rsidRPr="0053310D" w:rsidRDefault="00321637" w:rsidP="0053310D">
      <w:pPr>
        <w:spacing w:line="276" w:lineRule="auto"/>
        <w:jc w:val="both"/>
        <w:rPr>
          <w:rFonts w:cstheme="minorHAnsi"/>
          <w:bCs/>
          <w:lang w:val="en-US"/>
        </w:rPr>
      </w:pPr>
      <w:r w:rsidRPr="0053310D">
        <w:rPr>
          <w:rFonts w:cstheme="minorHAnsi"/>
          <w:bCs/>
          <w:lang w:val="en-US"/>
        </w:rPr>
        <w:t>Investigations of heterogeneity</w:t>
      </w:r>
    </w:p>
    <w:p w14:paraId="59AE3FD5" w14:textId="3CFD7657" w:rsidR="00321637" w:rsidRPr="0053310D" w:rsidRDefault="00321637" w:rsidP="0053310D">
      <w:pPr>
        <w:spacing w:line="276" w:lineRule="auto"/>
        <w:jc w:val="both"/>
        <w:rPr>
          <w:rFonts w:cstheme="minorHAnsi"/>
          <w:bCs/>
          <w:lang w:val="en-US"/>
        </w:rPr>
      </w:pPr>
      <w:r w:rsidRPr="0053310D">
        <w:rPr>
          <w:rFonts w:cstheme="minorHAnsi"/>
          <w:bCs/>
          <w:lang w:val="en-US"/>
        </w:rPr>
        <w:t>We examine heterogeneity between studies by visually inspecting the forest plots of sensitivity and specificity. Where adequate data is available for the subcategories, we investigated heterogeneity by including indicator variables in the random-effects logistic regression models. Absolute differences</w:t>
      </w:r>
      <w:r w:rsidR="00107CBA" w:rsidRPr="0053310D">
        <w:rPr>
          <w:rFonts w:cstheme="minorHAnsi"/>
          <w:bCs/>
          <w:lang w:val="en-US"/>
        </w:rPr>
        <w:t xml:space="preserve"> </w:t>
      </w:r>
      <w:r w:rsidRPr="0053310D">
        <w:rPr>
          <w:rFonts w:cstheme="minorHAnsi"/>
          <w:bCs/>
          <w:lang w:val="en-US"/>
        </w:rPr>
        <w:t xml:space="preserve">between the sensitivity or specificity and the P values are reported from the model. </w:t>
      </w:r>
    </w:p>
    <w:p w14:paraId="0CD3A633" w14:textId="77777777" w:rsidR="00321637" w:rsidRPr="0053310D" w:rsidRDefault="00321637" w:rsidP="0053310D">
      <w:pPr>
        <w:spacing w:line="276" w:lineRule="auto"/>
        <w:jc w:val="both"/>
        <w:rPr>
          <w:rFonts w:cstheme="minorHAnsi"/>
          <w:bCs/>
          <w:lang w:val="en-US"/>
        </w:rPr>
      </w:pPr>
    </w:p>
    <w:p w14:paraId="2E9BA182" w14:textId="77777777" w:rsidR="00321637" w:rsidRPr="0053310D" w:rsidRDefault="00321637" w:rsidP="0053310D">
      <w:pPr>
        <w:spacing w:line="276" w:lineRule="auto"/>
        <w:jc w:val="both"/>
        <w:rPr>
          <w:rFonts w:cstheme="minorHAnsi"/>
          <w:bCs/>
          <w:lang w:val="en-US"/>
        </w:rPr>
      </w:pPr>
      <w:r w:rsidRPr="0053310D">
        <w:rPr>
          <w:rFonts w:cstheme="minorHAnsi"/>
          <w:bCs/>
          <w:lang w:val="en-US"/>
        </w:rPr>
        <w:t>Sensitivity analyses</w:t>
      </w:r>
    </w:p>
    <w:p w14:paraId="238FCDCC" w14:textId="05F0B3EC" w:rsidR="00321637" w:rsidRDefault="00321637" w:rsidP="0053310D">
      <w:pPr>
        <w:spacing w:line="276" w:lineRule="auto"/>
        <w:jc w:val="both"/>
        <w:rPr>
          <w:rFonts w:cstheme="minorHAnsi"/>
          <w:bCs/>
          <w:lang w:val="en-US"/>
        </w:rPr>
      </w:pPr>
      <w:r w:rsidRPr="0053310D">
        <w:rPr>
          <w:rFonts w:cstheme="minorHAnsi"/>
          <w:bCs/>
          <w:lang w:val="en-US"/>
        </w:rPr>
        <w:t xml:space="preserve">We perform sensitivity analyses. </w:t>
      </w:r>
      <w:r w:rsidR="00F6106B">
        <w:rPr>
          <w:rFonts w:cstheme="minorHAnsi"/>
          <w:bCs/>
          <w:lang w:val="en-US"/>
        </w:rPr>
        <w:t>Firstly</w:t>
      </w:r>
      <w:r w:rsidRPr="0053310D">
        <w:rPr>
          <w:rFonts w:cstheme="minorHAnsi"/>
          <w:bCs/>
          <w:lang w:val="en-US"/>
        </w:rPr>
        <w:t xml:space="preserve">, estimation of sensitivity and specificity if non-peer reviewed studies are excluded. </w:t>
      </w:r>
      <w:r w:rsidR="00F6106B">
        <w:rPr>
          <w:rFonts w:cstheme="minorHAnsi"/>
          <w:bCs/>
          <w:lang w:val="en-US"/>
        </w:rPr>
        <w:t>Other sensitivity analyses will be considered depending on the study type.</w:t>
      </w:r>
      <w:r w:rsidRPr="0053310D">
        <w:rPr>
          <w:rFonts w:cstheme="minorHAnsi"/>
          <w:bCs/>
          <w:lang w:val="en-US"/>
        </w:rPr>
        <w:t xml:space="preserve"> </w:t>
      </w:r>
    </w:p>
    <w:p w14:paraId="47D09177" w14:textId="77777777" w:rsidR="00F6106B" w:rsidRPr="0053310D" w:rsidRDefault="00F6106B" w:rsidP="0053310D">
      <w:pPr>
        <w:spacing w:line="276" w:lineRule="auto"/>
        <w:jc w:val="both"/>
        <w:rPr>
          <w:rFonts w:cstheme="minorHAnsi"/>
          <w:bCs/>
          <w:lang w:val="en-US"/>
        </w:rPr>
      </w:pPr>
    </w:p>
    <w:p w14:paraId="399E7961" w14:textId="77777777" w:rsidR="00A7390E" w:rsidRPr="0053310D" w:rsidRDefault="00A7390E" w:rsidP="0053310D">
      <w:pPr>
        <w:spacing w:line="276" w:lineRule="auto"/>
        <w:jc w:val="both"/>
        <w:rPr>
          <w:rFonts w:cstheme="minorHAnsi"/>
          <w:bCs/>
          <w:lang w:val="en-US"/>
        </w:rPr>
      </w:pPr>
      <w:r w:rsidRPr="0053310D">
        <w:rPr>
          <w:rFonts w:cstheme="minorHAnsi"/>
          <w:bCs/>
          <w:lang w:val="en-US"/>
        </w:rPr>
        <w:t>Publication bias</w:t>
      </w:r>
    </w:p>
    <w:p w14:paraId="147959DB" w14:textId="1792F387" w:rsidR="00A362F9" w:rsidRPr="005E2B2A" w:rsidRDefault="00A7390E" w:rsidP="0053310D">
      <w:pPr>
        <w:spacing w:line="276" w:lineRule="auto"/>
        <w:jc w:val="both"/>
        <w:rPr>
          <w:rFonts w:cstheme="minorHAnsi"/>
          <w:bCs/>
          <w:lang w:val="en-US"/>
        </w:rPr>
      </w:pPr>
      <w:r w:rsidRPr="0053310D">
        <w:rPr>
          <w:rFonts w:cstheme="minorHAnsi"/>
          <w:bCs/>
          <w:lang w:val="en-US"/>
        </w:rPr>
        <w:t xml:space="preserve">Assessment if publication bias </w:t>
      </w:r>
      <w:r w:rsidR="00A362F9">
        <w:rPr>
          <w:rFonts w:cstheme="minorHAnsi"/>
          <w:bCs/>
          <w:lang w:val="en-US"/>
        </w:rPr>
        <w:t>will be</w:t>
      </w:r>
      <w:r w:rsidRPr="0053310D">
        <w:rPr>
          <w:rFonts w:cstheme="minorHAnsi"/>
          <w:bCs/>
          <w:lang w:val="en-US"/>
        </w:rPr>
        <w:t xml:space="preserve"> performed with funnel </w:t>
      </w:r>
      <w:proofErr w:type="gramStart"/>
      <w:r w:rsidRPr="0053310D">
        <w:rPr>
          <w:rFonts w:cstheme="minorHAnsi"/>
          <w:bCs/>
          <w:lang w:val="en-US"/>
        </w:rPr>
        <w:t>plots</w:t>
      </w:r>
      <w:proofErr w:type="gramEnd"/>
    </w:p>
    <w:p w14:paraId="70629882" w14:textId="41A056C6" w:rsidR="008620E4" w:rsidRDefault="008620E4" w:rsidP="00E13CE1">
      <w:pPr>
        <w:spacing w:line="276" w:lineRule="auto"/>
        <w:rPr>
          <w:color w:val="000000" w:themeColor="text1"/>
          <w:lang w:val="en-US"/>
        </w:rPr>
      </w:pPr>
    </w:p>
    <w:p w14:paraId="3660450F" w14:textId="0C20FCF5" w:rsidR="008620E4" w:rsidRDefault="00DE4D9A">
      <w:pPr>
        <w:rPr>
          <w:color w:val="000000" w:themeColor="text1"/>
          <w:lang w:val="en-US"/>
        </w:rPr>
      </w:pPr>
      <w:r>
        <w:rPr>
          <w:color w:val="000000" w:themeColor="text1"/>
          <w:lang w:val="en-US"/>
        </w:rPr>
        <w:t>References</w:t>
      </w:r>
    </w:p>
    <w:p w14:paraId="41FEE602" w14:textId="77777777" w:rsidR="008620E4" w:rsidRPr="008620E4" w:rsidRDefault="008620E4">
      <w:pPr>
        <w:rPr>
          <w:color w:val="000000" w:themeColor="text1"/>
          <w:lang w:val="en-US"/>
        </w:rPr>
      </w:pPr>
    </w:p>
    <w:p w14:paraId="17499E4B" w14:textId="66964B6A" w:rsidR="00C80A4F" w:rsidRPr="003377EE" w:rsidRDefault="008620E4" w:rsidP="00C80A4F">
      <w:pPr>
        <w:widowControl w:val="0"/>
        <w:autoSpaceDE w:val="0"/>
        <w:autoSpaceDN w:val="0"/>
        <w:adjustRightInd w:val="0"/>
        <w:ind w:left="640" w:hanging="640"/>
        <w:rPr>
          <w:rFonts w:ascii="Calibri" w:hAnsi="Calibri" w:cs="Calibri"/>
          <w:noProof/>
          <w:lang w:val="en-US"/>
        </w:rPr>
      </w:pPr>
      <w:r>
        <w:rPr>
          <w:color w:val="FFFFFF" w:themeColor="background1"/>
          <w:lang w:val="en-US"/>
        </w:rPr>
        <w:fldChar w:fldCharType="begin" w:fldLock="1"/>
      </w:r>
      <w:r>
        <w:rPr>
          <w:color w:val="FFFFFF" w:themeColor="background1"/>
          <w:lang w:val="en-US"/>
        </w:rPr>
        <w:instrText xml:space="preserve">ADDIN Mendeley Bibliography CSL_BIBLIOGRAPHY </w:instrText>
      </w:r>
      <w:r>
        <w:rPr>
          <w:color w:val="FFFFFF" w:themeColor="background1"/>
          <w:lang w:val="en-US"/>
        </w:rPr>
        <w:fldChar w:fldCharType="separate"/>
      </w:r>
      <w:r w:rsidR="00C80A4F" w:rsidRPr="003377EE">
        <w:rPr>
          <w:rFonts w:ascii="Calibri" w:hAnsi="Calibri" w:cs="Calibri"/>
          <w:noProof/>
          <w:lang w:val="en-US"/>
        </w:rPr>
        <w:t xml:space="preserve">1. </w:t>
      </w:r>
      <w:r w:rsidR="00C80A4F" w:rsidRPr="003377EE">
        <w:rPr>
          <w:rFonts w:ascii="Calibri" w:hAnsi="Calibri" w:cs="Calibri"/>
          <w:noProof/>
          <w:lang w:val="en-US"/>
        </w:rPr>
        <w:tab/>
        <w:t xml:space="preserve">World Health Organisation. Antigen-detection in the diagnosis of SARS-CoV-2 infection using rapid immunoassays Interim guidance, 11 September 2020. </w:t>
      </w:r>
      <w:r w:rsidR="00C80A4F" w:rsidRPr="003377EE">
        <w:rPr>
          <w:rFonts w:ascii="Calibri" w:hAnsi="Calibri" w:cs="Calibri"/>
          <w:i/>
          <w:iCs/>
          <w:noProof/>
          <w:lang w:val="en-US"/>
        </w:rPr>
        <w:t>World Heal Organ</w:t>
      </w:r>
      <w:r w:rsidR="00C80A4F" w:rsidRPr="003377EE">
        <w:rPr>
          <w:rFonts w:ascii="Calibri" w:hAnsi="Calibri" w:cs="Calibri"/>
          <w:noProof/>
          <w:lang w:val="en-US"/>
        </w:rPr>
        <w:t>. 2020;(September):1-9. https://apps.who.int/iris/handle/10665/334253.</w:t>
      </w:r>
    </w:p>
    <w:p w14:paraId="7E4A5632"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C80A4F">
        <w:rPr>
          <w:rFonts w:ascii="Calibri" w:hAnsi="Calibri" w:cs="Calibri"/>
          <w:noProof/>
          <w:lang w:val="de-DE"/>
        </w:rPr>
        <w:t xml:space="preserve">2. </w:t>
      </w:r>
      <w:r w:rsidRPr="00C80A4F">
        <w:rPr>
          <w:rFonts w:ascii="Calibri" w:hAnsi="Calibri" w:cs="Calibri"/>
          <w:noProof/>
          <w:lang w:val="de-DE"/>
        </w:rPr>
        <w:tab/>
        <w:t xml:space="preserve">Brümmer LE, Katzenschlager S, Gaeddert M, et al. </w:t>
      </w:r>
      <w:r w:rsidRPr="003377EE">
        <w:rPr>
          <w:rFonts w:ascii="Calibri" w:hAnsi="Calibri" w:cs="Calibri"/>
          <w:i/>
          <w:iCs/>
          <w:noProof/>
          <w:lang w:val="en-US"/>
        </w:rPr>
        <w:t>Accuracy of Novel Antigen Rapid Diagnostics for SARS-CoV-2: A Living Systematic Review and Meta-Analysis</w:t>
      </w:r>
      <w:r w:rsidRPr="003377EE">
        <w:rPr>
          <w:rFonts w:ascii="Calibri" w:hAnsi="Calibri" w:cs="Calibri"/>
          <w:noProof/>
          <w:lang w:val="en-US"/>
        </w:rPr>
        <w:t>. Vol 18.; 2021. doi:10.1371/journal.pmed.1003735</w:t>
      </w:r>
    </w:p>
    <w:p w14:paraId="04D9A9CA"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3. </w:t>
      </w:r>
      <w:r w:rsidRPr="003377EE">
        <w:rPr>
          <w:rFonts w:ascii="Calibri" w:hAnsi="Calibri" w:cs="Calibri"/>
          <w:noProof/>
          <w:lang w:val="en-US"/>
        </w:rPr>
        <w:tab/>
        <w:t xml:space="preserve">Dinnes J, Deeks J, Berhane S, et al. Rapid, point-of-care antigen and molecular-based tests for diagnosis of SARS-CoV-2 infection (Review). </w:t>
      </w:r>
      <w:r w:rsidRPr="003377EE">
        <w:rPr>
          <w:rFonts w:ascii="Calibri" w:hAnsi="Calibri" w:cs="Calibri"/>
          <w:i/>
          <w:iCs/>
          <w:noProof/>
          <w:lang w:val="en-US"/>
        </w:rPr>
        <w:t>Cochrane Database Syst Rev</w:t>
      </w:r>
      <w:r w:rsidRPr="003377EE">
        <w:rPr>
          <w:rFonts w:ascii="Calibri" w:hAnsi="Calibri" w:cs="Calibri"/>
          <w:noProof/>
          <w:lang w:val="en-US"/>
        </w:rPr>
        <w:t>. 2021. doi:10.1002/14651858.CD013705.pub2.</w:t>
      </w:r>
    </w:p>
    <w:p w14:paraId="2D5353F8" w14:textId="77777777" w:rsidR="00C80A4F" w:rsidRPr="00C80A4F" w:rsidRDefault="00C80A4F" w:rsidP="00C80A4F">
      <w:pPr>
        <w:widowControl w:val="0"/>
        <w:autoSpaceDE w:val="0"/>
        <w:autoSpaceDN w:val="0"/>
        <w:adjustRightInd w:val="0"/>
        <w:ind w:left="640" w:hanging="640"/>
        <w:rPr>
          <w:rFonts w:ascii="Calibri" w:hAnsi="Calibri" w:cs="Calibri"/>
          <w:noProof/>
          <w:lang w:val="de-DE"/>
        </w:rPr>
      </w:pPr>
      <w:r w:rsidRPr="003377EE">
        <w:rPr>
          <w:rFonts w:ascii="Calibri" w:hAnsi="Calibri" w:cs="Calibri"/>
          <w:noProof/>
          <w:lang w:val="en-US"/>
        </w:rPr>
        <w:t xml:space="preserve">4. </w:t>
      </w:r>
      <w:r w:rsidRPr="003377EE">
        <w:rPr>
          <w:rFonts w:ascii="Calibri" w:hAnsi="Calibri" w:cs="Calibri"/>
          <w:noProof/>
          <w:lang w:val="en-US"/>
        </w:rPr>
        <w:tab/>
        <w:t xml:space="preserve">Lindner AK, Nikolai O, Rohardt C, et al. SARS-CoV-2 patient self-testing with an antigen-detecting rapid test: a head-to-head comparison with professional testing. </w:t>
      </w:r>
      <w:r w:rsidRPr="003377EE">
        <w:rPr>
          <w:rFonts w:ascii="Calibri" w:hAnsi="Calibri" w:cs="Calibri"/>
          <w:i/>
          <w:iCs/>
          <w:noProof/>
          <w:lang w:val="en-US"/>
        </w:rPr>
        <w:t>medRxiv</w:t>
      </w:r>
      <w:r w:rsidRPr="003377EE">
        <w:rPr>
          <w:rFonts w:ascii="Calibri" w:hAnsi="Calibri" w:cs="Calibri"/>
          <w:noProof/>
          <w:lang w:val="en-US"/>
        </w:rPr>
        <w:t xml:space="preserve">. </w:t>
      </w:r>
      <w:r w:rsidRPr="00C80A4F">
        <w:rPr>
          <w:rFonts w:ascii="Calibri" w:hAnsi="Calibri" w:cs="Calibri"/>
          <w:noProof/>
          <w:lang w:val="de-DE"/>
        </w:rPr>
        <w:t>2021. https://doi.org/10.1101/2021.01.06.20249009.</w:t>
      </w:r>
    </w:p>
    <w:p w14:paraId="70C923A9"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C80A4F">
        <w:rPr>
          <w:rFonts w:ascii="Calibri" w:hAnsi="Calibri" w:cs="Calibri"/>
          <w:noProof/>
          <w:lang w:val="de-DE"/>
        </w:rPr>
        <w:t xml:space="preserve">5. </w:t>
      </w:r>
      <w:r w:rsidRPr="00C80A4F">
        <w:rPr>
          <w:rFonts w:ascii="Calibri" w:hAnsi="Calibri" w:cs="Calibri"/>
          <w:noProof/>
          <w:lang w:val="de-DE"/>
        </w:rPr>
        <w:tab/>
        <w:t xml:space="preserve">Cockerill FR, Wohlgemuth JG, Radcliff J, et al. </w:t>
      </w:r>
      <w:r w:rsidRPr="003377EE">
        <w:rPr>
          <w:rFonts w:ascii="Calibri" w:hAnsi="Calibri" w:cs="Calibri"/>
          <w:noProof/>
          <w:lang w:val="en-US"/>
        </w:rPr>
        <w:t xml:space="preserve">Evolution of Specimen Self-Collection in the COVID-19 Era: Implications for Population Health Management of Infectious Disease. </w:t>
      </w:r>
      <w:r w:rsidRPr="003377EE">
        <w:rPr>
          <w:rFonts w:ascii="Calibri" w:hAnsi="Calibri" w:cs="Calibri"/>
          <w:i/>
          <w:iCs/>
          <w:noProof/>
          <w:lang w:val="en-US"/>
        </w:rPr>
        <w:t>Popul Health Manag</w:t>
      </w:r>
      <w:r w:rsidRPr="003377EE">
        <w:rPr>
          <w:rFonts w:ascii="Calibri" w:hAnsi="Calibri" w:cs="Calibri"/>
          <w:noProof/>
          <w:lang w:val="en-US"/>
        </w:rPr>
        <w:t>. 2021;24(S1):S26-S34. doi:10.1089/pop.2020.0296</w:t>
      </w:r>
    </w:p>
    <w:p w14:paraId="6F6A110A" w14:textId="77777777" w:rsidR="00C80A4F" w:rsidRPr="00C80A4F" w:rsidRDefault="00C80A4F" w:rsidP="00C80A4F">
      <w:pPr>
        <w:widowControl w:val="0"/>
        <w:autoSpaceDE w:val="0"/>
        <w:autoSpaceDN w:val="0"/>
        <w:adjustRightInd w:val="0"/>
        <w:ind w:left="640" w:hanging="640"/>
        <w:rPr>
          <w:rFonts w:ascii="Calibri" w:hAnsi="Calibri" w:cs="Calibri"/>
          <w:noProof/>
          <w:lang w:val="de-DE"/>
        </w:rPr>
      </w:pPr>
      <w:r w:rsidRPr="003377EE">
        <w:rPr>
          <w:rFonts w:ascii="Calibri" w:hAnsi="Calibri" w:cs="Calibri"/>
          <w:noProof/>
          <w:lang w:val="en-US"/>
        </w:rPr>
        <w:t xml:space="preserve">6. </w:t>
      </w:r>
      <w:r w:rsidRPr="003377EE">
        <w:rPr>
          <w:rFonts w:ascii="Calibri" w:hAnsi="Calibri" w:cs="Calibri"/>
          <w:noProof/>
          <w:lang w:val="en-US"/>
        </w:rPr>
        <w:tab/>
        <w:t xml:space="preserve">Therchilsen JH, von Buchwald C, Koch A, et al. Self-Collected versus Healthcare Worker-Collected Swabs in the Diagnosis of Severe Acute Respiratory Syndrome Coronavirus 2. </w:t>
      </w:r>
      <w:r w:rsidRPr="00C80A4F">
        <w:rPr>
          <w:rFonts w:ascii="Calibri" w:hAnsi="Calibri" w:cs="Calibri"/>
          <w:i/>
          <w:iCs/>
          <w:noProof/>
          <w:lang w:val="de-DE"/>
        </w:rPr>
        <w:t>Diagnostics</w:t>
      </w:r>
      <w:r w:rsidRPr="00C80A4F">
        <w:rPr>
          <w:rFonts w:ascii="Calibri" w:hAnsi="Calibri" w:cs="Calibri"/>
          <w:noProof/>
          <w:lang w:val="de-DE"/>
        </w:rPr>
        <w:t>. 2020;10(9):1-10. doi:10.3390/diagnostics10090678</w:t>
      </w:r>
    </w:p>
    <w:p w14:paraId="531C9635"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C80A4F">
        <w:rPr>
          <w:rFonts w:ascii="Calibri" w:hAnsi="Calibri" w:cs="Calibri"/>
          <w:noProof/>
          <w:lang w:val="de-DE"/>
        </w:rPr>
        <w:t xml:space="preserve">7. </w:t>
      </w:r>
      <w:r w:rsidRPr="00C80A4F">
        <w:rPr>
          <w:rFonts w:ascii="Calibri" w:hAnsi="Calibri" w:cs="Calibri"/>
          <w:noProof/>
          <w:lang w:val="de-DE"/>
        </w:rPr>
        <w:tab/>
        <w:t xml:space="preserve">Wachinger J, Schirmer M, Täuber N, McMahon SA, Denkinger CM. </w:t>
      </w:r>
      <w:r w:rsidRPr="003377EE">
        <w:rPr>
          <w:rFonts w:ascii="Calibri" w:hAnsi="Calibri" w:cs="Calibri"/>
          <w:noProof/>
          <w:lang w:val="en-US"/>
        </w:rPr>
        <w:t xml:space="preserve">Experiences with opt-in, at-home screening for SARS-CoV-2 at a primary school in Germany: an implementation study. </w:t>
      </w:r>
      <w:r w:rsidRPr="003377EE">
        <w:rPr>
          <w:rFonts w:ascii="Calibri" w:hAnsi="Calibri" w:cs="Calibri"/>
          <w:i/>
          <w:iCs/>
          <w:noProof/>
          <w:lang w:val="en-US"/>
        </w:rPr>
        <w:t>BMJ Paediatr Open</w:t>
      </w:r>
      <w:r w:rsidRPr="003377EE">
        <w:rPr>
          <w:rFonts w:ascii="Calibri" w:hAnsi="Calibri" w:cs="Calibri"/>
          <w:noProof/>
          <w:lang w:val="en-US"/>
        </w:rPr>
        <w:t>. 2021;5(1):e001262. doi:10.1136/bmjpo-2021-001262</w:t>
      </w:r>
    </w:p>
    <w:p w14:paraId="0ABB468D"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8. </w:t>
      </w:r>
      <w:r w:rsidRPr="003377EE">
        <w:rPr>
          <w:rFonts w:ascii="Calibri" w:hAnsi="Calibri" w:cs="Calibri"/>
          <w:noProof/>
          <w:lang w:val="en-US"/>
        </w:rPr>
        <w:tab/>
        <w:t xml:space="preserve">Wee LE, Conceicao EP, Sim JX-Y, Venkatachalam I, Wijaya L. Utilisation of SARS-CoV-2 rapid antigen assays in screening asymptomatic hospital visitors: mitigating the risk in low-incidence settings. </w:t>
      </w:r>
      <w:r w:rsidRPr="003377EE">
        <w:rPr>
          <w:rFonts w:ascii="Calibri" w:hAnsi="Calibri" w:cs="Calibri"/>
          <w:i/>
          <w:iCs/>
          <w:noProof/>
          <w:lang w:val="en-US"/>
        </w:rPr>
        <w:t>Int J Infect Dis</w:t>
      </w:r>
      <w:r w:rsidRPr="003377EE">
        <w:rPr>
          <w:rFonts w:ascii="Calibri" w:hAnsi="Calibri" w:cs="Calibri"/>
          <w:noProof/>
          <w:lang w:val="en-US"/>
        </w:rPr>
        <w:t>. 2021;114:132-134. doi:10.1016/j.ijid.2021.11.011</w:t>
      </w:r>
    </w:p>
    <w:p w14:paraId="4D8E33CA"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9. </w:t>
      </w:r>
      <w:r w:rsidRPr="003377EE">
        <w:rPr>
          <w:rFonts w:ascii="Calibri" w:hAnsi="Calibri" w:cs="Calibri"/>
          <w:noProof/>
          <w:lang w:val="en-US"/>
        </w:rPr>
        <w:tab/>
        <w:t xml:space="preserve">Tande AJ, Binnicker MJ, Ting HH, et al. SARS-CoV-2 Testing Before International Airline Travel, December 2020 to May 2021. </w:t>
      </w:r>
      <w:r w:rsidRPr="003377EE">
        <w:rPr>
          <w:rFonts w:ascii="Calibri" w:hAnsi="Calibri" w:cs="Calibri"/>
          <w:i/>
          <w:iCs/>
          <w:noProof/>
          <w:lang w:val="en-US"/>
        </w:rPr>
        <w:t>Mayo Clin Proc</w:t>
      </w:r>
      <w:r w:rsidRPr="003377EE">
        <w:rPr>
          <w:rFonts w:ascii="Calibri" w:hAnsi="Calibri" w:cs="Calibri"/>
          <w:noProof/>
          <w:lang w:val="en-US"/>
        </w:rPr>
        <w:t>. 2021;96(11):2856-2860. doi:10.1016/j.mayocp.2021.08.019</w:t>
      </w:r>
    </w:p>
    <w:p w14:paraId="6365986F"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10. </w:t>
      </w:r>
      <w:r w:rsidRPr="003377EE">
        <w:rPr>
          <w:rFonts w:ascii="Calibri" w:hAnsi="Calibri" w:cs="Calibri"/>
          <w:noProof/>
          <w:lang w:val="en-US"/>
        </w:rPr>
        <w:tab/>
        <w:t xml:space="preserve">Young BC, Eyre DW, Kendrick S, et al. Daily testing for contacts of individuals with SARS-CoV-2 infection and attendance and SARS-CoV-2 transmission in English secondary schools and colleges: an open-label, cluster-randomised trial. </w:t>
      </w:r>
      <w:r w:rsidRPr="003377EE">
        <w:rPr>
          <w:rFonts w:ascii="Calibri" w:hAnsi="Calibri" w:cs="Calibri"/>
          <w:i/>
          <w:iCs/>
          <w:noProof/>
          <w:lang w:val="en-US"/>
        </w:rPr>
        <w:t>Lancet</w:t>
      </w:r>
      <w:r w:rsidRPr="003377EE">
        <w:rPr>
          <w:rFonts w:ascii="Calibri" w:hAnsi="Calibri" w:cs="Calibri"/>
          <w:noProof/>
          <w:lang w:val="en-US"/>
        </w:rPr>
        <w:t>. 2021;398(10307):1217-1229. doi:10.1016/S0140-6736(21)01908-5</w:t>
      </w:r>
    </w:p>
    <w:p w14:paraId="4B95C22D"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11. </w:t>
      </w:r>
      <w:r w:rsidRPr="003377EE">
        <w:rPr>
          <w:rFonts w:ascii="Calibri" w:hAnsi="Calibri" w:cs="Calibri"/>
          <w:noProof/>
          <w:lang w:val="en-US"/>
        </w:rPr>
        <w:tab/>
        <w:t xml:space="preserve">Pollock NR, Savage TJ, Wardell H, et al. Correlation of SARS-CoV-2 nucleocapsid antigen and RNA concentrations in nasopharyngeal samples from children and adults using an ultrasensitive and quantitative antigen assay. </w:t>
      </w:r>
      <w:r w:rsidRPr="003377EE">
        <w:rPr>
          <w:rFonts w:ascii="Calibri" w:hAnsi="Calibri" w:cs="Calibri"/>
          <w:i/>
          <w:iCs/>
          <w:noProof/>
          <w:lang w:val="en-US"/>
        </w:rPr>
        <w:t>J Clin Microbiol</w:t>
      </w:r>
      <w:r w:rsidRPr="003377EE">
        <w:rPr>
          <w:rFonts w:ascii="Calibri" w:hAnsi="Calibri" w:cs="Calibri"/>
          <w:noProof/>
          <w:lang w:val="en-US"/>
        </w:rPr>
        <w:t>. 2021;59(4):1-10. doi:10.1101/2020.11.10.20227371</w:t>
      </w:r>
    </w:p>
    <w:p w14:paraId="4B4708BF"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12. </w:t>
      </w:r>
      <w:r w:rsidRPr="003377EE">
        <w:rPr>
          <w:rFonts w:ascii="Calibri" w:hAnsi="Calibri" w:cs="Calibri"/>
          <w:noProof/>
          <w:lang w:val="en-US"/>
        </w:rPr>
        <w:tab/>
        <w:t xml:space="preserve">Whiting P, Rutjes AW, Reitsma JB, Bossuyt PM, Kleijnen J. The development of QUADAS: a tool for the quality assessment of studies of diagnostic accuracy included in systematic reviews. </w:t>
      </w:r>
      <w:r w:rsidRPr="003377EE">
        <w:rPr>
          <w:rFonts w:ascii="Calibri" w:hAnsi="Calibri" w:cs="Calibri"/>
          <w:i/>
          <w:iCs/>
          <w:noProof/>
          <w:lang w:val="en-US"/>
        </w:rPr>
        <w:t>BMC Med Res Methodol</w:t>
      </w:r>
      <w:r w:rsidRPr="003377EE">
        <w:rPr>
          <w:rFonts w:ascii="Calibri" w:hAnsi="Calibri" w:cs="Calibri"/>
          <w:noProof/>
          <w:lang w:val="en-US"/>
        </w:rPr>
        <w:t>. 2003. doi:10.1088/0004-637X/721/2/1919</w:t>
      </w:r>
    </w:p>
    <w:p w14:paraId="7F275D67"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13. </w:t>
      </w:r>
      <w:r w:rsidRPr="003377EE">
        <w:rPr>
          <w:rFonts w:ascii="Calibri" w:hAnsi="Calibri" w:cs="Calibri"/>
          <w:noProof/>
          <w:lang w:val="en-US"/>
        </w:rPr>
        <w:tab/>
        <w:t xml:space="preserve">Reitsma JB, Glas AS, Rutjes AWS, Scholten RJPM, Bossuyt PM, Zwinderman AH. Bivariate analysis of sensitivity and specificity produces </w:t>
      </w:r>
      <w:r w:rsidRPr="003377EE">
        <w:rPr>
          <w:rFonts w:ascii="Calibri" w:hAnsi="Calibri" w:cs="Calibri"/>
          <w:noProof/>
          <w:lang w:val="en-US"/>
        </w:rPr>
        <w:lastRenderedPageBreak/>
        <w:t xml:space="preserve">informative summary measures in diagnostic reviews. </w:t>
      </w:r>
      <w:r w:rsidRPr="003377EE">
        <w:rPr>
          <w:rFonts w:ascii="Calibri" w:hAnsi="Calibri" w:cs="Calibri"/>
          <w:i/>
          <w:iCs/>
          <w:noProof/>
          <w:lang w:val="en-US"/>
        </w:rPr>
        <w:t>J Clin Epidemiol</w:t>
      </w:r>
      <w:r w:rsidRPr="003377EE">
        <w:rPr>
          <w:rFonts w:ascii="Calibri" w:hAnsi="Calibri" w:cs="Calibri"/>
          <w:noProof/>
          <w:lang w:val="en-US"/>
        </w:rPr>
        <w:t>. 2005;58(10):982-990. doi:10.1016/j.jclinepi.2005.02.022</w:t>
      </w:r>
    </w:p>
    <w:p w14:paraId="24372657" w14:textId="77777777" w:rsidR="00C80A4F" w:rsidRPr="003377EE"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14. </w:t>
      </w:r>
      <w:r w:rsidRPr="003377EE">
        <w:rPr>
          <w:rFonts w:ascii="Calibri" w:hAnsi="Calibri" w:cs="Calibri"/>
          <w:noProof/>
          <w:lang w:val="en-US"/>
        </w:rPr>
        <w:tab/>
        <w:t xml:space="preserve">Brooke J. SUS: A “Quick and Dirty” Usability Scale. In: </w:t>
      </w:r>
      <w:r w:rsidRPr="003377EE">
        <w:rPr>
          <w:rFonts w:ascii="Calibri" w:hAnsi="Calibri" w:cs="Calibri"/>
          <w:i/>
          <w:iCs/>
          <w:noProof/>
          <w:lang w:val="en-US"/>
        </w:rPr>
        <w:t>Usability Evaluation In Industry</w:t>
      </w:r>
      <w:r w:rsidRPr="003377EE">
        <w:rPr>
          <w:rFonts w:ascii="Calibri" w:hAnsi="Calibri" w:cs="Calibri"/>
          <w:noProof/>
          <w:lang w:val="en-US"/>
        </w:rPr>
        <w:t>. 1st ed. ; 1996:6.</w:t>
      </w:r>
    </w:p>
    <w:p w14:paraId="72C69D10" w14:textId="77777777" w:rsidR="00C80A4F" w:rsidRPr="003F734A" w:rsidRDefault="00C80A4F" w:rsidP="00C80A4F">
      <w:pPr>
        <w:widowControl w:val="0"/>
        <w:autoSpaceDE w:val="0"/>
        <w:autoSpaceDN w:val="0"/>
        <w:adjustRightInd w:val="0"/>
        <w:ind w:left="640" w:hanging="640"/>
        <w:rPr>
          <w:rFonts w:ascii="Calibri" w:hAnsi="Calibri" w:cs="Calibri"/>
          <w:noProof/>
          <w:lang w:val="en-US"/>
        </w:rPr>
      </w:pPr>
      <w:r w:rsidRPr="003377EE">
        <w:rPr>
          <w:rFonts w:ascii="Calibri" w:hAnsi="Calibri" w:cs="Calibri"/>
          <w:noProof/>
          <w:lang w:val="en-US"/>
        </w:rPr>
        <w:t xml:space="preserve">15. </w:t>
      </w:r>
      <w:r w:rsidRPr="003377EE">
        <w:rPr>
          <w:rFonts w:ascii="Calibri" w:hAnsi="Calibri" w:cs="Calibri"/>
          <w:noProof/>
          <w:lang w:val="en-US"/>
        </w:rPr>
        <w:tab/>
        <w:t xml:space="preserve">Bangor A, Kortum PT, Miller JT. An empirical evaluation of the system usability scale. </w:t>
      </w:r>
      <w:r w:rsidRPr="003F734A">
        <w:rPr>
          <w:rFonts w:ascii="Calibri" w:hAnsi="Calibri" w:cs="Calibri"/>
          <w:i/>
          <w:iCs/>
          <w:noProof/>
          <w:lang w:val="en-US"/>
        </w:rPr>
        <w:t>Int J Hum Comput Interact</w:t>
      </w:r>
      <w:r w:rsidRPr="003F734A">
        <w:rPr>
          <w:rFonts w:ascii="Calibri" w:hAnsi="Calibri" w:cs="Calibri"/>
          <w:noProof/>
          <w:lang w:val="en-US"/>
        </w:rPr>
        <w:t>. 2008;24(6):574-594. doi:10.1080/10447310802205776</w:t>
      </w:r>
    </w:p>
    <w:p w14:paraId="65456442" w14:textId="5D5865FC" w:rsidR="00DE4D9A" w:rsidRDefault="008620E4" w:rsidP="00C80A4F">
      <w:pPr>
        <w:widowControl w:val="0"/>
        <w:autoSpaceDE w:val="0"/>
        <w:autoSpaceDN w:val="0"/>
        <w:adjustRightInd w:val="0"/>
        <w:ind w:left="640" w:hanging="640"/>
        <w:rPr>
          <w:color w:val="FFFFFF" w:themeColor="background1"/>
          <w:lang w:val="en-US"/>
        </w:rPr>
      </w:pPr>
      <w:r>
        <w:rPr>
          <w:color w:val="FFFFFF" w:themeColor="background1"/>
          <w:lang w:val="en-US"/>
        </w:rPr>
        <w:fldChar w:fldCharType="end"/>
      </w:r>
    </w:p>
    <w:p w14:paraId="234D6C0F" w14:textId="77777777" w:rsidR="00DE4D9A" w:rsidRDefault="00DE4D9A">
      <w:pPr>
        <w:rPr>
          <w:color w:val="FFFFFF" w:themeColor="background1"/>
          <w:lang w:val="en-US"/>
        </w:rPr>
      </w:pPr>
      <w:r>
        <w:rPr>
          <w:color w:val="FFFFFF" w:themeColor="background1"/>
          <w:lang w:val="en-US"/>
        </w:rPr>
        <w:br w:type="page"/>
      </w:r>
    </w:p>
    <w:p w14:paraId="338A57D5" w14:textId="1712683F" w:rsidR="00321637" w:rsidRDefault="00DE4D9A" w:rsidP="00DE4D9A">
      <w:pPr>
        <w:pStyle w:val="Heading1"/>
        <w:rPr>
          <w:lang w:val="en-US"/>
        </w:rPr>
      </w:pPr>
      <w:bookmarkStart w:id="3" w:name="_Toc152845899"/>
      <w:r>
        <w:rPr>
          <w:lang w:val="en-US"/>
        </w:rPr>
        <w:lastRenderedPageBreak/>
        <w:t>Supplement Text 2</w:t>
      </w:r>
      <w:r w:rsidR="002D2C15">
        <w:rPr>
          <w:lang w:val="en-US"/>
        </w:rPr>
        <w:t xml:space="preserve"> – Search Strategy</w:t>
      </w:r>
      <w:bookmarkEnd w:id="3"/>
    </w:p>
    <w:p w14:paraId="4B10CCD1" w14:textId="77777777" w:rsidR="002D2C15" w:rsidRPr="002D2C15" w:rsidRDefault="002D2C15" w:rsidP="002D2C15">
      <w:pPr>
        <w:rPr>
          <w:lang w:val="en-US"/>
        </w:rPr>
      </w:pPr>
    </w:p>
    <w:p w14:paraId="048B9653" w14:textId="77777777" w:rsidR="002D2C15" w:rsidRPr="006D6457" w:rsidRDefault="002D2C15" w:rsidP="002D2C15">
      <w:pPr>
        <w:pStyle w:val="Heading2"/>
        <w:rPr>
          <w:rFonts w:cs="Arial"/>
          <w:sz w:val="28"/>
          <w:szCs w:val="28"/>
          <w:lang w:val="en-US"/>
        </w:rPr>
      </w:pPr>
      <w:bookmarkStart w:id="4" w:name="_Toc152845900"/>
      <w:r w:rsidRPr="006D6457">
        <w:rPr>
          <w:rFonts w:cs="Arial"/>
          <w:sz w:val="28"/>
          <w:szCs w:val="28"/>
          <w:lang w:val="en-US"/>
        </w:rPr>
        <w:t>Review questions</w:t>
      </w:r>
      <w:bookmarkEnd w:id="4"/>
    </w:p>
    <w:p w14:paraId="7A1296FC" w14:textId="77777777" w:rsidR="002D2C15" w:rsidRPr="006D6457" w:rsidRDefault="002D2C15" w:rsidP="002D2C15">
      <w:pPr>
        <w:rPr>
          <w:rFonts w:cs="Arial"/>
          <w:color w:val="000000"/>
          <w:sz w:val="21"/>
          <w:szCs w:val="21"/>
          <w:lang w:val="en-US"/>
        </w:rPr>
      </w:pPr>
      <w:r w:rsidRPr="006D6457">
        <w:rPr>
          <w:rFonts w:cs="Arial"/>
          <w:color w:val="000000"/>
          <w:sz w:val="21"/>
          <w:szCs w:val="21"/>
          <w:lang w:val="en-US"/>
        </w:rPr>
        <w:t>To assess the accuracy and ease-of-use of marketable antigen point of care diagnostics for SARS-CoV-2 compared to RT-PCR based on manufacturer independent evaluations.</w:t>
      </w:r>
    </w:p>
    <w:p w14:paraId="36374186" w14:textId="77777777" w:rsidR="002D2C15" w:rsidRPr="006D6457" w:rsidRDefault="002D2C15" w:rsidP="002D2C15">
      <w:pPr>
        <w:rPr>
          <w:rFonts w:cs="Arial"/>
          <w:color w:val="000000"/>
          <w:sz w:val="21"/>
          <w:szCs w:val="21"/>
          <w:lang w:val="en-US"/>
        </w:rPr>
      </w:pPr>
    </w:p>
    <w:p w14:paraId="00D994D0" w14:textId="77777777" w:rsidR="002D2C15" w:rsidRPr="006D6457" w:rsidRDefault="002D2C15" w:rsidP="002D2C15">
      <w:pPr>
        <w:rPr>
          <w:sz w:val="28"/>
          <w:szCs w:val="28"/>
          <w:lang w:val="de-DE" w:eastAsia="de-DE"/>
        </w:rPr>
      </w:pPr>
      <w:proofErr w:type="spellStart"/>
      <w:r w:rsidRPr="006D6457">
        <w:rPr>
          <w:rFonts w:cs="Arial"/>
          <w:color w:val="000000"/>
          <w:sz w:val="21"/>
          <w:szCs w:val="21"/>
          <w:lang w:val="de-DE"/>
        </w:rPr>
        <w:t>Restriction</w:t>
      </w:r>
      <w:proofErr w:type="spellEnd"/>
      <w:r w:rsidRPr="006D6457">
        <w:rPr>
          <w:rFonts w:cs="Arial"/>
          <w:color w:val="000000"/>
          <w:sz w:val="21"/>
          <w:szCs w:val="21"/>
          <w:lang w:val="de-DE"/>
        </w:rPr>
        <w:t xml:space="preserve">: </w:t>
      </w:r>
      <w:proofErr w:type="spellStart"/>
      <w:r w:rsidRPr="006D6457">
        <w:rPr>
          <w:rFonts w:cs="Arial"/>
          <w:color w:val="000000"/>
          <w:sz w:val="21"/>
          <w:szCs w:val="21"/>
          <w:lang w:val="de-DE"/>
        </w:rPr>
        <w:t>start</w:t>
      </w:r>
      <w:proofErr w:type="spellEnd"/>
      <w:r w:rsidRPr="006D6457">
        <w:rPr>
          <w:rFonts w:cs="Arial"/>
          <w:color w:val="000000"/>
          <w:sz w:val="21"/>
          <w:szCs w:val="21"/>
          <w:lang w:val="de-DE"/>
        </w:rPr>
        <w:t xml:space="preserve"> Dezember 2019</w:t>
      </w:r>
    </w:p>
    <w:p w14:paraId="362EAEF4" w14:textId="77777777" w:rsidR="002D2C15" w:rsidRPr="006D6457" w:rsidRDefault="002D2C15" w:rsidP="002D2C15">
      <w:pPr>
        <w:pStyle w:val="Heading2"/>
        <w:rPr>
          <w:sz w:val="28"/>
          <w:szCs w:val="28"/>
        </w:rPr>
      </w:pPr>
      <w:bookmarkStart w:id="5" w:name="_Toc152845901"/>
      <w:proofErr w:type="spellStart"/>
      <w:r w:rsidRPr="006D6457">
        <w:rPr>
          <w:sz w:val="28"/>
          <w:szCs w:val="28"/>
        </w:rPr>
        <w:t>Definitions</w:t>
      </w:r>
      <w:bookmarkEnd w:id="5"/>
      <w:proofErr w:type="spellEnd"/>
    </w:p>
    <w:p w14:paraId="37FA93BE" w14:textId="77777777" w:rsidR="002D2C15" w:rsidRPr="006D6457" w:rsidRDefault="002D2C15" w:rsidP="002D2C15">
      <w:pPr>
        <w:rPr>
          <w:sz w:val="28"/>
          <w:szCs w:val="28"/>
          <w:lang w:val="de-DE" w:eastAsia="de-DE"/>
        </w:rPr>
      </w:pPr>
      <w:r w:rsidRPr="006D6457">
        <w:rPr>
          <w:sz w:val="28"/>
          <w:szCs w:val="28"/>
        </w:rPr>
        <w:t>P</w:t>
      </w:r>
    </w:p>
    <w:tbl>
      <w:tblPr>
        <w:tblStyle w:val="TableGrid"/>
        <w:tblW w:w="0" w:type="auto"/>
        <w:tblLook w:val="01E0" w:firstRow="1" w:lastRow="1" w:firstColumn="1" w:lastColumn="1" w:noHBand="0" w:noVBand="0"/>
      </w:tblPr>
      <w:tblGrid>
        <w:gridCol w:w="6469"/>
      </w:tblGrid>
      <w:tr w:rsidR="002D2C15" w:rsidRPr="006D6457" w14:paraId="3BD1D740" w14:textId="77777777" w:rsidTr="00B51D6D">
        <w:tc>
          <w:tcPr>
            <w:tcW w:w="6469" w:type="dxa"/>
          </w:tcPr>
          <w:p w14:paraId="2302C1CF" w14:textId="77777777" w:rsidR="002D2C15" w:rsidRPr="006D6457" w:rsidRDefault="002D2C15" w:rsidP="00B51D6D">
            <w:pPr>
              <w:rPr>
                <w:rFonts w:cs="Arial"/>
                <w:color w:val="000000"/>
                <w:sz w:val="21"/>
                <w:szCs w:val="21"/>
              </w:rPr>
            </w:pPr>
            <w:r w:rsidRPr="006D6457">
              <w:rPr>
                <w:rFonts w:cs="Arial"/>
                <w:color w:val="000000"/>
                <w:sz w:val="21"/>
                <w:szCs w:val="21"/>
              </w:rPr>
              <w:t xml:space="preserve">SARS-CoV-2 </w:t>
            </w:r>
          </w:p>
        </w:tc>
      </w:tr>
    </w:tbl>
    <w:p w14:paraId="7C3B7CCD" w14:textId="77777777" w:rsidR="002D2C15" w:rsidRPr="006D6457" w:rsidRDefault="002D2C15" w:rsidP="002D2C15">
      <w:pPr>
        <w:rPr>
          <w:sz w:val="28"/>
          <w:szCs w:val="28"/>
        </w:rPr>
      </w:pPr>
      <w:r w:rsidRPr="006D6457">
        <w:rPr>
          <w:sz w:val="28"/>
          <w:szCs w:val="28"/>
        </w:rPr>
        <w:t>I</w:t>
      </w:r>
    </w:p>
    <w:tbl>
      <w:tblPr>
        <w:tblStyle w:val="TableGrid"/>
        <w:tblW w:w="0" w:type="auto"/>
        <w:tblLook w:val="01E0" w:firstRow="1" w:lastRow="1" w:firstColumn="1" w:lastColumn="1" w:noHBand="0" w:noVBand="0"/>
      </w:tblPr>
      <w:tblGrid>
        <w:gridCol w:w="6475"/>
      </w:tblGrid>
      <w:tr w:rsidR="002D2C15" w:rsidRPr="006D6457" w14:paraId="6F0F2462" w14:textId="77777777" w:rsidTr="00B51D6D">
        <w:tc>
          <w:tcPr>
            <w:tcW w:w="6475" w:type="dxa"/>
          </w:tcPr>
          <w:p w14:paraId="112FBA6A" w14:textId="77777777" w:rsidR="002D2C15" w:rsidRPr="006D6457" w:rsidRDefault="002D2C15" w:rsidP="00B51D6D">
            <w:pPr>
              <w:rPr>
                <w:rFonts w:cs="Arial"/>
                <w:sz w:val="21"/>
                <w:szCs w:val="21"/>
              </w:rPr>
            </w:pPr>
            <w:r w:rsidRPr="006D6457">
              <w:rPr>
                <w:rFonts w:cs="Arial"/>
                <w:color w:val="000000"/>
                <w:sz w:val="21"/>
                <w:szCs w:val="21"/>
              </w:rPr>
              <w:t>Antigen nachweisenden Schnelltests Ag RDT</w:t>
            </w:r>
          </w:p>
        </w:tc>
      </w:tr>
    </w:tbl>
    <w:p w14:paraId="32F3C66D" w14:textId="77777777" w:rsidR="002D2C15" w:rsidRPr="006D6457" w:rsidRDefault="002D2C15" w:rsidP="002D2C15">
      <w:pPr>
        <w:pStyle w:val="Heading2"/>
        <w:rPr>
          <w:rFonts w:cs="Arial"/>
          <w:sz w:val="28"/>
          <w:szCs w:val="28"/>
        </w:rPr>
      </w:pPr>
      <w:bookmarkStart w:id="6" w:name="_Toc152845902"/>
      <w:r w:rsidRPr="006D6457">
        <w:rPr>
          <w:rFonts w:cs="Arial"/>
          <w:sz w:val="28"/>
          <w:szCs w:val="28"/>
        </w:rPr>
        <w:t>Strategie</w:t>
      </w:r>
      <w:bookmarkEnd w:id="6"/>
    </w:p>
    <w:tbl>
      <w:tblPr>
        <w:tblStyle w:val="TableGrid"/>
        <w:tblW w:w="0" w:type="auto"/>
        <w:tblInd w:w="-34" w:type="dxa"/>
        <w:tblLook w:val="04A0" w:firstRow="1" w:lastRow="0" w:firstColumn="1" w:lastColumn="0" w:noHBand="0" w:noVBand="1"/>
      </w:tblPr>
      <w:tblGrid>
        <w:gridCol w:w="568"/>
        <w:gridCol w:w="2968"/>
      </w:tblGrid>
      <w:tr w:rsidR="002D2C15" w:rsidRPr="006D6457" w14:paraId="20AEC981" w14:textId="77777777" w:rsidTr="00B51D6D">
        <w:tc>
          <w:tcPr>
            <w:tcW w:w="568" w:type="dxa"/>
            <w:tcBorders>
              <w:top w:val="single" w:sz="4" w:space="0" w:color="auto"/>
              <w:left w:val="single" w:sz="4" w:space="0" w:color="auto"/>
              <w:bottom w:val="single" w:sz="4" w:space="0" w:color="auto"/>
              <w:right w:val="single" w:sz="4" w:space="0" w:color="auto"/>
            </w:tcBorders>
            <w:hideMark/>
          </w:tcPr>
          <w:p w14:paraId="4D102321" w14:textId="77777777" w:rsidR="002D2C15" w:rsidRPr="006D6457" w:rsidRDefault="002D2C15" w:rsidP="00B51D6D">
            <w:pPr>
              <w:rPr>
                <w:rFonts w:cs="Arial"/>
                <w:sz w:val="21"/>
                <w:szCs w:val="21"/>
              </w:rPr>
            </w:pPr>
            <w:r w:rsidRPr="006D6457">
              <w:rPr>
                <w:rFonts w:cs="Arial"/>
                <w:sz w:val="21"/>
                <w:szCs w:val="21"/>
              </w:rPr>
              <w:t>1</w:t>
            </w:r>
          </w:p>
        </w:tc>
        <w:tc>
          <w:tcPr>
            <w:tcW w:w="2968" w:type="dxa"/>
            <w:tcBorders>
              <w:top w:val="single" w:sz="4" w:space="0" w:color="auto"/>
              <w:left w:val="single" w:sz="4" w:space="0" w:color="auto"/>
              <w:bottom w:val="single" w:sz="4" w:space="0" w:color="auto"/>
              <w:right w:val="single" w:sz="4" w:space="0" w:color="auto"/>
            </w:tcBorders>
          </w:tcPr>
          <w:p w14:paraId="7F209987" w14:textId="77777777" w:rsidR="002D2C15" w:rsidRPr="006D6457" w:rsidRDefault="002D2C15" w:rsidP="00B51D6D">
            <w:pPr>
              <w:rPr>
                <w:rFonts w:cs="Arial"/>
                <w:sz w:val="21"/>
                <w:szCs w:val="21"/>
              </w:rPr>
            </w:pPr>
            <w:r w:rsidRPr="006D6457">
              <w:rPr>
                <w:rFonts w:cs="Arial"/>
                <w:sz w:val="21"/>
                <w:szCs w:val="21"/>
              </w:rPr>
              <w:t>P</w:t>
            </w:r>
          </w:p>
        </w:tc>
      </w:tr>
      <w:tr w:rsidR="002D2C15" w:rsidRPr="006D6457" w14:paraId="69A7BC78" w14:textId="77777777" w:rsidTr="00B51D6D">
        <w:tc>
          <w:tcPr>
            <w:tcW w:w="568" w:type="dxa"/>
            <w:tcBorders>
              <w:top w:val="single" w:sz="4" w:space="0" w:color="auto"/>
              <w:left w:val="single" w:sz="4" w:space="0" w:color="auto"/>
              <w:bottom w:val="single" w:sz="4" w:space="0" w:color="auto"/>
              <w:right w:val="single" w:sz="4" w:space="0" w:color="auto"/>
            </w:tcBorders>
            <w:hideMark/>
          </w:tcPr>
          <w:p w14:paraId="6C751E45" w14:textId="77777777" w:rsidR="002D2C15" w:rsidRPr="006D6457" w:rsidRDefault="002D2C15" w:rsidP="00B51D6D">
            <w:pPr>
              <w:rPr>
                <w:rFonts w:cs="Arial"/>
                <w:sz w:val="21"/>
                <w:szCs w:val="21"/>
              </w:rPr>
            </w:pPr>
            <w:r w:rsidRPr="006D6457">
              <w:rPr>
                <w:rFonts w:cs="Arial"/>
                <w:sz w:val="21"/>
                <w:szCs w:val="21"/>
              </w:rPr>
              <w:t>2</w:t>
            </w:r>
          </w:p>
        </w:tc>
        <w:tc>
          <w:tcPr>
            <w:tcW w:w="2968" w:type="dxa"/>
            <w:tcBorders>
              <w:top w:val="single" w:sz="4" w:space="0" w:color="auto"/>
              <w:left w:val="single" w:sz="4" w:space="0" w:color="auto"/>
              <w:bottom w:val="single" w:sz="4" w:space="0" w:color="auto"/>
              <w:right w:val="single" w:sz="4" w:space="0" w:color="auto"/>
            </w:tcBorders>
          </w:tcPr>
          <w:p w14:paraId="6417370C" w14:textId="77777777" w:rsidR="002D2C15" w:rsidRPr="006D6457" w:rsidRDefault="002D2C15" w:rsidP="00B51D6D">
            <w:pPr>
              <w:rPr>
                <w:rFonts w:cs="Arial"/>
                <w:sz w:val="21"/>
                <w:szCs w:val="21"/>
              </w:rPr>
            </w:pPr>
            <w:r w:rsidRPr="006D6457">
              <w:rPr>
                <w:rFonts w:cs="Arial"/>
                <w:sz w:val="21"/>
                <w:szCs w:val="21"/>
              </w:rPr>
              <w:t>I</w:t>
            </w:r>
          </w:p>
        </w:tc>
      </w:tr>
      <w:tr w:rsidR="002D2C15" w:rsidRPr="006D6457" w14:paraId="4DEE4367" w14:textId="77777777" w:rsidTr="00B51D6D">
        <w:tc>
          <w:tcPr>
            <w:tcW w:w="568" w:type="dxa"/>
            <w:tcBorders>
              <w:top w:val="single" w:sz="4" w:space="0" w:color="auto"/>
              <w:left w:val="single" w:sz="4" w:space="0" w:color="auto"/>
              <w:bottom w:val="single" w:sz="4" w:space="0" w:color="auto"/>
              <w:right w:val="single" w:sz="4" w:space="0" w:color="auto"/>
            </w:tcBorders>
            <w:hideMark/>
          </w:tcPr>
          <w:p w14:paraId="62F6441F" w14:textId="77777777" w:rsidR="002D2C15" w:rsidRPr="006D6457" w:rsidRDefault="002D2C15" w:rsidP="00B51D6D">
            <w:pPr>
              <w:rPr>
                <w:rFonts w:cs="Arial"/>
                <w:sz w:val="21"/>
                <w:szCs w:val="21"/>
              </w:rPr>
            </w:pPr>
            <w:r w:rsidRPr="006D6457">
              <w:rPr>
                <w:rFonts w:cs="Arial"/>
                <w:sz w:val="21"/>
                <w:szCs w:val="21"/>
              </w:rPr>
              <w:t>3</w:t>
            </w:r>
          </w:p>
        </w:tc>
        <w:tc>
          <w:tcPr>
            <w:tcW w:w="2968" w:type="dxa"/>
            <w:tcBorders>
              <w:top w:val="single" w:sz="4" w:space="0" w:color="auto"/>
              <w:left w:val="single" w:sz="4" w:space="0" w:color="auto"/>
              <w:bottom w:val="single" w:sz="4" w:space="0" w:color="auto"/>
              <w:right w:val="single" w:sz="4" w:space="0" w:color="auto"/>
            </w:tcBorders>
          </w:tcPr>
          <w:p w14:paraId="1CA0551F" w14:textId="77777777" w:rsidR="002D2C15" w:rsidRPr="006D6457" w:rsidRDefault="002D2C15" w:rsidP="00B51D6D">
            <w:pPr>
              <w:rPr>
                <w:rFonts w:cs="Arial"/>
                <w:sz w:val="21"/>
                <w:szCs w:val="21"/>
              </w:rPr>
            </w:pPr>
            <w:r w:rsidRPr="006D6457">
              <w:rPr>
                <w:rFonts w:cs="Arial"/>
                <w:sz w:val="21"/>
                <w:szCs w:val="21"/>
              </w:rPr>
              <w:t>1 AND 2</w:t>
            </w:r>
          </w:p>
        </w:tc>
      </w:tr>
    </w:tbl>
    <w:p w14:paraId="489CA8A6" w14:textId="77777777" w:rsidR="002D2C15" w:rsidRPr="006D6457" w:rsidRDefault="002D2C15" w:rsidP="002D2C15">
      <w:pPr>
        <w:rPr>
          <w:rFonts w:cs="Arial"/>
          <w:sz w:val="21"/>
          <w:szCs w:val="21"/>
          <w:lang w:val="de-DE" w:eastAsia="de-DE"/>
        </w:rPr>
      </w:pPr>
    </w:p>
    <w:p w14:paraId="3CFEC72A" w14:textId="77777777" w:rsidR="002D2C15" w:rsidRPr="006D6457" w:rsidRDefault="002D2C15" w:rsidP="002D2C15">
      <w:pPr>
        <w:pStyle w:val="Heading2"/>
        <w:rPr>
          <w:rFonts w:cs="Arial"/>
          <w:sz w:val="28"/>
          <w:szCs w:val="28"/>
        </w:rPr>
      </w:pPr>
      <w:bookmarkStart w:id="7" w:name="_Toc152845903"/>
      <w:proofErr w:type="spellStart"/>
      <w:r w:rsidRPr="006D6457">
        <w:rPr>
          <w:rFonts w:cs="Arial"/>
          <w:sz w:val="28"/>
          <w:szCs w:val="28"/>
        </w:rPr>
        <w:t>Searched</w:t>
      </w:r>
      <w:proofErr w:type="spellEnd"/>
      <w:r w:rsidRPr="006D6457">
        <w:rPr>
          <w:rFonts w:cs="Arial"/>
          <w:sz w:val="28"/>
          <w:szCs w:val="28"/>
        </w:rPr>
        <w:t xml:space="preserve"> Databases</w:t>
      </w:r>
      <w:bookmarkEnd w:id="7"/>
    </w:p>
    <w:p w14:paraId="152B6E74" w14:textId="77777777" w:rsidR="002D2C15" w:rsidRPr="006D6457" w:rsidRDefault="002D2C15" w:rsidP="002D2C15">
      <w:pPr>
        <w:pStyle w:val="ListParagraph"/>
        <w:numPr>
          <w:ilvl w:val="0"/>
          <w:numId w:val="7"/>
        </w:numPr>
        <w:spacing w:after="0" w:line="240" w:lineRule="auto"/>
        <w:rPr>
          <w:rFonts w:cs="Arial"/>
          <w:sz w:val="21"/>
          <w:szCs w:val="21"/>
          <w:lang w:val="de-DE"/>
        </w:rPr>
      </w:pPr>
      <w:proofErr w:type="spellStart"/>
      <w:r w:rsidRPr="006D6457">
        <w:rPr>
          <w:rFonts w:cs="Arial"/>
          <w:sz w:val="21"/>
          <w:szCs w:val="21"/>
          <w:lang w:val="de-DE"/>
        </w:rPr>
        <w:t>PubMed</w:t>
      </w:r>
      <w:proofErr w:type="spellEnd"/>
    </w:p>
    <w:p w14:paraId="3E390399" w14:textId="77777777" w:rsidR="002D2C15" w:rsidRPr="006D6457" w:rsidRDefault="002D2C15" w:rsidP="002D2C15">
      <w:pPr>
        <w:pStyle w:val="ListParagraph"/>
        <w:numPr>
          <w:ilvl w:val="0"/>
          <w:numId w:val="7"/>
        </w:numPr>
        <w:spacing w:after="0" w:line="240" w:lineRule="auto"/>
        <w:rPr>
          <w:rFonts w:cs="Arial"/>
          <w:sz w:val="21"/>
          <w:szCs w:val="21"/>
        </w:rPr>
      </w:pPr>
      <w:r w:rsidRPr="006D6457">
        <w:rPr>
          <w:rFonts w:cs="Arial"/>
          <w:sz w:val="21"/>
          <w:szCs w:val="21"/>
        </w:rPr>
        <w:t>Web of Science Core Collection</w:t>
      </w:r>
    </w:p>
    <w:p w14:paraId="2C4BEBE9" w14:textId="77777777" w:rsidR="002D2C15" w:rsidRPr="006D6457" w:rsidRDefault="002D2C15" w:rsidP="002D2C15">
      <w:pPr>
        <w:pStyle w:val="ListParagraph"/>
        <w:numPr>
          <w:ilvl w:val="0"/>
          <w:numId w:val="7"/>
        </w:numPr>
        <w:spacing w:after="0" w:line="240" w:lineRule="auto"/>
        <w:rPr>
          <w:rFonts w:cs="Arial"/>
          <w:sz w:val="21"/>
          <w:szCs w:val="21"/>
          <w:lang w:val="de-DE"/>
        </w:rPr>
      </w:pPr>
      <w:r w:rsidRPr="006D6457">
        <w:rPr>
          <w:rFonts w:cs="Arial"/>
          <w:sz w:val="21"/>
          <w:szCs w:val="21"/>
          <w:lang w:val="de-DE"/>
        </w:rPr>
        <w:t>BioRxiv</w:t>
      </w:r>
    </w:p>
    <w:p w14:paraId="77A60FA0" w14:textId="77777777" w:rsidR="002D2C15" w:rsidRPr="006D6457" w:rsidRDefault="002D2C15" w:rsidP="002D2C15">
      <w:pPr>
        <w:pStyle w:val="ListParagraph"/>
        <w:numPr>
          <w:ilvl w:val="0"/>
          <w:numId w:val="7"/>
        </w:numPr>
        <w:spacing w:after="0" w:line="240" w:lineRule="auto"/>
        <w:rPr>
          <w:rFonts w:cs="Arial"/>
          <w:sz w:val="21"/>
          <w:szCs w:val="21"/>
          <w:lang w:val="de-DE"/>
        </w:rPr>
      </w:pPr>
      <w:r w:rsidRPr="006D6457">
        <w:rPr>
          <w:rFonts w:cs="Arial"/>
          <w:sz w:val="21"/>
          <w:szCs w:val="21"/>
          <w:lang w:val="de-DE"/>
        </w:rPr>
        <w:t>MedRxiv</w:t>
      </w:r>
    </w:p>
    <w:p w14:paraId="38B25FFE" w14:textId="77777777" w:rsidR="002D2C15" w:rsidRPr="006D6457" w:rsidRDefault="002D2C15" w:rsidP="002D2C15">
      <w:pPr>
        <w:rPr>
          <w:rFonts w:cs="Arial"/>
          <w:sz w:val="21"/>
          <w:szCs w:val="21"/>
          <w:lang w:val="de-DE"/>
        </w:rPr>
      </w:pPr>
    </w:p>
    <w:p w14:paraId="2E195849" w14:textId="77777777" w:rsidR="002D2C15" w:rsidRPr="006D6457" w:rsidRDefault="002D2C15" w:rsidP="002D2C15">
      <w:pPr>
        <w:pStyle w:val="Heading2"/>
        <w:rPr>
          <w:sz w:val="28"/>
          <w:szCs w:val="28"/>
        </w:rPr>
      </w:pPr>
      <w:bookmarkStart w:id="8" w:name="_Toc152845904"/>
      <w:proofErr w:type="spellStart"/>
      <w:r w:rsidRPr="006D6457">
        <w:rPr>
          <w:sz w:val="28"/>
          <w:szCs w:val="28"/>
        </w:rPr>
        <w:t>PubMed</w:t>
      </w:r>
      <w:bookmarkEnd w:id="8"/>
      <w:proofErr w:type="spellEnd"/>
    </w:p>
    <w:p w14:paraId="1D5CA729" w14:textId="77777777" w:rsidR="002D2C15" w:rsidRPr="006D6457" w:rsidRDefault="002D2C15" w:rsidP="002D2C15">
      <w:pPr>
        <w:rPr>
          <w:sz w:val="28"/>
          <w:szCs w:val="28"/>
        </w:rPr>
      </w:pPr>
      <w:r w:rsidRPr="006D6457">
        <w:rPr>
          <w:sz w:val="28"/>
          <w:szCs w:val="28"/>
        </w:rPr>
        <w:t>P</w:t>
      </w:r>
    </w:p>
    <w:tbl>
      <w:tblPr>
        <w:tblStyle w:val="TableGrid"/>
        <w:tblW w:w="0" w:type="auto"/>
        <w:tblLook w:val="01E0" w:firstRow="1" w:lastRow="1" w:firstColumn="1" w:lastColumn="1" w:noHBand="0" w:noVBand="0"/>
      </w:tblPr>
      <w:tblGrid>
        <w:gridCol w:w="5524"/>
      </w:tblGrid>
      <w:tr w:rsidR="002D2C15" w:rsidRPr="00213A05" w14:paraId="7374E7A3" w14:textId="77777777" w:rsidTr="00B51D6D">
        <w:tc>
          <w:tcPr>
            <w:tcW w:w="5524" w:type="dxa"/>
            <w:tcBorders>
              <w:top w:val="single" w:sz="4" w:space="0" w:color="auto"/>
              <w:left w:val="single" w:sz="4" w:space="0" w:color="auto"/>
              <w:bottom w:val="single" w:sz="4" w:space="0" w:color="auto"/>
              <w:right w:val="single" w:sz="4" w:space="0" w:color="auto"/>
            </w:tcBorders>
            <w:hideMark/>
          </w:tcPr>
          <w:p w14:paraId="0685A40B" w14:textId="262E06DD" w:rsidR="002D2C15" w:rsidRPr="006D6457" w:rsidRDefault="002D2C15" w:rsidP="00B51D6D">
            <w:pPr>
              <w:rPr>
                <w:rFonts w:cs="Arial"/>
                <w:b/>
                <w:sz w:val="21"/>
                <w:szCs w:val="21"/>
                <w:lang w:val="en-US"/>
              </w:rPr>
            </w:pPr>
            <w:r w:rsidRPr="006D6457">
              <w:rPr>
                <w:rFonts w:cs="Arial"/>
                <w:sz w:val="21"/>
                <w:szCs w:val="21"/>
                <w:lang w:val="en-US"/>
              </w:rPr>
              <w:t>(</w:t>
            </w:r>
            <w:r w:rsidRPr="006D6457">
              <w:rPr>
                <w:rFonts w:cs="Arial"/>
                <w:b/>
                <w:sz w:val="21"/>
                <w:szCs w:val="21"/>
                <w:lang w:val="en-US"/>
              </w:rPr>
              <w:t>"Severe Acute Respiratory Syndrome Coronavirus 2"[</w:t>
            </w:r>
            <w:r w:rsidR="00DA296E">
              <w:rPr>
                <w:rFonts w:cs="Arial"/>
                <w:b/>
                <w:sz w:val="21"/>
                <w:szCs w:val="21"/>
                <w:lang w:val="en-US"/>
              </w:rPr>
              <w:t>Mesh</w:t>
            </w:r>
            <w:r w:rsidRPr="006D6457">
              <w:rPr>
                <w:rFonts w:cs="Arial"/>
                <w:b/>
                <w:sz w:val="21"/>
                <w:szCs w:val="21"/>
                <w:lang w:val="en-US"/>
              </w:rPr>
              <w:t xml:space="preserve">] OR </w:t>
            </w:r>
          </w:p>
          <w:p w14:paraId="4FF2ECCC" w14:textId="3D43C33F" w:rsidR="002D2C15" w:rsidRPr="006D6457" w:rsidRDefault="002D2C15" w:rsidP="00B51D6D">
            <w:pPr>
              <w:rPr>
                <w:rFonts w:cs="Arial"/>
                <w:b/>
                <w:sz w:val="21"/>
                <w:szCs w:val="21"/>
                <w:lang w:val="en-US"/>
              </w:rPr>
            </w:pPr>
            <w:r w:rsidRPr="006D6457">
              <w:rPr>
                <w:rFonts w:cs="Arial"/>
                <w:b/>
                <w:sz w:val="21"/>
                <w:szCs w:val="21"/>
                <w:lang w:val="en-US"/>
              </w:rPr>
              <w:t>"COVID-19" [</w:t>
            </w:r>
            <w:r w:rsidR="00DA296E">
              <w:rPr>
                <w:rFonts w:cs="Arial"/>
                <w:b/>
                <w:sz w:val="21"/>
                <w:szCs w:val="21"/>
                <w:lang w:val="en-US"/>
              </w:rPr>
              <w:t>Mesh</w:t>
            </w:r>
            <w:r w:rsidRPr="006D6457">
              <w:rPr>
                <w:rFonts w:cs="Arial"/>
                <w:b/>
                <w:sz w:val="21"/>
                <w:szCs w:val="21"/>
                <w:lang w:val="en-US"/>
              </w:rPr>
              <w:t xml:space="preserve">] OR </w:t>
            </w:r>
          </w:p>
          <w:p w14:paraId="35732DCB" w14:textId="77777777" w:rsidR="002D2C15" w:rsidRPr="006D6457" w:rsidRDefault="002D2C15" w:rsidP="00B51D6D">
            <w:pPr>
              <w:rPr>
                <w:rFonts w:cs="Arial"/>
                <w:b/>
                <w:sz w:val="21"/>
                <w:szCs w:val="21"/>
                <w:lang w:val="en-US"/>
              </w:rPr>
            </w:pPr>
            <w:r w:rsidRPr="006D6457">
              <w:rPr>
                <w:rFonts w:cs="Arial"/>
                <w:b/>
                <w:sz w:val="21"/>
                <w:szCs w:val="21"/>
                <w:lang w:val="en-US"/>
              </w:rPr>
              <w:t xml:space="preserve">"Betacoronavirus"[Mesh] OR </w:t>
            </w:r>
          </w:p>
          <w:p w14:paraId="1EB09CDD" w14:textId="77777777" w:rsidR="002D2C15" w:rsidRPr="006D6457" w:rsidRDefault="002D2C15" w:rsidP="00B51D6D">
            <w:pPr>
              <w:rPr>
                <w:rFonts w:cs="Arial"/>
                <w:b/>
                <w:sz w:val="21"/>
                <w:szCs w:val="21"/>
                <w:lang w:val="en-US"/>
              </w:rPr>
            </w:pPr>
            <w:r w:rsidRPr="006D6457">
              <w:rPr>
                <w:rFonts w:cs="Arial"/>
                <w:b/>
                <w:sz w:val="21"/>
                <w:szCs w:val="21"/>
                <w:lang w:val="en-US"/>
              </w:rPr>
              <w:t xml:space="preserve">"Coronavirus"[Mesh] OR </w:t>
            </w:r>
          </w:p>
          <w:p w14:paraId="787E9523" w14:textId="77777777" w:rsidR="002D2C15" w:rsidRPr="006D6457" w:rsidRDefault="002D2C15" w:rsidP="00B51D6D">
            <w:pPr>
              <w:rPr>
                <w:rFonts w:cs="Arial"/>
                <w:sz w:val="21"/>
                <w:szCs w:val="21"/>
                <w:lang w:val="en-US"/>
              </w:rPr>
            </w:pPr>
            <w:r w:rsidRPr="006D6457">
              <w:rPr>
                <w:rFonts w:cs="Arial"/>
                <w:sz w:val="21"/>
                <w:szCs w:val="21"/>
                <w:lang w:val="en-US"/>
              </w:rPr>
              <w:t>covid*[</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2B2C4B2A" w14:textId="77777777" w:rsidR="002D2C15" w:rsidRPr="006D6457" w:rsidRDefault="002D2C15" w:rsidP="00B51D6D">
            <w:pPr>
              <w:rPr>
                <w:rFonts w:cs="Arial"/>
                <w:sz w:val="21"/>
                <w:szCs w:val="21"/>
                <w:lang w:val="en-US"/>
              </w:rPr>
            </w:pPr>
            <w:r w:rsidRPr="006D6457">
              <w:rPr>
                <w:rFonts w:cs="Arial"/>
                <w:sz w:val="21"/>
                <w:szCs w:val="21"/>
                <w:lang w:val="en-US"/>
              </w:rPr>
              <w:lastRenderedPageBreak/>
              <w:t>"coronavirus*"[</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5D4C5004" w14:textId="77777777" w:rsidR="002D2C15" w:rsidRPr="006D6457" w:rsidRDefault="002D2C15" w:rsidP="00B51D6D">
            <w:pPr>
              <w:rPr>
                <w:rFonts w:cs="Arial"/>
                <w:sz w:val="21"/>
                <w:szCs w:val="21"/>
                <w:lang w:val="en-US"/>
              </w:rPr>
            </w:pPr>
            <w:r w:rsidRPr="006D6457">
              <w:rPr>
                <w:rFonts w:cs="Arial"/>
                <w:sz w:val="21"/>
                <w:szCs w:val="21"/>
                <w:lang w:val="en-US"/>
              </w:rPr>
              <w:t>"corona virus*"[</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53A6876A" w14:textId="77777777" w:rsidR="002D2C15" w:rsidRPr="006D6457" w:rsidRDefault="002D2C15" w:rsidP="00B51D6D">
            <w:pPr>
              <w:rPr>
                <w:rFonts w:cs="Arial"/>
                <w:sz w:val="21"/>
                <w:szCs w:val="21"/>
                <w:lang w:val="en-US"/>
              </w:rPr>
            </w:pPr>
            <w:proofErr w:type="spellStart"/>
            <w:r w:rsidRPr="006D6457">
              <w:rPr>
                <w:rFonts w:cs="Arial"/>
                <w:sz w:val="21"/>
                <w:szCs w:val="21"/>
                <w:lang w:val="en-US"/>
              </w:rPr>
              <w:t>ncov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36A5BECE" w14:textId="77777777" w:rsidR="002D2C15" w:rsidRPr="006D6457" w:rsidRDefault="002D2C15" w:rsidP="00B51D6D">
            <w:pPr>
              <w:rPr>
                <w:rFonts w:cs="Arial"/>
                <w:sz w:val="21"/>
                <w:szCs w:val="21"/>
                <w:lang w:val="en-US"/>
              </w:rPr>
            </w:pPr>
            <w:r w:rsidRPr="006D6457">
              <w:rPr>
                <w:rFonts w:cs="Arial"/>
                <w:sz w:val="21"/>
                <w:szCs w:val="21"/>
                <w:lang w:val="en-US"/>
              </w:rPr>
              <w:t xml:space="preserve">"n </w:t>
            </w:r>
            <w:proofErr w:type="spellStart"/>
            <w:r w:rsidRPr="006D6457">
              <w:rPr>
                <w:rFonts w:cs="Arial"/>
                <w:sz w:val="21"/>
                <w:szCs w:val="21"/>
                <w:lang w:val="en-US"/>
              </w:rPr>
              <w:t>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0F95C1C0" w14:textId="77777777" w:rsidR="002D2C15" w:rsidRPr="006D6457" w:rsidRDefault="002D2C15" w:rsidP="00B51D6D">
            <w:pPr>
              <w:rPr>
                <w:rFonts w:cs="Arial"/>
                <w:sz w:val="21"/>
                <w:szCs w:val="21"/>
                <w:lang w:val="en-US"/>
              </w:rPr>
            </w:pPr>
            <w:proofErr w:type="spellStart"/>
            <w:r w:rsidRPr="006D6457">
              <w:rPr>
                <w:rFonts w:cs="Arial"/>
                <w:sz w:val="21"/>
                <w:szCs w:val="21"/>
                <w:lang w:val="en-US"/>
              </w:rPr>
              <w:t>sarscov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7F369F37" w14:textId="77777777" w:rsidR="002D2C15" w:rsidRPr="006D6457" w:rsidRDefault="002D2C15" w:rsidP="00B51D6D">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sars</w:t>
            </w:r>
            <w:proofErr w:type="spellEnd"/>
            <w:r w:rsidRPr="006D6457">
              <w:rPr>
                <w:rFonts w:cs="Arial"/>
                <w:sz w:val="21"/>
                <w:szCs w:val="21"/>
                <w:lang w:val="en-US"/>
              </w:rPr>
              <w:t xml:space="preserve"> </w:t>
            </w:r>
            <w:proofErr w:type="spellStart"/>
            <w:r w:rsidRPr="006D6457">
              <w:rPr>
                <w:rFonts w:cs="Arial"/>
                <w:sz w:val="21"/>
                <w:szCs w:val="21"/>
                <w:lang w:val="en-US"/>
              </w:rPr>
              <w:t>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6D86F138" w14:textId="77777777" w:rsidR="002D2C15" w:rsidRPr="006D6457" w:rsidRDefault="002D2C15" w:rsidP="00B51D6D">
            <w:pPr>
              <w:rPr>
                <w:rFonts w:cs="Arial"/>
                <w:sz w:val="21"/>
                <w:szCs w:val="21"/>
                <w:lang w:val="en-US"/>
              </w:rPr>
            </w:pPr>
            <w:r w:rsidRPr="006D6457">
              <w:rPr>
                <w:rFonts w:cs="Arial"/>
                <w:sz w:val="21"/>
                <w:szCs w:val="21"/>
                <w:lang w:val="en-US"/>
              </w:rPr>
              <w:t>"2019nCoV*"[</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6CE0F571" w14:textId="77777777" w:rsidR="002D2C15" w:rsidRPr="006D6457" w:rsidRDefault="002D2C15" w:rsidP="00B51D6D">
            <w:pPr>
              <w:rPr>
                <w:rFonts w:cs="Arial"/>
                <w:sz w:val="21"/>
                <w:szCs w:val="21"/>
                <w:lang w:val="en-US"/>
              </w:rPr>
            </w:pPr>
            <w:r w:rsidRPr="006D6457">
              <w:rPr>
                <w:rFonts w:cs="Arial"/>
                <w:sz w:val="21"/>
                <w:szCs w:val="21"/>
                <w:lang w:val="en-US"/>
              </w:rPr>
              <w:t xml:space="preserve">"2019 </w:t>
            </w:r>
            <w:proofErr w:type="spellStart"/>
            <w:r w:rsidRPr="006D6457">
              <w:rPr>
                <w:rFonts w:cs="Arial"/>
                <w:sz w:val="21"/>
                <w:szCs w:val="21"/>
                <w:lang w:val="en-US"/>
              </w:rPr>
              <w:t>nCoV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0D34D2E2" w14:textId="77777777" w:rsidR="002D2C15" w:rsidRPr="006D6457" w:rsidRDefault="002D2C15" w:rsidP="00B51D6D">
            <w:pPr>
              <w:rPr>
                <w:rFonts w:cs="Arial"/>
                <w:sz w:val="21"/>
                <w:szCs w:val="21"/>
                <w:lang w:val="en-US"/>
              </w:rPr>
            </w:pPr>
            <w:r w:rsidRPr="006D6457">
              <w:rPr>
                <w:rFonts w:cs="Arial"/>
                <w:sz w:val="21"/>
                <w:szCs w:val="21"/>
                <w:lang w:val="en-US"/>
              </w:rPr>
              <w:t>"sars2*"[</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3E8AF20E" w14:textId="77777777" w:rsidR="002D2C15" w:rsidRPr="006D6457" w:rsidRDefault="002D2C15" w:rsidP="00B51D6D">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sars</w:t>
            </w:r>
            <w:proofErr w:type="spellEnd"/>
            <w:r w:rsidRPr="006D6457">
              <w:rPr>
                <w:rFonts w:cs="Arial"/>
                <w:sz w:val="21"/>
                <w:szCs w:val="21"/>
                <w:lang w:val="en-US"/>
              </w:rPr>
              <w:t xml:space="preserve"> 2*"[</w:t>
            </w:r>
            <w:proofErr w:type="spellStart"/>
            <w:r w:rsidRPr="006D6457">
              <w:rPr>
                <w:rFonts w:cs="Arial"/>
                <w:sz w:val="21"/>
                <w:szCs w:val="21"/>
                <w:lang w:val="en-US"/>
              </w:rPr>
              <w:t>tw</w:t>
            </w:r>
            <w:proofErr w:type="spellEnd"/>
            <w:r w:rsidRPr="006D6457">
              <w:rPr>
                <w:rFonts w:cs="Arial"/>
                <w:sz w:val="21"/>
                <w:szCs w:val="21"/>
                <w:lang w:val="en-US"/>
              </w:rPr>
              <w:t>])</w:t>
            </w:r>
          </w:p>
        </w:tc>
      </w:tr>
    </w:tbl>
    <w:p w14:paraId="66E74F46" w14:textId="77777777" w:rsidR="002D2C15" w:rsidRPr="006D6457" w:rsidRDefault="002D2C15" w:rsidP="002D2C15">
      <w:pPr>
        <w:rPr>
          <w:sz w:val="28"/>
          <w:szCs w:val="28"/>
        </w:rPr>
      </w:pPr>
      <w:r w:rsidRPr="006D6457">
        <w:rPr>
          <w:sz w:val="28"/>
          <w:szCs w:val="28"/>
        </w:rPr>
        <w:lastRenderedPageBreak/>
        <w:t>I</w:t>
      </w:r>
    </w:p>
    <w:tbl>
      <w:tblPr>
        <w:tblStyle w:val="TableGrid"/>
        <w:tblW w:w="0" w:type="auto"/>
        <w:tblLook w:val="01E0" w:firstRow="1" w:lastRow="1" w:firstColumn="1" w:lastColumn="1" w:noHBand="0" w:noVBand="0"/>
      </w:tblPr>
      <w:tblGrid>
        <w:gridCol w:w="6476"/>
      </w:tblGrid>
      <w:tr w:rsidR="002D2C15" w:rsidRPr="006D6457" w14:paraId="1774419B" w14:textId="77777777" w:rsidTr="00B51D6D">
        <w:tc>
          <w:tcPr>
            <w:tcW w:w="6476" w:type="dxa"/>
            <w:tcBorders>
              <w:top w:val="single" w:sz="4" w:space="0" w:color="auto"/>
              <w:left w:val="single" w:sz="4" w:space="0" w:color="auto"/>
              <w:bottom w:val="single" w:sz="4" w:space="0" w:color="auto"/>
              <w:right w:val="single" w:sz="4" w:space="0" w:color="auto"/>
            </w:tcBorders>
            <w:hideMark/>
          </w:tcPr>
          <w:p w14:paraId="52D92265" w14:textId="77777777" w:rsidR="002D2C15" w:rsidRPr="006D6457" w:rsidRDefault="002D2C15" w:rsidP="00B51D6D">
            <w:pPr>
              <w:rPr>
                <w:rFonts w:cs="Arial"/>
                <w:b/>
                <w:sz w:val="21"/>
                <w:szCs w:val="21"/>
                <w:lang w:val="en-US"/>
              </w:rPr>
            </w:pPr>
            <w:r w:rsidRPr="006D6457">
              <w:rPr>
                <w:rFonts w:cs="Arial"/>
                <w:b/>
                <w:sz w:val="21"/>
                <w:szCs w:val="21"/>
                <w:lang w:val="en-US"/>
              </w:rPr>
              <w:t xml:space="preserve">"Point-of-Care Testing"[Mesh] OR </w:t>
            </w:r>
          </w:p>
          <w:p w14:paraId="6F096118" w14:textId="77777777" w:rsidR="002D2C15" w:rsidRPr="006D6457" w:rsidRDefault="002D2C15" w:rsidP="00B51D6D">
            <w:pPr>
              <w:rPr>
                <w:rFonts w:cs="Arial"/>
                <w:sz w:val="21"/>
                <w:szCs w:val="21"/>
                <w:lang w:val="en-US"/>
              </w:rPr>
            </w:pPr>
            <w:r w:rsidRPr="006D6457">
              <w:rPr>
                <w:rFonts w:cs="Arial"/>
                <w:sz w:val="21"/>
                <w:szCs w:val="21"/>
                <w:lang w:val="en-US"/>
              </w:rPr>
              <w:t>Antigen[</w:t>
            </w:r>
            <w:proofErr w:type="spellStart"/>
            <w:r w:rsidRPr="006D6457">
              <w:rPr>
                <w:rFonts w:cs="Arial"/>
                <w:sz w:val="21"/>
                <w:szCs w:val="21"/>
                <w:lang w:val="en-US"/>
              </w:rPr>
              <w:t>tw</w:t>
            </w:r>
            <w:proofErr w:type="spellEnd"/>
            <w:r w:rsidRPr="006D6457">
              <w:rPr>
                <w:rFonts w:cs="Arial"/>
                <w:sz w:val="21"/>
                <w:szCs w:val="21"/>
                <w:lang w:val="en-US"/>
              </w:rPr>
              <w:t>] OR</w:t>
            </w:r>
          </w:p>
          <w:p w14:paraId="55DEBED8" w14:textId="77777777" w:rsidR="002D2C15" w:rsidRPr="006D6457" w:rsidRDefault="002D2C15" w:rsidP="00B51D6D">
            <w:pPr>
              <w:rPr>
                <w:rFonts w:cs="Arial"/>
                <w:sz w:val="21"/>
                <w:szCs w:val="21"/>
                <w:lang w:val="en-US"/>
              </w:rPr>
            </w:pPr>
            <w:r w:rsidRPr="006D6457">
              <w:rPr>
                <w:rFonts w:cs="Arial"/>
                <w:sz w:val="21"/>
                <w:szCs w:val="21"/>
                <w:lang w:val="en-US"/>
              </w:rPr>
              <w:t>“Lateral flow”[</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5D4C3850" w14:textId="77777777" w:rsidR="002D2C15" w:rsidRPr="006D6457" w:rsidRDefault="002D2C15" w:rsidP="00B51D6D">
            <w:pPr>
              <w:rPr>
                <w:rFonts w:cs="Arial"/>
                <w:sz w:val="21"/>
                <w:szCs w:val="21"/>
                <w:lang w:val="en-US"/>
              </w:rPr>
            </w:pPr>
            <w:r w:rsidRPr="006D6457">
              <w:rPr>
                <w:rFonts w:cs="Arial"/>
                <w:sz w:val="21"/>
                <w:szCs w:val="21"/>
                <w:lang w:val="en-US"/>
              </w:rPr>
              <w:t>RDT[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501938B7" w14:textId="77777777" w:rsidR="002D2C15" w:rsidRPr="006D6457" w:rsidRDefault="002D2C15" w:rsidP="00B51D6D">
            <w:pPr>
              <w:rPr>
                <w:rFonts w:cs="Arial"/>
                <w:sz w:val="21"/>
                <w:szCs w:val="21"/>
                <w:lang w:val="en-US"/>
              </w:rPr>
            </w:pPr>
            <w:r w:rsidRPr="006D6457">
              <w:rPr>
                <w:rFonts w:cs="Arial"/>
                <w:sz w:val="21"/>
                <w:szCs w:val="21"/>
                <w:lang w:val="en-US"/>
              </w:rPr>
              <w:t>(("Point of Care*"[</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72A1B4A5" w14:textId="77777777" w:rsidR="002D2C15" w:rsidRPr="006D6457" w:rsidRDefault="002D2C15" w:rsidP="00B51D6D">
            <w:pPr>
              <w:rPr>
                <w:rFonts w:cs="Arial"/>
                <w:sz w:val="21"/>
                <w:szCs w:val="21"/>
                <w:lang w:val="en-US"/>
              </w:rPr>
            </w:pPr>
            <w:r w:rsidRPr="006D6457">
              <w:rPr>
                <w:rFonts w:cs="Arial"/>
                <w:sz w:val="21"/>
                <w:szCs w:val="21"/>
                <w:lang w:val="en-US"/>
              </w:rPr>
              <w:t>"Bedside*"[</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409C1AEC" w14:textId="77777777" w:rsidR="002D2C15" w:rsidRPr="006D6457" w:rsidRDefault="002D2C15" w:rsidP="00B51D6D">
            <w:pPr>
              <w:rPr>
                <w:rFonts w:cs="Arial"/>
                <w:sz w:val="21"/>
                <w:szCs w:val="21"/>
                <w:lang w:val="en-US"/>
              </w:rPr>
            </w:pPr>
            <w:r w:rsidRPr="006D6457">
              <w:rPr>
                <w:rFonts w:cs="Arial"/>
                <w:sz w:val="21"/>
                <w:szCs w:val="21"/>
                <w:lang w:val="en-US"/>
              </w:rPr>
              <w:t>Rapid*[</w:t>
            </w:r>
            <w:proofErr w:type="spellStart"/>
            <w:r w:rsidRPr="006D6457">
              <w:rPr>
                <w:rFonts w:cs="Arial"/>
                <w:sz w:val="21"/>
                <w:szCs w:val="21"/>
                <w:lang w:val="en-US"/>
              </w:rPr>
              <w:t>tw</w:t>
            </w:r>
            <w:proofErr w:type="spellEnd"/>
            <w:r w:rsidRPr="006D6457">
              <w:rPr>
                <w:rFonts w:cs="Arial"/>
                <w:sz w:val="21"/>
                <w:szCs w:val="21"/>
                <w:lang w:val="en-US"/>
              </w:rPr>
              <w:t>])</w:t>
            </w:r>
          </w:p>
          <w:p w14:paraId="3FC1A8AD" w14:textId="77777777" w:rsidR="002D2C15" w:rsidRPr="006D6457" w:rsidRDefault="002D2C15" w:rsidP="00B51D6D">
            <w:pPr>
              <w:rPr>
                <w:rFonts w:cs="Arial"/>
                <w:sz w:val="21"/>
                <w:szCs w:val="21"/>
              </w:rPr>
            </w:pPr>
            <w:r w:rsidRPr="006D6457">
              <w:rPr>
                <w:rFonts w:cs="Arial"/>
                <w:sz w:val="21"/>
                <w:szCs w:val="21"/>
              </w:rPr>
              <w:t xml:space="preserve">AND </w:t>
            </w:r>
          </w:p>
          <w:p w14:paraId="0370BFA1" w14:textId="77777777" w:rsidR="002D2C15" w:rsidRPr="006D6457" w:rsidRDefault="002D2C15" w:rsidP="00B51D6D">
            <w:pPr>
              <w:rPr>
                <w:rFonts w:cs="Arial"/>
                <w:sz w:val="21"/>
                <w:szCs w:val="21"/>
              </w:rPr>
            </w:pPr>
            <w:r w:rsidRPr="006D6457">
              <w:rPr>
                <w:rFonts w:cs="Arial"/>
                <w:sz w:val="21"/>
                <w:szCs w:val="21"/>
              </w:rPr>
              <w:t>Test*[</w:t>
            </w:r>
            <w:proofErr w:type="spellStart"/>
            <w:r w:rsidRPr="006D6457">
              <w:rPr>
                <w:rFonts w:cs="Arial"/>
                <w:sz w:val="21"/>
                <w:szCs w:val="21"/>
              </w:rPr>
              <w:t>tw</w:t>
            </w:r>
            <w:proofErr w:type="spellEnd"/>
            <w:r w:rsidRPr="006D6457">
              <w:rPr>
                <w:rFonts w:cs="Arial"/>
                <w:sz w:val="21"/>
                <w:szCs w:val="21"/>
              </w:rPr>
              <w:t>])</w:t>
            </w:r>
          </w:p>
        </w:tc>
      </w:tr>
    </w:tbl>
    <w:p w14:paraId="6205A109" w14:textId="77777777" w:rsidR="002D2C15" w:rsidRPr="006D6457" w:rsidRDefault="002D2C15" w:rsidP="002D2C15">
      <w:pPr>
        <w:ind w:left="-142"/>
        <w:rPr>
          <w:rFonts w:cs="Arial"/>
          <w:b/>
          <w:bCs/>
          <w:sz w:val="21"/>
          <w:szCs w:val="21"/>
        </w:rPr>
      </w:pPr>
      <w:r w:rsidRPr="006D6457">
        <w:rPr>
          <w:rFonts w:cs="Arial"/>
          <w:b/>
          <w:bCs/>
          <w:sz w:val="21"/>
          <w:szCs w:val="21"/>
        </w:rPr>
        <w:t>P</w:t>
      </w:r>
    </w:p>
    <w:p w14:paraId="0CFFCC49" w14:textId="77777777" w:rsidR="002D2C15" w:rsidRPr="006D6457" w:rsidRDefault="002D2C15" w:rsidP="002D2C15">
      <w:pPr>
        <w:ind w:left="-142"/>
        <w:rPr>
          <w:rFonts w:cs="Arial"/>
          <w:b/>
          <w:bCs/>
          <w:sz w:val="21"/>
          <w:szCs w:val="21"/>
        </w:rPr>
      </w:pPr>
      <w:r w:rsidRPr="006D6457">
        <w:rPr>
          <w:rFonts w:cs="Arial"/>
          <w:b/>
          <w:bCs/>
          <w:sz w:val="21"/>
          <w:szCs w:val="21"/>
        </w:rPr>
        <w:t>1 (99976)</w:t>
      </w:r>
    </w:p>
    <w:p w14:paraId="4C4CC337" w14:textId="77777777" w:rsidR="002D2C15" w:rsidRPr="006D6457" w:rsidRDefault="002D2C15" w:rsidP="002D2C15">
      <w:pPr>
        <w:ind w:left="-142"/>
        <w:rPr>
          <w:sz w:val="21"/>
          <w:szCs w:val="21"/>
          <w:lang w:val="en-US"/>
        </w:rPr>
      </w:pPr>
      <w:r w:rsidRPr="006D6457">
        <w:rPr>
          <w:sz w:val="21"/>
          <w:szCs w:val="21"/>
          <w:lang w:val="en-US"/>
        </w:rPr>
        <w:t>("Severe Acute Respiratory Syndrome Coronavirus 2"[Supplementary Concept] OR "COVID-19"[Supplementary Concept] OR "Betacoronavirus"[</w:t>
      </w:r>
      <w:proofErr w:type="spellStart"/>
      <w:r w:rsidRPr="006D6457">
        <w:rPr>
          <w:sz w:val="21"/>
          <w:szCs w:val="21"/>
          <w:lang w:val="en-US"/>
        </w:rPr>
        <w:t>MeSH</w:t>
      </w:r>
      <w:proofErr w:type="spellEnd"/>
      <w:r w:rsidRPr="006D6457">
        <w:rPr>
          <w:sz w:val="21"/>
          <w:szCs w:val="21"/>
          <w:lang w:val="en-US"/>
        </w:rPr>
        <w:t xml:space="preserve"> Terms] OR "Coronavirus"[</w:t>
      </w:r>
      <w:proofErr w:type="spellStart"/>
      <w:r w:rsidRPr="006D6457">
        <w:rPr>
          <w:sz w:val="21"/>
          <w:szCs w:val="21"/>
          <w:lang w:val="en-US"/>
        </w:rPr>
        <w:t>MeSH</w:t>
      </w:r>
      <w:proofErr w:type="spellEnd"/>
      <w:r w:rsidRPr="006D6457">
        <w:rPr>
          <w:sz w:val="21"/>
          <w:szCs w:val="21"/>
          <w:lang w:val="en-US"/>
        </w:rPr>
        <w:t xml:space="preserve"> Terms] OR "covid*"[Text Word] OR "coronavirus*"[Text Word] OR "corona virus*"[Text Word] OR "</w:t>
      </w:r>
      <w:proofErr w:type="spellStart"/>
      <w:r w:rsidRPr="006D6457">
        <w:rPr>
          <w:sz w:val="21"/>
          <w:szCs w:val="21"/>
          <w:lang w:val="en-US"/>
        </w:rPr>
        <w:t>ncov</w:t>
      </w:r>
      <w:proofErr w:type="spellEnd"/>
      <w:r w:rsidRPr="006D6457">
        <w:rPr>
          <w:sz w:val="21"/>
          <w:szCs w:val="21"/>
          <w:lang w:val="en-US"/>
        </w:rPr>
        <w:t xml:space="preserve">*"[Text Word] OR "n </w:t>
      </w:r>
      <w:proofErr w:type="spellStart"/>
      <w:r w:rsidRPr="006D6457">
        <w:rPr>
          <w:sz w:val="21"/>
          <w:szCs w:val="21"/>
          <w:lang w:val="en-US"/>
        </w:rPr>
        <w:t>cov</w:t>
      </w:r>
      <w:proofErr w:type="spellEnd"/>
      <w:r w:rsidRPr="006D6457">
        <w:rPr>
          <w:sz w:val="21"/>
          <w:szCs w:val="21"/>
          <w:lang w:val="en-US"/>
        </w:rPr>
        <w:t>*"[Text Word] OR "</w:t>
      </w:r>
      <w:proofErr w:type="spellStart"/>
      <w:r w:rsidRPr="006D6457">
        <w:rPr>
          <w:sz w:val="21"/>
          <w:szCs w:val="21"/>
          <w:lang w:val="en-US"/>
        </w:rPr>
        <w:t>sarscov</w:t>
      </w:r>
      <w:proofErr w:type="spellEnd"/>
      <w:r w:rsidRPr="006D6457">
        <w:rPr>
          <w:sz w:val="21"/>
          <w:szCs w:val="21"/>
          <w:lang w:val="en-US"/>
        </w:rPr>
        <w:t>*"[Text Word] OR "</w:t>
      </w:r>
      <w:proofErr w:type="spellStart"/>
      <w:r w:rsidRPr="006D6457">
        <w:rPr>
          <w:sz w:val="21"/>
          <w:szCs w:val="21"/>
          <w:lang w:val="en-US"/>
        </w:rPr>
        <w:t>sars</w:t>
      </w:r>
      <w:proofErr w:type="spellEnd"/>
      <w:r w:rsidRPr="006D6457">
        <w:rPr>
          <w:sz w:val="21"/>
          <w:szCs w:val="21"/>
          <w:lang w:val="en-US"/>
        </w:rPr>
        <w:t xml:space="preserve"> </w:t>
      </w:r>
      <w:proofErr w:type="spellStart"/>
      <w:r w:rsidRPr="006D6457">
        <w:rPr>
          <w:sz w:val="21"/>
          <w:szCs w:val="21"/>
          <w:lang w:val="en-US"/>
        </w:rPr>
        <w:t>cov</w:t>
      </w:r>
      <w:proofErr w:type="spellEnd"/>
      <w:r w:rsidRPr="006D6457">
        <w:rPr>
          <w:sz w:val="21"/>
          <w:szCs w:val="21"/>
          <w:lang w:val="en-US"/>
        </w:rPr>
        <w:t xml:space="preserve">*"[Text Word] OR "2019ncov*"[Text Word] OR "2019 </w:t>
      </w:r>
      <w:proofErr w:type="spellStart"/>
      <w:r w:rsidRPr="006D6457">
        <w:rPr>
          <w:sz w:val="21"/>
          <w:szCs w:val="21"/>
          <w:lang w:val="en-US"/>
        </w:rPr>
        <w:t>ncov</w:t>
      </w:r>
      <w:proofErr w:type="spellEnd"/>
      <w:r w:rsidRPr="006D6457">
        <w:rPr>
          <w:sz w:val="21"/>
          <w:szCs w:val="21"/>
          <w:lang w:val="en-US"/>
        </w:rPr>
        <w:t>*"[Text Word] OR "sars2*"[Text Word] OR "</w:t>
      </w:r>
      <w:proofErr w:type="spellStart"/>
      <w:r w:rsidRPr="006D6457">
        <w:rPr>
          <w:sz w:val="21"/>
          <w:szCs w:val="21"/>
          <w:lang w:val="en-US"/>
        </w:rPr>
        <w:t>sars</w:t>
      </w:r>
      <w:proofErr w:type="spellEnd"/>
      <w:r w:rsidRPr="006D6457">
        <w:rPr>
          <w:sz w:val="21"/>
          <w:szCs w:val="21"/>
          <w:lang w:val="en-US"/>
        </w:rPr>
        <w:t xml:space="preserve"> 2*"[Text Word])</w:t>
      </w:r>
    </w:p>
    <w:p w14:paraId="37EA05C0" w14:textId="77777777" w:rsidR="002D2C15" w:rsidRPr="006D6457" w:rsidRDefault="002D2C15" w:rsidP="002D2C15">
      <w:pPr>
        <w:ind w:left="-142"/>
        <w:rPr>
          <w:sz w:val="21"/>
          <w:szCs w:val="21"/>
          <w:lang w:val="en-US"/>
        </w:rPr>
      </w:pPr>
    </w:p>
    <w:p w14:paraId="27EB5864" w14:textId="77777777" w:rsidR="002D2C15" w:rsidRPr="006D6457" w:rsidRDefault="002D2C15" w:rsidP="002D2C15">
      <w:pPr>
        <w:ind w:left="-142"/>
        <w:rPr>
          <w:b/>
          <w:bCs/>
          <w:sz w:val="21"/>
          <w:szCs w:val="21"/>
          <w:lang w:val="en-US"/>
        </w:rPr>
      </w:pPr>
      <w:r w:rsidRPr="006D6457">
        <w:rPr>
          <w:b/>
          <w:bCs/>
          <w:sz w:val="21"/>
          <w:szCs w:val="21"/>
          <w:lang w:val="en-US"/>
        </w:rPr>
        <w:t>I</w:t>
      </w:r>
    </w:p>
    <w:p w14:paraId="0AAAAC4E" w14:textId="77777777" w:rsidR="002D2C15" w:rsidRPr="006D6457" w:rsidRDefault="002D2C15" w:rsidP="002D2C15">
      <w:pPr>
        <w:ind w:left="-142"/>
        <w:rPr>
          <w:b/>
          <w:bCs/>
          <w:sz w:val="21"/>
          <w:szCs w:val="21"/>
          <w:lang w:val="en-US"/>
        </w:rPr>
      </w:pPr>
      <w:r w:rsidRPr="006D6457">
        <w:rPr>
          <w:b/>
          <w:bCs/>
          <w:sz w:val="21"/>
          <w:szCs w:val="21"/>
          <w:lang w:val="en-US"/>
        </w:rPr>
        <w:t>2 (816722)</w:t>
      </w:r>
    </w:p>
    <w:p w14:paraId="50A0D3BF" w14:textId="77777777" w:rsidR="002D2C15" w:rsidRPr="006D6457" w:rsidRDefault="002D2C15" w:rsidP="002D2C15">
      <w:pPr>
        <w:ind w:left="-142"/>
        <w:rPr>
          <w:sz w:val="21"/>
          <w:szCs w:val="21"/>
          <w:lang w:val="en-US"/>
        </w:rPr>
      </w:pPr>
      <w:r w:rsidRPr="006D6457">
        <w:rPr>
          <w:sz w:val="21"/>
          <w:szCs w:val="21"/>
          <w:lang w:val="en-US"/>
        </w:rPr>
        <w:t>("Point-of-Care Testing"[</w:t>
      </w:r>
      <w:proofErr w:type="spellStart"/>
      <w:r w:rsidRPr="006D6457">
        <w:rPr>
          <w:sz w:val="21"/>
          <w:szCs w:val="21"/>
          <w:lang w:val="en-US"/>
        </w:rPr>
        <w:t>MeSH</w:t>
      </w:r>
      <w:proofErr w:type="spellEnd"/>
      <w:r w:rsidRPr="006D6457">
        <w:rPr>
          <w:sz w:val="21"/>
          <w:szCs w:val="21"/>
          <w:lang w:val="en-US"/>
        </w:rPr>
        <w:t xml:space="preserve"> Terms] OR "antigen"[Text Word] OR "lateral flow"[Text Word] OR "RDT"[Text Word] OR (("point of care*"[Text Word] OR "bedside*"[Text Word] OR "rapid*"[Text Word]) AND "test*"[Text Word]))</w:t>
      </w:r>
    </w:p>
    <w:p w14:paraId="44E8350E" w14:textId="77777777" w:rsidR="002D2C15" w:rsidRPr="006D6457" w:rsidRDefault="002D2C15" w:rsidP="002D2C15">
      <w:pPr>
        <w:ind w:left="-142"/>
        <w:rPr>
          <w:sz w:val="21"/>
          <w:szCs w:val="21"/>
          <w:lang w:val="en-US"/>
        </w:rPr>
      </w:pPr>
    </w:p>
    <w:p w14:paraId="1B483ECB" w14:textId="77777777" w:rsidR="002D2C15" w:rsidRPr="006D6457" w:rsidRDefault="002D2C15" w:rsidP="002D2C15">
      <w:pPr>
        <w:ind w:left="-142"/>
        <w:rPr>
          <w:b/>
          <w:bCs/>
          <w:sz w:val="21"/>
          <w:szCs w:val="21"/>
          <w:lang w:val="en-US"/>
        </w:rPr>
      </w:pPr>
      <w:r w:rsidRPr="006D6457">
        <w:rPr>
          <w:b/>
          <w:bCs/>
          <w:sz w:val="21"/>
          <w:szCs w:val="21"/>
          <w:lang w:val="en-US"/>
        </w:rPr>
        <w:t>3 (1637239)</w:t>
      </w:r>
    </w:p>
    <w:p w14:paraId="3D9DAA05" w14:textId="77777777" w:rsidR="002D2C15" w:rsidRPr="006D6457" w:rsidRDefault="002D2C15" w:rsidP="002D2C15">
      <w:pPr>
        <w:ind w:left="-142"/>
        <w:rPr>
          <w:sz w:val="21"/>
          <w:szCs w:val="21"/>
          <w:lang w:val="en-US"/>
        </w:rPr>
      </w:pPr>
      <w:r w:rsidRPr="006D6457">
        <w:rPr>
          <w:sz w:val="21"/>
          <w:szCs w:val="21"/>
          <w:lang w:val="en-US"/>
        </w:rPr>
        <w:t>2019/12/01:2021/11/19[Date - Publication]</w:t>
      </w:r>
    </w:p>
    <w:p w14:paraId="6490451A" w14:textId="77777777" w:rsidR="002D2C15" w:rsidRPr="006D6457" w:rsidRDefault="002D2C15" w:rsidP="002D2C15">
      <w:pPr>
        <w:ind w:left="-142"/>
        <w:rPr>
          <w:rFonts w:cs="Arial"/>
          <w:b/>
          <w:bCs/>
          <w:sz w:val="21"/>
          <w:szCs w:val="21"/>
          <w:lang w:val="en-US"/>
        </w:rPr>
      </w:pPr>
    </w:p>
    <w:p w14:paraId="0DB7D4A2" w14:textId="77777777" w:rsidR="002D2C15" w:rsidRPr="006D6457" w:rsidRDefault="002D2C15" w:rsidP="002D2C15">
      <w:pPr>
        <w:ind w:left="-142"/>
        <w:rPr>
          <w:rFonts w:cs="Arial"/>
          <w:b/>
          <w:bCs/>
          <w:sz w:val="21"/>
          <w:szCs w:val="21"/>
          <w:lang w:val="en-US"/>
        </w:rPr>
      </w:pPr>
      <w:r w:rsidRPr="006D6457">
        <w:rPr>
          <w:rFonts w:cs="Arial"/>
          <w:b/>
          <w:bCs/>
          <w:sz w:val="21"/>
          <w:szCs w:val="21"/>
          <w:lang w:val="en-US"/>
        </w:rPr>
        <w:t>1 AND 2 AND 3 (2990)</w:t>
      </w:r>
    </w:p>
    <w:p w14:paraId="60650AB0" w14:textId="77777777" w:rsidR="002D2C15" w:rsidRPr="006D6457" w:rsidRDefault="002D2C15" w:rsidP="002D2C15">
      <w:pPr>
        <w:ind w:left="-142"/>
        <w:rPr>
          <w:rFonts w:cs="Arial"/>
          <w:b/>
          <w:bCs/>
          <w:sz w:val="21"/>
          <w:szCs w:val="21"/>
          <w:lang w:val="en-US"/>
        </w:rPr>
      </w:pPr>
    </w:p>
    <w:p w14:paraId="1F57F8DA" w14:textId="77777777" w:rsidR="002D2C15" w:rsidRPr="006D6457" w:rsidRDefault="002D2C15" w:rsidP="002D2C15">
      <w:pPr>
        <w:pStyle w:val="Heading2"/>
        <w:rPr>
          <w:sz w:val="28"/>
          <w:szCs w:val="28"/>
          <w:lang w:val="en-US"/>
        </w:rPr>
      </w:pPr>
      <w:bookmarkStart w:id="9" w:name="_Toc152845905"/>
      <w:r w:rsidRPr="006D6457">
        <w:rPr>
          <w:sz w:val="28"/>
          <w:szCs w:val="28"/>
          <w:lang w:val="en-US"/>
        </w:rPr>
        <w:t>Web of Science Core Collection</w:t>
      </w:r>
      <w:bookmarkEnd w:id="9"/>
    </w:p>
    <w:p w14:paraId="0CF280CA" w14:textId="77777777" w:rsidR="002D2C15" w:rsidRPr="006D6457" w:rsidRDefault="002D2C15" w:rsidP="002D2C15">
      <w:pPr>
        <w:rPr>
          <w:sz w:val="28"/>
          <w:szCs w:val="28"/>
          <w:lang w:eastAsia="de-DE"/>
        </w:rPr>
      </w:pPr>
      <w:r w:rsidRPr="006D6457">
        <w:rPr>
          <w:sz w:val="28"/>
          <w:szCs w:val="28"/>
        </w:rPr>
        <w:t>P</w:t>
      </w:r>
    </w:p>
    <w:tbl>
      <w:tblPr>
        <w:tblStyle w:val="TableGrid"/>
        <w:tblW w:w="6629" w:type="dxa"/>
        <w:tblLook w:val="01E0" w:firstRow="1" w:lastRow="1" w:firstColumn="1" w:lastColumn="1" w:noHBand="0" w:noVBand="0"/>
      </w:tblPr>
      <w:tblGrid>
        <w:gridCol w:w="6629"/>
      </w:tblGrid>
      <w:tr w:rsidR="002D2C15" w:rsidRPr="006D6457" w14:paraId="1B5D8F47" w14:textId="77777777" w:rsidTr="00B51D6D">
        <w:tc>
          <w:tcPr>
            <w:tcW w:w="6629" w:type="dxa"/>
            <w:tcBorders>
              <w:top w:val="single" w:sz="4" w:space="0" w:color="auto"/>
              <w:left w:val="single" w:sz="4" w:space="0" w:color="auto"/>
              <w:bottom w:val="single" w:sz="4" w:space="0" w:color="auto"/>
              <w:right w:val="single" w:sz="4" w:space="0" w:color="auto"/>
            </w:tcBorders>
            <w:hideMark/>
          </w:tcPr>
          <w:p w14:paraId="4E4384B2"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"covid*" OR </w:t>
            </w:r>
          </w:p>
          <w:p w14:paraId="0F468D2A"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"coronavirus*" OR </w:t>
            </w:r>
          </w:p>
          <w:p w14:paraId="20A23856"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"corona virus*" OR </w:t>
            </w:r>
          </w:p>
          <w:p w14:paraId="0A57F7F0"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w:t>
            </w:r>
          </w:p>
          <w:p w14:paraId="6BCF6A9B"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"n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w:t>
            </w:r>
          </w:p>
          <w:p w14:paraId="0F39B3E6"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sarscov</w:t>
            </w:r>
            <w:proofErr w:type="spellEnd"/>
            <w:r w:rsidRPr="006D6457">
              <w:rPr>
                <w:rFonts w:ascii="Arial" w:hAnsi="Arial" w:cs="Arial"/>
                <w:sz w:val="21"/>
                <w:szCs w:val="21"/>
                <w:lang w:val="en-US" w:eastAsia="en-GB"/>
              </w:rPr>
              <w:t xml:space="preserve">*" OR </w:t>
            </w:r>
          </w:p>
          <w:p w14:paraId="33B72E23"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w:t>
            </w:r>
          </w:p>
          <w:p w14:paraId="1571B54E"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"2019nCoV*" OR </w:t>
            </w:r>
          </w:p>
          <w:p w14:paraId="46453AD7"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"2019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w:t>
            </w:r>
          </w:p>
          <w:p w14:paraId="68EF2B36"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"sars2*" OR </w:t>
            </w:r>
          </w:p>
          <w:p w14:paraId="3A59A00B" w14:textId="77777777" w:rsidR="002D2C15" w:rsidRPr="006D6457" w:rsidRDefault="002D2C15" w:rsidP="00B51D6D">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2*" </w:t>
            </w:r>
          </w:p>
        </w:tc>
      </w:tr>
    </w:tbl>
    <w:p w14:paraId="6F4E62FE" w14:textId="77777777" w:rsidR="002D2C15" w:rsidRPr="006D6457" w:rsidRDefault="002D2C15" w:rsidP="002D2C15">
      <w:pPr>
        <w:rPr>
          <w:sz w:val="28"/>
          <w:szCs w:val="28"/>
        </w:rPr>
      </w:pPr>
      <w:r w:rsidRPr="006D6457">
        <w:rPr>
          <w:sz w:val="28"/>
          <w:szCs w:val="28"/>
        </w:rPr>
        <w:t>I</w:t>
      </w:r>
    </w:p>
    <w:tbl>
      <w:tblPr>
        <w:tblStyle w:val="TableGrid"/>
        <w:tblW w:w="6629" w:type="dxa"/>
        <w:tblLook w:val="01E0" w:firstRow="1" w:lastRow="1" w:firstColumn="1" w:lastColumn="1" w:noHBand="0" w:noVBand="0"/>
      </w:tblPr>
      <w:tblGrid>
        <w:gridCol w:w="6629"/>
      </w:tblGrid>
      <w:tr w:rsidR="002D2C15" w:rsidRPr="006D6457" w14:paraId="15E34B79" w14:textId="77777777" w:rsidTr="00B51D6D">
        <w:tc>
          <w:tcPr>
            <w:tcW w:w="6629" w:type="dxa"/>
            <w:tcBorders>
              <w:top w:val="single" w:sz="4" w:space="0" w:color="auto"/>
              <w:left w:val="single" w:sz="4" w:space="0" w:color="auto"/>
              <w:bottom w:val="single" w:sz="4" w:space="0" w:color="auto"/>
              <w:right w:val="single" w:sz="4" w:space="0" w:color="auto"/>
            </w:tcBorders>
            <w:hideMark/>
          </w:tcPr>
          <w:p w14:paraId="2D38A010" w14:textId="77777777" w:rsidR="002D2C15" w:rsidRPr="006D6457" w:rsidRDefault="002D2C15" w:rsidP="00B51D6D">
            <w:pPr>
              <w:rPr>
                <w:rFonts w:cs="Arial"/>
                <w:sz w:val="21"/>
                <w:szCs w:val="21"/>
                <w:lang w:val="en-US"/>
              </w:rPr>
            </w:pPr>
            <w:r w:rsidRPr="006D6457">
              <w:rPr>
                <w:rFonts w:cs="Arial"/>
                <w:sz w:val="21"/>
                <w:szCs w:val="21"/>
                <w:lang w:val="en-US"/>
              </w:rPr>
              <w:t xml:space="preserve">"antigen" OR </w:t>
            </w:r>
          </w:p>
          <w:p w14:paraId="70614DF7" w14:textId="77777777" w:rsidR="002D2C15" w:rsidRPr="006D6457" w:rsidRDefault="002D2C15" w:rsidP="00B51D6D">
            <w:pPr>
              <w:rPr>
                <w:rFonts w:cs="Arial"/>
                <w:sz w:val="21"/>
                <w:szCs w:val="21"/>
                <w:lang w:val="en-US"/>
              </w:rPr>
            </w:pPr>
            <w:r w:rsidRPr="006D6457">
              <w:rPr>
                <w:rFonts w:cs="Arial"/>
                <w:sz w:val="21"/>
                <w:szCs w:val="21"/>
                <w:lang w:val="en-US"/>
              </w:rPr>
              <w:t xml:space="preserve">"Lateral flow" OR </w:t>
            </w:r>
          </w:p>
          <w:p w14:paraId="5FF8F9DC" w14:textId="77777777" w:rsidR="002D2C15" w:rsidRPr="006D6457" w:rsidRDefault="002D2C15" w:rsidP="00B51D6D">
            <w:pPr>
              <w:rPr>
                <w:rFonts w:cs="Arial"/>
                <w:sz w:val="21"/>
                <w:szCs w:val="21"/>
                <w:lang w:val="en-US"/>
              </w:rPr>
            </w:pPr>
            <w:r w:rsidRPr="006D6457">
              <w:rPr>
                <w:rFonts w:cs="Arial"/>
                <w:sz w:val="21"/>
                <w:szCs w:val="21"/>
                <w:lang w:val="en-US"/>
              </w:rPr>
              <w:t xml:space="preserve">"RDT" OR </w:t>
            </w:r>
          </w:p>
          <w:p w14:paraId="6D9653F2" w14:textId="77777777" w:rsidR="002D2C15" w:rsidRPr="006D6457" w:rsidRDefault="002D2C15" w:rsidP="00B51D6D">
            <w:pPr>
              <w:rPr>
                <w:rFonts w:cs="Arial"/>
                <w:sz w:val="21"/>
                <w:szCs w:val="21"/>
                <w:lang w:val="en-US"/>
              </w:rPr>
            </w:pPr>
            <w:r w:rsidRPr="006D6457">
              <w:rPr>
                <w:rFonts w:cs="Arial"/>
                <w:sz w:val="21"/>
                <w:szCs w:val="21"/>
                <w:lang w:val="en-US"/>
              </w:rPr>
              <w:t xml:space="preserve">(("Point of Care*" OR </w:t>
            </w:r>
          </w:p>
          <w:p w14:paraId="3B1F61C0" w14:textId="77777777" w:rsidR="002D2C15" w:rsidRPr="006D6457" w:rsidRDefault="002D2C15" w:rsidP="00B51D6D">
            <w:pPr>
              <w:rPr>
                <w:rFonts w:cs="Arial"/>
                <w:sz w:val="21"/>
                <w:szCs w:val="21"/>
                <w:lang w:val="en-US"/>
              </w:rPr>
            </w:pPr>
            <w:r w:rsidRPr="006D6457">
              <w:rPr>
                <w:rFonts w:cs="Arial"/>
                <w:sz w:val="21"/>
                <w:szCs w:val="21"/>
                <w:lang w:val="en-US"/>
              </w:rPr>
              <w:t xml:space="preserve">"Bedside*" OR </w:t>
            </w:r>
          </w:p>
          <w:p w14:paraId="3DF5DFE3" w14:textId="77777777" w:rsidR="002D2C15" w:rsidRPr="006D6457" w:rsidRDefault="002D2C15" w:rsidP="00B51D6D">
            <w:pPr>
              <w:rPr>
                <w:rFonts w:cs="Arial"/>
                <w:sz w:val="21"/>
                <w:szCs w:val="21"/>
              </w:rPr>
            </w:pPr>
            <w:r w:rsidRPr="006D6457">
              <w:rPr>
                <w:rFonts w:cs="Arial"/>
                <w:sz w:val="21"/>
                <w:szCs w:val="21"/>
              </w:rPr>
              <w:t>"Rapid*")</w:t>
            </w:r>
          </w:p>
          <w:p w14:paraId="1C9AD8D7" w14:textId="77777777" w:rsidR="002D2C15" w:rsidRPr="006D6457" w:rsidRDefault="002D2C15" w:rsidP="00B51D6D">
            <w:pPr>
              <w:rPr>
                <w:rFonts w:cs="Arial"/>
                <w:sz w:val="21"/>
                <w:szCs w:val="21"/>
              </w:rPr>
            </w:pPr>
            <w:r w:rsidRPr="006D6457">
              <w:rPr>
                <w:rFonts w:cs="Arial"/>
                <w:sz w:val="21"/>
                <w:szCs w:val="21"/>
              </w:rPr>
              <w:t xml:space="preserve">AND </w:t>
            </w:r>
          </w:p>
          <w:p w14:paraId="7B7D6D9E" w14:textId="77777777" w:rsidR="002D2C15" w:rsidRPr="006D6457" w:rsidRDefault="002D2C15" w:rsidP="00B51D6D">
            <w:pPr>
              <w:rPr>
                <w:rFonts w:cs="Arial"/>
                <w:sz w:val="21"/>
                <w:szCs w:val="21"/>
              </w:rPr>
            </w:pPr>
            <w:r w:rsidRPr="006D6457">
              <w:rPr>
                <w:rFonts w:cs="Arial"/>
                <w:sz w:val="21"/>
                <w:szCs w:val="21"/>
              </w:rPr>
              <w:t>Test*))</w:t>
            </w:r>
          </w:p>
        </w:tc>
      </w:tr>
    </w:tbl>
    <w:p w14:paraId="4BD32B36" w14:textId="77777777" w:rsidR="002D2C15" w:rsidRPr="006D6457" w:rsidRDefault="002D2C15" w:rsidP="002D2C15">
      <w:pPr>
        <w:rPr>
          <w:rFonts w:cs="Arial"/>
          <w:sz w:val="21"/>
          <w:szCs w:val="21"/>
        </w:rPr>
      </w:pPr>
    </w:p>
    <w:p w14:paraId="7F2D90AD" w14:textId="77777777" w:rsidR="002D2C15" w:rsidRPr="006D6457" w:rsidRDefault="002D2C15" w:rsidP="002D2C15">
      <w:pPr>
        <w:rPr>
          <w:sz w:val="28"/>
          <w:szCs w:val="28"/>
          <w:lang w:eastAsia="en-GB"/>
        </w:rPr>
      </w:pPr>
      <w:r w:rsidRPr="006D6457">
        <w:rPr>
          <w:sz w:val="28"/>
          <w:szCs w:val="28"/>
          <w:lang w:eastAsia="en-GB"/>
        </w:rPr>
        <w:t>P</w:t>
      </w:r>
    </w:p>
    <w:p w14:paraId="121449CA" w14:textId="77777777" w:rsidR="002D2C15" w:rsidRPr="006D6457" w:rsidRDefault="002D2C15" w:rsidP="002D2C15">
      <w:pPr>
        <w:pStyle w:val="HTMLPreformatted"/>
        <w:rPr>
          <w:rFonts w:ascii="Arial" w:hAnsi="Arial" w:cs="Arial"/>
          <w:b/>
          <w:bCs/>
          <w:sz w:val="21"/>
          <w:szCs w:val="21"/>
          <w:lang w:val="en-US" w:eastAsia="en-GB"/>
        </w:rPr>
      </w:pPr>
      <w:r w:rsidRPr="006D6457">
        <w:rPr>
          <w:rFonts w:ascii="Arial" w:hAnsi="Arial" w:cs="Arial"/>
          <w:b/>
          <w:bCs/>
          <w:sz w:val="21"/>
          <w:szCs w:val="21"/>
          <w:lang w:val="en-US" w:eastAsia="en-GB"/>
        </w:rPr>
        <w:t>1 (56968)</w:t>
      </w:r>
    </w:p>
    <w:p w14:paraId="2F5F977C" w14:textId="77777777" w:rsidR="002D2C15" w:rsidRPr="006D6457" w:rsidRDefault="002D2C15" w:rsidP="002D2C15">
      <w:pPr>
        <w:pStyle w:val="HTMLPreformatted"/>
        <w:rPr>
          <w:rFonts w:ascii="Arial" w:hAnsi="Arial" w:cs="Arial"/>
          <w:sz w:val="21"/>
          <w:szCs w:val="21"/>
          <w:lang w:val="en-US" w:eastAsia="en-GB"/>
        </w:rPr>
      </w:pPr>
      <w:r w:rsidRPr="006D6457">
        <w:rPr>
          <w:rFonts w:ascii="Arial" w:hAnsi="Arial" w:cs="Arial"/>
          <w:sz w:val="21"/>
          <w:szCs w:val="21"/>
          <w:lang w:val="en-US" w:eastAsia="en-GB"/>
        </w:rPr>
        <w:t>TS=("covid*" OR "coronavirus*" OR "corona virus*" OR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"n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OR "</w:t>
      </w:r>
      <w:proofErr w:type="spellStart"/>
      <w:r w:rsidRPr="006D6457">
        <w:rPr>
          <w:rFonts w:ascii="Arial" w:hAnsi="Arial" w:cs="Arial"/>
          <w:sz w:val="21"/>
          <w:szCs w:val="21"/>
          <w:lang w:val="en-US" w:eastAsia="en-GB"/>
        </w:rPr>
        <w:t>sarscov</w:t>
      </w:r>
      <w:proofErr w:type="spellEnd"/>
      <w:r w:rsidRPr="006D6457">
        <w:rPr>
          <w:rFonts w:ascii="Arial" w:hAnsi="Arial" w:cs="Arial"/>
          <w:sz w:val="21"/>
          <w:szCs w:val="21"/>
          <w:lang w:val="en-US" w:eastAsia="en-GB"/>
        </w:rPr>
        <w:t>*" OR "</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"2019nCoV*" OR "2019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OR "sars2*" OR "</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2*")</w:t>
      </w:r>
    </w:p>
    <w:p w14:paraId="0143465E" w14:textId="77777777" w:rsidR="002D2C15" w:rsidRPr="006D6457" w:rsidRDefault="002D2C15" w:rsidP="002D2C15">
      <w:pPr>
        <w:rPr>
          <w:rFonts w:cs="Arial"/>
          <w:sz w:val="21"/>
          <w:szCs w:val="21"/>
          <w:lang w:val="en-US"/>
        </w:rPr>
      </w:pPr>
    </w:p>
    <w:p w14:paraId="0CEF4138" w14:textId="77777777" w:rsidR="002D2C15" w:rsidRPr="006D6457" w:rsidRDefault="002D2C15" w:rsidP="002D2C15">
      <w:pPr>
        <w:rPr>
          <w:sz w:val="28"/>
          <w:szCs w:val="28"/>
          <w:lang w:val="en-US"/>
        </w:rPr>
      </w:pPr>
      <w:r w:rsidRPr="006D6457">
        <w:rPr>
          <w:sz w:val="28"/>
          <w:szCs w:val="28"/>
          <w:lang w:val="en-US"/>
        </w:rPr>
        <w:t>I</w:t>
      </w:r>
    </w:p>
    <w:p w14:paraId="51A5B63E" w14:textId="77777777" w:rsidR="002D2C15" w:rsidRPr="006D6457" w:rsidRDefault="002D2C15" w:rsidP="002D2C15">
      <w:pPr>
        <w:rPr>
          <w:rFonts w:cs="Arial"/>
          <w:b/>
          <w:bCs/>
          <w:sz w:val="21"/>
          <w:szCs w:val="21"/>
          <w:lang w:val="en-US"/>
        </w:rPr>
      </w:pPr>
      <w:r w:rsidRPr="006D6457">
        <w:rPr>
          <w:rFonts w:cs="Arial"/>
          <w:b/>
          <w:bCs/>
          <w:sz w:val="21"/>
          <w:szCs w:val="21"/>
          <w:lang w:val="en-US"/>
        </w:rPr>
        <w:t>2 (34058)</w:t>
      </w:r>
    </w:p>
    <w:p w14:paraId="5D4D5701" w14:textId="77777777" w:rsidR="002D2C15" w:rsidRPr="006D6457" w:rsidRDefault="002D2C15" w:rsidP="002D2C15">
      <w:pPr>
        <w:rPr>
          <w:rFonts w:cs="Arial"/>
          <w:sz w:val="21"/>
          <w:szCs w:val="21"/>
          <w:lang w:val="en-US"/>
        </w:rPr>
      </w:pPr>
      <w:r w:rsidRPr="006D6457">
        <w:rPr>
          <w:rFonts w:cs="Arial"/>
          <w:sz w:val="21"/>
          <w:szCs w:val="21"/>
          <w:lang w:val="en-US"/>
        </w:rPr>
        <w:t>TS=("antigen" OR "Lateral flow" OR "RDT" OR (("Point of Care*" OR "Bedside*" OR "Rapid*")AND Test*))</w:t>
      </w:r>
    </w:p>
    <w:p w14:paraId="7B0FA7DD" w14:textId="77777777" w:rsidR="002D2C15" w:rsidRPr="006D6457" w:rsidRDefault="002D2C15" w:rsidP="002D2C15">
      <w:pPr>
        <w:rPr>
          <w:rFonts w:cs="Arial"/>
          <w:sz w:val="21"/>
          <w:szCs w:val="21"/>
          <w:lang w:val="en-US"/>
        </w:rPr>
      </w:pPr>
    </w:p>
    <w:p w14:paraId="22A7B5B5" w14:textId="77777777" w:rsidR="002D2C15" w:rsidRPr="006D6457" w:rsidRDefault="002D2C15" w:rsidP="002D2C15">
      <w:pPr>
        <w:rPr>
          <w:rFonts w:cs="Arial"/>
          <w:b/>
          <w:bCs/>
          <w:sz w:val="21"/>
          <w:szCs w:val="21"/>
          <w:lang w:val="en-US"/>
        </w:rPr>
      </w:pPr>
      <w:r w:rsidRPr="006D6457">
        <w:rPr>
          <w:rFonts w:cs="Arial"/>
          <w:b/>
          <w:bCs/>
          <w:sz w:val="21"/>
          <w:szCs w:val="21"/>
          <w:lang w:val="en-US"/>
        </w:rPr>
        <w:t>1 AND 2 (1568)</w:t>
      </w:r>
    </w:p>
    <w:p w14:paraId="16F2B44D" w14:textId="468EFB11" w:rsidR="002D2C15" w:rsidRPr="006D6457" w:rsidRDefault="002D2C15" w:rsidP="002D2C15">
      <w:pPr>
        <w:rPr>
          <w:rFonts w:cs="Arial"/>
          <w:sz w:val="21"/>
          <w:szCs w:val="21"/>
          <w:lang w:val="en-US"/>
        </w:rPr>
      </w:pPr>
      <w:r w:rsidRPr="006D6457">
        <w:rPr>
          <w:rFonts w:cs="Arial"/>
          <w:sz w:val="21"/>
          <w:szCs w:val="21"/>
          <w:lang w:val="en-US"/>
        </w:rPr>
        <w:lastRenderedPageBreak/>
        <w:t>Filter (year to date 2022/11/07)</w:t>
      </w:r>
    </w:p>
    <w:p w14:paraId="77FBB5C0" w14:textId="77777777" w:rsidR="002D2C15" w:rsidRPr="006D6457" w:rsidRDefault="002D2C15" w:rsidP="002D2C15">
      <w:pPr>
        <w:rPr>
          <w:rFonts w:eastAsiaTheme="majorEastAsia" w:cstheme="majorBidi"/>
          <w:b/>
          <w:bCs/>
          <w:sz w:val="21"/>
          <w:szCs w:val="21"/>
          <w:lang w:val="en-US" w:eastAsia="de-DE"/>
        </w:rPr>
      </w:pPr>
    </w:p>
    <w:p w14:paraId="0E788768" w14:textId="77777777" w:rsidR="002D2C15" w:rsidRPr="006D6457" w:rsidRDefault="002D2C15" w:rsidP="002D2C15">
      <w:pPr>
        <w:pStyle w:val="Heading2"/>
        <w:rPr>
          <w:sz w:val="28"/>
          <w:szCs w:val="28"/>
          <w:lang w:val="en-US"/>
        </w:rPr>
      </w:pPr>
      <w:bookmarkStart w:id="10" w:name="_Toc152845906"/>
      <w:proofErr w:type="spellStart"/>
      <w:r w:rsidRPr="006D6457">
        <w:rPr>
          <w:sz w:val="28"/>
          <w:szCs w:val="28"/>
          <w:lang w:val="en-US"/>
        </w:rPr>
        <w:t>Bio_MedRxiv</w:t>
      </w:r>
      <w:bookmarkEnd w:id="10"/>
      <w:proofErr w:type="spellEnd"/>
    </w:p>
    <w:p w14:paraId="40EF4F9D" w14:textId="77777777" w:rsidR="002D2C15" w:rsidRPr="006D6457" w:rsidRDefault="002D2C15" w:rsidP="002D2C15">
      <w:pPr>
        <w:rPr>
          <w:sz w:val="21"/>
          <w:szCs w:val="21"/>
          <w:lang w:val="en-US" w:eastAsia="de-DE"/>
        </w:rPr>
      </w:pPr>
      <w:r w:rsidRPr="006D6457">
        <w:rPr>
          <w:sz w:val="21"/>
          <w:szCs w:val="21"/>
          <w:lang w:val="en-US" w:eastAsia="de-DE"/>
        </w:rPr>
        <w:t>https://europepmc.org/</w:t>
      </w:r>
    </w:p>
    <w:p w14:paraId="37CE01AB" w14:textId="77777777" w:rsidR="002D2C15" w:rsidRPr="006D6457" w:rsidRDefault="002D2C15" w:rsidP="002D2C15">
      <w:pPr>
        <w:rPr>
          <w:sz w:val="28"/>
          <w:szCs w:val="28"/>
          <w:lang w:eastAsia="de-DE"/>
        </w:rPr>
      </w:pPr>
      <w:r w:rsidRPr="006D6457">
        <w:rPr>
          <w:sz w:val="28"/>
          <w:szCs w:val="28"/>
        </w:rPr>
        <w:t>P</w:t>
      </w:r>
    </w:p>
    <w:tbl>
      <w:tblPr>
        <w:tblStyle w:val="TableGrid"/>
        <w:tblW w:w="6629" w:type="dxa"/>
        <w:tblLook w:val="01E0" w:firstRow="1" w:lastRow="1" w:firstColumn="1" w:lastColumn="1" w:noHBand="0" w:noVBand="0"/>
      </w:tblPr>
      <w:tblGrid>
        <w:gridCol w:w="6629"/>
      </w:tblGrid>
      <w:tr w:rsidR="002D2C15" w:rsidRPr="006D6457" w14:paraId="4D0232BF" w14:textId="77777777" w:rsidTr="00B51D6D">
        <w:tc>
          <w:tcPr>
            <w:tcW w:w="6629" w:type="dxa"/>
            <w:tcBorders>
              <w:top w:val="single" w:sz="4" w:space="0" w:color="auto"/>
              <w:left w:val="single" w:sz="4" w:space="0" w:color="auto"/>
              <w:bottom w:val="single" w:sz="4" w:space="0" w:color="auto"/>
              <w:right w:val="single" w:sz="4" w:space="0" w:color="auto"/>
            </w:tcBorders>
            <w:hideMark/>
          </w:tcPr>
          <w:p w14:paraId="7522C978" w14:textId="77777777" w:rsidR="002D2C15" w:rsidRPr="006D6457" w:rsidRDefault="002D2C15" w:rsidP="00B51D6D">
            <w:pPr>
              <w:rPr>
                <w:rFonts w:cs="Arial"/>
                <w:sz w:val="21"/>
                <w:szCs w:val="21"/>
                <w:lang w:val="en-US"/>
              </w:rPr>
            </w:pPr>
            <w:r w:rsidRPr="006D6457">
              <w:rPr>
                <w:rFonts w:cs="Arial"/>
                <w:sz w:val="21"/>
                <w:szCs w:val="21"/>
                <w:lang w:val="en-US"/>
              </w:rPr>
              <w:t xml:space="preserve">Covid* OR </w:t>
            </w:r>
          </w:p>
          <w:p w14:paraId="52980451" w14:textId="77777777" w:rsidR="002D2C15" w:rsidRPr="006D6457" w:rsidRDefault="002D2C15" w:rsidP="00B51D6D">
            <w:pPr>
              <w:rPr>
                <w:rFonts w:cs="Arial"/>
                <w:sz w:val="21"/>
                <w:szCs w:val="21"/>
                <w:lang w:val="en-US"/>
              </w:rPr>
            </w:pPr>
            <w:r w:rsidRPr="006D6457">
              <w:rPr>
                <w:rFonts w:cs="Arial"/>
                <w:sz w:val="21"/>
                <w:szCs w:val="21"/>
                <w:lang w:val="en-US"/>
              </w:rPr>
              <w:t xml:space="preserve">Coronavirus* OR </w:t>
            </w:r>
          </w:p>
          <w:p w14:paraId="2CEA7DDB" w14:textId="77777777" w:rsidR="002D2C15" w:rsidRPr="006D6457" w:rsidRDefault="002D2C15" w:rsidP="00B51D6D">
            <w:pPr>
              <w:rPr>
                <w:rFonts w:cs="Arial"/>
                <w:sz w:val="21"/>
                <w:szCs w:val="21"/>
                <w:lang w:val="en-US"/>
              </w:rPr>
            </w:pPr>
            <w:r w:rsidRPr="006D6457">
              <w:rPr>
                <w:rFonts w:cs="Arial"/>
                <w:sz w:val="21"/>
                <w:szCs w:val="21"/>
                <w:lang w:val="en-US"/>
              </w:rPr>
              <w:t xml:space="preserve">"corona virus*" OR </w:t>
            </w:r>
          </w:p>
          <w:p w14:paraId="3AEAF9A6" w14:textId="77777777" w:rsidR="002D2C15" w:rsidRPr="006D6457" w:rsidRDefault="002D2C15" w:rsidP="00B51D6D">
            <w:pPr>
              <w:rPr>
                <w:rFonts w:cs="Arial"/>
                <w:sz w:val="21"/>
                <w:szCs w:val="21"/>
                <w:lang w:val="en-US"/>
              </w:rPr>
            </w:pPr>
            <w:proofErr w:type="spellStart"/>
            <w:r w:rsidRPr="006D6457">
              <w:rPr>
                <w:rFonts w:cs="Arial"/>
                <w:sz w:val="21"/>
                <w:szCs w:val="21"/>
                <w:lang w:val="en-US"/>
              </w:rPr>
              <w:t>Ncov</w:t>
            </w:r>
            <w:proofErr w:type="spellEnd"/>
            <w:r w:rsidRPr="006D6457">
              <w:rPr>
                <w:rFonts w:cs="Arial"/>
                <w:sz w:val="21"/>
                <w:szCs w:val="21"/>
                <w:lang w:val="en-US"/>
              </w:rPr>
              <w:t xml:space="preserve">* OR </w:t>
            </w:r>
          </w:p>
          <w:p w14:paraId="63782CE5" w14:textId="77777777" w:rsidR="002D2C15" w:rsidRPr="006D6457" w:rsidRDefault="002D2C15" w:rsidP="00B51D6D">
            <w:pPr>
              <w:rPr>
                <w:rFonts w:cs="Arial"/>
                <w:sz w:val="21"/>
                <w:szCs w:val="21"/>
                <w:lang w:val="en-US"/>
              </w:rPr>
            </w:pPr>
            <w:r w:rsidRPr="006D6457">
              <w:rPr>
                <w:rFonts w:cs="Arial"/>
                <w:sz w:val="21"/>
                <w:szCs w:val="21"/>
                <w:lang w:val="en-US"/>
              </w:rPr>
              <w:t xml:space="preserve">"n </w:t>
            </w:r>
            <w:proofErr w:type="spellStart"/>
            <w:r w:rsidRPr="006D6457">
              <w:rPr>
                <w:rFonts w:cs="Arial"/>
                <w:sz w:val="21"/>
                <w:szCs w:val="21"/>
                <w:lang w:val="en-US"/>
              </w:rPr>
              <w:t>cov</w:t>
            </w:r>
            <w:proofErr w:type="spellEnd"/>
            <w:r w:rsidRPr="006D6457">
              <w:rPr>
                <w:rFonts w:cs="Arial"/>
                <w:sz w:val="21"/>
                <w:szCs w:val="21"/>
                <w:lang w:val="en-US"/>
              </w:rPr>
              <w:t xml:space="preserve">*" OR </w:t>
            </w:r>
          </w:p>
          <w:p w14:paraId="145F33FF" w14:textId="77777777" w:rsidR="002D2C15" w:rsidRPr="006D6457" w:rsidRDefault="002D2C15" w:rsidP="00B51D6D">
            <w:pPr>
              <w:rPr>
                <w:rFonts w:cs="Arial"/>
                <w:sz w:val="21"/>
                <w:szCs w:val="21"/>
                <w:lang w:val="en-US"/>
              </w:rPr>
            </w:pPr>
            <w:proofErr w:type="spellStart"/>
            <w:r w:rsidRPr="006D6457">
              <w:rPr>
                <w:rFonts w:cs="Arial"/>
                <w:sz w:val="21"/>
                <w:szCs w:val="21"/>
                <w:lang w:val="en-US"/>
              </w:rPr>
              <w:t>Sarscov</w:t>
            </w:r>
            <w:proofErr w:type="spellEnd"/>
            <w:r w:rsidRPr="006D6457">
              <w:rPr>
                <w:rFonts w:cs="Arial"/>
                <w:sz w:val="21"/>
                <w:szCs w:val="21"/>
                <w:lang w:val="en-US"/>
              </w:rPr>
              <w:t xml:space="preserve">* OR </w:t>
            </w:r>
          </w:p>
          <w:p w14:paraId="235A7935" w14:textId="77777777" w:rsidR="002D2C15" w:rsidRPr="006D6457" w:rsidRDefault="002D2C15" w:rsidP="00B51D6D">
            <w:pPr>
              <w:rPr>
                <w:rFonts w:cs="Arial"/>
                <w:sz w:val="21"/>
                <w:szCs w:val="21"/>
                <w:lang w:val="en-US"/>
              </w:rPr>
            </w:pPr>
            <w:r w:rsidRPr="006D6457">
              <w:rPr>
                <w:rFonts w:cs="Arial"/>
                <w:sz w:val="21"/>
                <w:szCs w:val="21"/>
                <w:lang w:val="en-US"/>
              </w:rPr>
              <w:t xml:space="preserve">"Sars </w:t>
            </w:r>
            <w:proofErr w:type="spellStart"/>
            <w:r w:rsidRPr="006D6457">
              <w:rPr>
                <w:rFonts w:cs="Arial"/>
                <w:sz w:val="21"/>
                <w:szCs w:val="21"/>
                <w:lang w:val="en-US"/>
              </w:rPr>
              <w:t>cov</w:t>
            </w:r>
            <w:proofErr w:type="spellEnd"/>
            <w:r w:rsidRPr="006D6457">
              <w:rPr>
                <w:rFonts w:cs="Arial"/>
                <w:sz w:val="21"/>
                <w:szCs w:val="21"/>
                <w:lang w:val="en-US"/>
              </w:rPr>
              <w:t xml:space="preserve">*" OR </w:t>
            </w:r>
          </w:p>
          <w:p w14:paraId="60E8A93D" w14:textId="77777777" w:rsidR="002D2C15" w:rsidRPr="006D6457" w:rsidRDefault="002D2C15" w:rsidP="00B51D6D">
            <w:pPr>
              <w:rPr>
                <w:rFonts w:cs="Arial"/>
                <w:sz w:val="21"/>
                <w:szCs w:val="21"/>
                <w:lang w:val="en-US"/>
              </w:rPr>
            </w:pPr>
            <w:r w:rsidRPr="006D6457">
              <w:rPr>
                <w:rFonts w:cs="Arial"/>
                <w:sz w:val="21"/>
                <w:szCs w:val="21"/>
                <w:lang w:val="en-US"/>
              </w:rPr>
              <w:t xml:space="preserve">2019nCoV* OR </w:t>
            </w:r>
          </w:p>
          <w:p w14:paraId="58B171D5" w14:textId="77777777" w:rsidR="002D2C15" w:rsidRPr="006D6457" w:rsidRDefault="002D2C15" w:rsidP="00B51D6D">
            <w:pPr>
              <w:rPr>
                <w:rFonts w:cs="Arial"/>
                <w:sz w:val="21"/>
                <w:szCs w:val="21"/>
                <w:lang w:val="en-US"/>
              </w:rPr>
            </w:pPr>
            <w:r w:rsidRPr="006D6457">
              <w:rPr>
                <w:rFonts w:cs="Arial"/>
                <w:sz w:val="21"/>
                <w:szCs w:val="21"/>
                <w:lang w:val="en-US"/>
              </w:rPr>
              <w:t xml:space="preserve">"2019 </w:t>
            </w:r>
            <w:proofErr w:type="spellStart"/>
            <w:r w:rsidRPr="006D6457">
              <w:rPr>
                <w:rFonts w:cs="Arial"/>
                <w:sz w:val="21"/>
                <w:szCs w:val="21"/>
                <w:lang w:val="en-US"/>
              </w:rPr>
              <w:t>nCoV</w:t>
            </w:r>
            <w:proofErr w:type="spellEnd"/>
            <w:r w:rsidRPr="006D6457">
              <w:rPr>
                <w:rFonts w:cs="Arial"/>
                <w:sz w:val="21"/>
                <w:szCs w:val="21"/>
                <w:lang w:val="en-US"/>
              </w:rPr>
              <w:t xml:space="preserve">*" OR </w:t>
            </w:r>
          </w:p>
          <w:p w14:paraId="2A68EF11" w14:textId="77777777" w:rsidR="002D2C15" w:rsidRPr="00BA2F43" w:rsidRDefault="002D2C15" w:rsidP="00B51D6D">
            <w:pPr>
              <w:rPr>
                <w:rFonts w:cs="Arial"/>
                <w:sz w:val="21"/>
                <w:szCs w:val="21"/>
                <w:lang w:val="en-US"/>
              </w:rPr>
            </w:pPr>
            <w:r w:rsidRPr="00BA2F43">
              <w:rPr>
                <w:rFonts w:cs="Arial"/>
                <w:sz w:val="21"/>
                <w:szCs w:val="21"/>
                <w:lang w:val="en-US"/>
              </w:rPr>
              <w:t xml:space="preserve">sars2* OR </w:t>
            </w:r>
          </w:p>
          <w:p w14:paraId="16A82E3A" w14:textId="77777777" w:rsidR="002D2C15" w:rsidRPr="006D6457" w:rsidRDefault="002D2C15" w:rsidP="00B51D6D">
            <w:pPr>
              <w:rPr>
                <w:rFonts w:cs="Arial"/>
                <w:sz w:val="21"/>
                <w:szCs w:val="21"/>
              </w:rPr>
            </w:pPr>
            <w:r w:rsidRPr="006D6457">
              <w:rPr>
                <w:rFonts w:cs="Arial"/>
                <w:sz w:val="21"/>
                <w:szCs w:val="21"/>
              </w:rPr>
              <w:t>"</w:t>
            </w:r>
            <w:proofErr w:type="spellStart"/>
            <w:r w:rsidRPr="006D6457">
              <w:rPr>
                <w:rFonts w:cs="Arial"/>
                <w:sz w:val="21"/>
                <w:szCs w:val="21"/>
              </w:rPr>
              <w:t>sars</w:t>
            </w:r>
            <w:proofErr w:type="spellEnd"/>
            <w:r w:rsidRPr="006D6457">
              <w:rPr>
                <w:rFonts w:cs="Arial"/>
                <w:sz w:val="21"/>
                <w:szCs w:val="21"/>
              </w:rPr>
              <w:t xml:space="preserve"> 2*" </w:t>
            </w:r>
          </w:p>
        </w:tc>
      </w:tr>
    </w:tbl>
    <w:p w14:paraId="6861B4C2" w14:textId="77777777" w:rsidR="002D2C15" w:rsidRPr="006D6457" w:rsidRDefault="002D2C15" w:rsidP="002D2C15">
      <w:pPr>
        <w:rPr>
          <w:sz w:val="28"/>
          <w:szCs w:val="28"/>
        </w:rPr>
      </w:pPr>
      <w:r w:rsidRPr="006D6457">
        <w:rPr>
          <w:sz w:val="28"/>
          <w:szCs w:val="28"/>
        </w:rPr>
        <w:t>I</w:t>
      </w:r>
    </w:p>
    <w:tbl>
      <w:tblPr>
        <w:tblStyle w:val="TableGrid"/>
        <w:tblW w:w="6629" w:type="dxa"/>
        <w:tblLook w:val="01E0" w:firstRow="1" w:lastRow="1" w:firstColumn="1" w:lastColumn="1" w:noHBand="0" w:noVBand="0"/>
      </w:tblPr>
      <w:tblGrid>
        <w:gridCol w:w="6629"/>
      </w:tblGrid>
      <w:tr w:rsidR="002D2C15" w:rsidRPr="00017080" w14:paraId="7CEBF10F" w14:textId="77777777" w:rsidTr="00B51D6D">
        <w:tc>
          <w:tcPr>
            <w:tcW w:w="6629" w:type="dxa"/>
            <w:tcBorders>
              <w:top w:val="single" w:sz="4" w:space="0" w:color="auto"/>
              <w:left w:val="single" w:sz="4" w:space="0" w:color="auto"/>
              <w:bottom w:val="single" w:sz="4" w:space="0" w:color="auto"/>
              <w:right w:val="single" w:sz="4" w:space="0" w:color="auto"/>
            </w:tcBorders>
            <w:hideMark/>
          </w:tcPr>
          <w:p w14:paraId="07605B7C" w14:textId="77777777" w:rsidR="002D2C15" w:rsidRPr="006D6457" w:rsidRDefault="002D2C15" w:rsidP="00B51D6D">
            <w:pPr>
              <w:rPr>
                <w:rFonts w:cs="Arial"/>
                <w:sz w:val="21"/>
                <w:szCs w:val="21"/>
                <w:lang w:val="en-US"/>
              </w:rPr>
            </w:pPr>
            <w:r w:rsidRPr="006D6457">
              <w:rPr>
                <w:rFonts w:cs="Arial"/>
                <w:sz w:val="21"/>
                <w:szCs w:val="21"/>
                <w:lang w:val="en-US"/>
              </w:rPr>
              <w:t xml:space="preserve">"Antigen*" OR </w:t>
            </w:r>
          </w:p>
          <w:p w14:paraId="16A251D5" w14:textId="77777777" w:rsidR="002D2C15" w:rsidRPr="006D6457" w:rsidRDefault="002D2C15" w:rsidP="00B51D6D">
            <w:pPr>
              <w:rPr>
                <w:rFonts w:cs="Arial"/>
                <w:sz w:val="21"/>
                <w:szCs w:val="21"/>
                <w:lang w:val="en-US"/>
              </w:rPr>
            </w:pPr>
            <w:r w:rsidRPr="006D6457">
              <w:rPr>
                <w:rFonts w:cs="Arial"/>
                <w:sz w:val="21"/>
                <w:szCs w:val="21"/>
                <w:lang w:val="en-US"/>
              </w:rPr>
              <w:t>"Lateral flow*" OR</w:t>
            </w:r>
          </w:p>
          <w:p w14:paraId="6C2A0B2E" w14:textId="77777777" w:rsidR="002D2C15" w:rsidRPr="006D6457" w:rsidRDefault="002D2C15" w:rsidP="00B51D6D">
            <w:pPr>
              <w:rPr>
                <w:rFonts w:cs="Arial"/>
                <w:sz w:val="21"/>
                <w:szCs w:val="21"/>
                <w:lang w:val="en-US"/>
              </w:rPr>
            </w:pPr>
            <w:r w:rsidRPr="006D6457">
              <w:rPr>
                <w:rFonts w:cs="Arial"/>
                <w:sz w:val="21"/>
                <w:szCs w:val="21"/>
                <w:lang w:val="en-US"/>
              </w:rPr>
              <w:t xml:space="preserve">"RDT" OR </w:t>
            </w:r>
          </w:p>
          <w:p w14:paraId="23FBC365" w14:textId="77777777" w:rsidR="002D2C15" w:rsidRPr="006D6457" w:rsidRDefault="002D2C15" w:rsidP="00B51D6D">
            <w:pPr>
              <w:rPr>
                <w:rFonts w:cs="Arial"/>
                <w:sz w:val="21"/>
                <w:szCs w:val="21"/>
                <w:lang w:val="en-US"/>
              </w:rPr>
            </w:pPr>
            <w:r w:rsidRPr="006D6457">
              <w:rPr>
                <w:rFonts w:cs="Arial"/>
                <w:sz w:val="21"/>
                <w:szCs w:val="21"/>
                <w:lang w:val="en-US"/>
              </w:rPr>
              <w:t xml:space="preserve">"Rapid test*" OR </w:t>
            </w:r>
          </w:p>
          <w:p w14:paraId="0C83D1E3" w14:textId="77777777" w:rsidR="002D2C15" w:rsidRPr="006D6457" w:rsidRDefault="002D2C15" w:rsidP="00B51D6D">
            <w:pPr>
              <w:rPr>
                <w:rFonts w:cs="Arial"/>
                <w:sz w:val="21"/>
                <w:szCs w:val="21"/>
                <w:lang w:val="en-US"/>
              </w:rPr>
            </w:pPr>
            <w:r w:rsidRPr="006D6457">
              <w:rPr>
                <w:rFonts w:cs="Arial"/>
                <w:sz w:val="21"/>
                <w:szCs w:val="21"/>
                <w:lang w:val="en-US"/>
              </w:rPr>
              <w:t xml:space="preserve">"Bedside*" OR </w:t>
            </w:r>
          </w:p>
          <w:p w14:paraId="38179CED" w14:textId="77777777" w:rsidR="002D2C15" w:rsidRPr="006D6457" w:rsidRDefault="002D2C15" w:rsidP="00B51D6D">
            <w:pPr>
              <w:rPr>
                <w:rFonts w:cs="Arial"/>
                <w:sz w:val="21"/>
                <w:szCs w:val="21"/>
                <w:lang w:val="en-US"/>
              </w:rPr>
            </w:pPr>
            <w:r w:rsidRPr="006D6457">
              <w:rPr>
                <w:rFonts w:cs="Arial"/>
                <w:sz w:val="21"/>
                <w:szCs w:val="21"/>
                <w:lang w:val="en-US"/>
              </w:rPr>
              <w:t>"Point of Care*"</w:t>
            </w:r>
          </w:p>
        </w:tc>
      </w:tr>
    </w:tbl>
    <w:p w14:paraId="028BB8CD" w14:textId="77777777" w:rsidR="002D2C15" w:rsidRPr="006D6457" w:rsidRDefault="002D2C15" w:rsidP="002D2C15">
      <w:pPr>
        <w:rPr>
          <w:rFonts w:eastAsiaTheme="majorEastAsia" w:cs="Arial"/>
          <w:b/>
          <w:bCs/>
          <w:sz w:val="21"/>
          <w:szCs w:val="21"/>
          <w:lang w:val="en-US" w:eastAsia="de-DE"/>
        </w:rPr>
      </w:pPr>
      <w:r w:rsidRPr="006D6457">
        <w:rPr>
          <w:rFonts w:eastAsiaTheme="majorEastAsia" w:cs="Arial"/>
          <w:b/>
          <w:bCs/>
          <w:sz w:val="21"/>
          <w:szCs w:val="21"/>
          <w:lang w:val="en-US" w:eastAsia="de-DE"/>
        </w:rPr>
        <w:t>P AND I (2225)</w:t>
      </w:r>
    </w:p>
    <w:p w14:paraId="453D36C3" w14:textId="77777777" w:rsidR="002D2C15" w:rsidRPr="006D6457" w:rsidRDefault="002D2C15" w:rsidP="002D2C15">
      <w:pPr>
        <w:rPr>
          <w:rFonts w:cs="Arial"/>
          <w:sz w:val="21"/>
          <w:szCs w:val="21"/>
          <w:lang w:val="en-US"/>
        </w:rPr>
      </w:pPr>
      <w:r w:rsidRPr="006D6457">
        <w:rPr>
          <w:rFonts w:cs="Arial"/>
          <w:sz w:val="21"/>
          <w:szCs w:val="21"/>
          <w:lang w:val="en-US"/>
        </w:rPr>
        <w:t xml:space="preserve">(covid* OR Coronavirus* OR "corona virus*" OR </w:t>
      </w:r>
      <w:proofErr w:type="spellStart"/>
      <w:r w:rsidRPr="006D6457">
        <w:rPr>
          <w:rFonts w:cs="Arial"/>
          <w:sz w:val="21"/>
          <w:szCs w:val="21"/>
          <w:lang w:val="en-US"/>
        </w:rPr>
        <w:t>ncov</w:t>
      </w:r>
      <w:proofErr w:type="spellEnd"/>
      <w:r w:rsidRPr="006D6457">
        <w:rPr>
          <w:rFonts w:cs="Arial"/>
          <w:sz w:val="21"/>
          <w:szCs w:val="21"/>
          <w:lang w:val="en-US"/>
        </w:rPr>
        <w:t xml:space="preserve">* OR "n </w:t>
      </w:r>
      <w:proofErr w:type="spellStart"/>
      <w:r w:rsidRPr="006D6457">
        <w:rPr>
          <w:rFonts w:cs="Arial"/>
          <w:sz w:val="21"/>
          <w:szCs w:val="21"/>
          <w:lang w:val="en-US"/>
        </w:rPr>
        <w:t>cov</w:t>
      </w:r>
      <w:proofErr w:type="spellEnd"/>
      <w:r w:rsidRPr="006D6457">
        <w:rPr>
          <w:rFonts w:cs="Arial"/>
          <w:sz w:val="21"/>
          <w:szCs w:val="21"/>
          <w:lang w:val="en-US"/>
        </w:rPr>
        <w:t xml:space="preserve">*" OR </w:t>
      </w:r>
      <w:proofErr w:type="spellStart"/>
      <w:r w:rsidRPr="006D6457">
        <w:rPr>
          <w:rFonts w:cs="Arial"/>
          <w:sz w:val="21"/>
          <w:szCs w:val="21"/>
          <w:lang w:val="en-US"/>
        </w:rPr>
        <w:t>sarscov</w:t>
      </w:r>
      <w:proofErr w:type="spellEnd"/>
      <w:r w:rsidRPr="006D6457">
        <w:rPr>
          <w:rFonts w:cs="Arial"/>
          <w:sz w:val="21"/>
          <w:szCs w:val="21"/>
          <w:lang w:val="en-US"/>
        </w:rPr>
        <w:t>* OR "</w:t>
      </w:r>
      <w:proofErr w:type="spellStart"/>
      <w:r w:rsidRPr="006D6457">
        <w:rPr>
          <w:rFonts w:cs="Arial"/>
          <w:sz w:val="21"/>
          <w:szCs w:val="21"/>
          <w:lang w:val="en-US"/>
        </w:rPr>
        <w:t>sars</w:t>
      </w:r>
      <w:proofErr w:type="spellEnd"/>
      <w:r w:rsidRPr="006D6457">
        <w:rPr>
          <w:rFonts w:cs="Arial"/>
          <w:sz w:val="21"/>
          <w:szCs w:val="21"/>
          <w:lang w:val="en-US"/>
        </w:rPr>
        <w:t xml:space="preserve"> </w:t>
      </w:r>
      <w:proofErr w:type="spellStart"/>
      <w:r w:rsidRPr="006D6457">
        <w:rPr>
          <w:rFonts w:cs="Arial"/>
          <w:sz w:val="21"/>
          <w:szCs w:val="21"/>
          <w:lang w:val="en-US"/>
        </w:rPr>
        <w:t>cov</w:t>
      </w:r>
      <w:proofErr w:type="spellEnd"/>
      <w:r w:rsidRPr="006D6457">
        <w:rPr>
          <w:rFonts w:cs="Arial"/>
          <w:sz w:val="21"/>
          <w:szCs w:val="21"/>
          <w:lang w:val="en-US"/>
        </w:rPr>
        <w:t xml:space="preserve">*" OR 2019nCov* OR "2019 </w:t>
      </w:r>
      <w:proofErr w:type="spellStart"/>
      <w:r w:rsidRPr="006D6457">
        <w:rPr>
          <w:rFonts w:cs="Arial"/>
          <w:sz w:val="21"/>
          <w:szCs w:val="21"/>
          <w:lang w:val="en-US"/>
        </w:rPr>
        <w:t>nCov</w:t>
      </w:r>
      <w:proofErr w:type="spellEnd"/>
      <w:r w:rsidRPr="006D6457">
        <w:rPr>
          <w:rFonts w:cs="Arial"/>
          <w:sz w:val="21"/>
          <w:szCs w:val="21"/>
          <w:lang w:val="en-US"/>
        </w:rPr>
        <w:t>*" OR sars2* OR "</w:t>
      </w:r>
      <w:proofErr w:type="spellStart"/>
      <w:r w:rsidRPr="006D6457">
        <w:rPr>
          <w:rFonts w:cs="Arial"/>
          <w:sz w:val="21"/>
          <w:szCs w:val="21"/>
          <w:lang w:val="en-US"/>
        </w:rPr>
        <w:t>sars</w:t>
      </w:r>
      <w:proofErr w:type="spellEnd"/>
      <w:r w:rsidRPr="006D6457">
        <w:rPr>
          <w:rFonts w:cs="Arial"/>
          <w:sz w:val="21"/>
          <w:szCs w:val="21"/>
          <w:lang w:val="en-US"/>
        </w:rPr>
        <w:t xml:space="preserve"> 2*")</w:t>
      </w:r>
    </w:p>
    <w:p w14:paraId="586AA9B6" w14:textId="77777777" w:rsidR="002D2C15" w:rsidRPr="006D6457" w:rsidRDefault="002D2C15" w:rsidP="002D2C15">
      <w:pPr>
        <w:rPr>
          <w:rFonts w:cs="Arial"/>
          <w:sz w:val="21"/>
          <w:szCs w:val="21"/>
          <w:lang w:val="en-US"/>
        </w:rPr>
      </w:pPr>
      <w:r w:rsidRPr="006D6457">
        <w:rPr>
          <w:rFonts w:cs="Arial"/>
          <w:sz w:val="21"/>
          <w:szCs w:val="21"/>
          <w:lang w:val="en-US"/>
        </w:rPr>
        <w:t xml:space="preserve"> AND </w:t>
      </w:r>
    </w:p>
    <w:p w14:paraId="0EFD97EB" w14:textId="77777777" w:rsidR="002D2C15" w:rsidRPr="006D6457" w:rsidRDefault="002D2C15" w:rsidP="002D2C15">
      <w:pPr>
        <w:rPr>
          <w:rFonts w:cs="Arial"/>
          <w:sz w:val="21"/>
          <w:szCs w:val="21"/>
          <w:lang w:val="en-US"/>
        </w:rPr>
      </w:pPr>
      <w:r w:rsidRPr="006D6457">
        <w:rPr>
          <w:rFonts w:cs="Arial"/>
          <w:sz w:val="21"/>
          <w:szCs w:val="21"/>
          <w:lang w:val="en-US"/>
        </w:rPr>
        <w:t>(Antigen OR "Lateral flow" OR RDT OR "Rapid test*" OR Bedside* OR "Point of Care*")</w:t>
      </w:r>
    </w:p>
    <w:p w14:paraId="31B9BBF5" w14:textId="77777777" w:rsidR="002D2C15" w:rsidRPr="006D6457" w:rsidRDefault="002D2C15" w:rsidP="002D2C15">
      <w:pPr>
        <w:rPr>
          <w:rFonts w:cs="Arial"/>
          <w:sz w:val="21"/>
          <w:szCs w:val="21"/>
          <w:lang w:val="en-US" w:eastAsia="de-DE"/>
        </w:rPr>
      </w:pPr>
      <w:r w:rsidRPr="006D6457">
        <w:rPr>
          <w:rFonts w:cs="Arial"/>
          <w:sz w:val="21"/>
          <w:szCs w:val="21"/>
          <w:lang w:val="en-US" w:eastAsia="de-DE"/>
        </w:rPr>
        <w:t xml:space="preserve"> AND </w:t>
      </w:r>
    </w:p>
    <w:p w14:paraId="3D6C7893" w14:textId="77777777" w:rsidR="002D2C15" w:rsidRPr="006D6457" w:rsidRDefault="002D2C15" w:rsidP="002D2C15">
      <w:pPr>
        <w:rPr>
          <w:rFonts w:cs="Arial"/>
          <w:sz w:val="21"/>
          <w:szCs w:val="21"/>
          <w:lang w:val="en-US" w:eastAsia="de-DE"/>
        </w:rPr>
      </w:pPr>
      <w:r w:rsidRPr="006D6457">
        <w:rPr>
          <w:rFonts w:cs="Arial"/>
          <w:sz w:val="21"/>
          <w:szCs w:val="21"/>
          <w:lang w:val="en-US" w:eastAsia="de-DE"/>
        </w:rPr>
        <w:t>(</w:t>
      </w:r>
      <w:proofErr w:type="spellStart"/>
      <w:r w:rsidRPr="006D6457">
        <w:rPr>
          <w:rFonts w:cs="Arial"/>
          <w:sz w:val="21"/>
          <w:szCs w:val="21"/>
          <w:lang w:val="en-US" w:eastAsia="de-DE"/>
        </w:rPr>
        <w:t>PUBLISHER:MedRxiv</w:t>
      </w:r>
      <w:proofErr w:type="spellEnd"/>
      <w:r w:rsidRPr="006D6457">
        <w:rPr>
          <w:rFonts w:cs="Arial"/>
          <w:sz w:val="21"/>
          <w:szCs w:val="21"/>
          <w:lang w:val="en-US" w:eastAsia="de-DE"/>
        </w:rPr>
        <w:t xml:space="preserve"> OR </w:t>
      </w:r>
      <w:proofErr w:type="spellStart"/>
      <w:r w:rsidRPr="006D6457">
        <w:rPr>
          <w:rFonts w:cs="Arial"/>
          <w:sz w:val="21"/>
          <w:szCs w:val="21"/>
          <w:lang w:val="en-US" w:eastAsia="de-DE"/>
        </w:rPr>
        <w:t>PUBLISHER:BioRxiv</w:t>
      </w:r>
      <w:proofErr w:type="spellEnd"/>
      <w:r w:rsidRPr="006D6457">
        <w:rPr>
          <w:rFonts w:cs="Arial"/>
          <w:sz w:val="21"/>
          <w:szCs w:val="21"/>
          <w:lang w:val="en-US" w:eastAsia="de-DE"/>
        </w:rPr>
        <w:t>)</w:t>
      </w:r>
    </w:p>
    <w:p w14:paraId="055A7FB0" w14:textId="77777777" w:rsidR="002D2C15" w:rsidRPr="003F734A" w:rsidRDefault="002D2C15" w:rsidP="002D2C15">
      <w:pPr>
        <w:rPr>
          <w:rFonts w:cs="Arial"/>
          <w:sz w:val="21"/>
          <w:szCs w:val="21"/>
          <w:lang w:val="en-US" w:eastAsia="de-DE"/>
        </w:rPr>
      </w:pPr>
      <w:r w:rsidRPr="006D6457">
        <w:rPr>
          <w:rFonts w:cs="Arial"/>
          <w:sz w:val="21"/>
          <w:szCs w:val="21"/>
          <w:lang w:val="en-US" w:eastAsia="de-DE"/>
        </w:rPr>
        <w:t xml:space="preserve"> </w:t>
      </w:r>
      <w:r w:rsidRPr="003F734A">
        <w:rPr>
          <w:rFonts w:cs="Arial"/>
          <w:sz w:val="21"/>
          <w:szCs w:val="21"/>
          <w:lang w:val="en-US" w:eastAsia="de-DE"/>
        </w:rPr>
        <w:t xml:space="preserve">AND </w:t>
      </w:r>
    </w:p>
    <w:p w14:paraId="7BE14612" w14:textId="6D1D10FC" w:rsidR="002D2C15" w:rsidRPr="003F734A" w:rsidRDefault="002D2C15" w:rsidP="002D2C15">
      <w:pPr>
        <w:rPr>
          <w:rFonts w:cs="Arial"/>
          <w:sz w:val="21"/>
          <w:szCs w:val="21"/>
          <w:lang w:val="en-US"/>
        </w:rPr>
      </w:pPr>
      <w:r w:rsidRPr="003F734A">
        <w:rPr>
          <w:rFonts w:cs="Arial"/>
          <w:sz w:val="21"/>
          <w:szCs w:val="21"/>
          <w:lang w:val="en-US"/>
        </w:rPr>
        <w:t>FIRST_PDATE:[2019-12-01 TO 2022-11-07]</w:t>
      </w:r>
    </w:p>
    <w:p w14:paraId="7E68A5BF" w14:textId="43C6DBDC" w:rsidR="006D6457" w:rsidRDefault="006D6457">
      <w:pPr>
        <w:rPr>
          <w:lang w:val="en-US"/>
        </w:rPr>
      </w:pPr>
      <w:r>
        <w:rPr>
          <w:lang w:val="en-US"/>
        </w:rPr>
        <w:br w:type="page"/>
      </w:r>
    </w:p>
    <w:p w14:paraId="3EED6A47" w14:textId="635B5F00" w:rsidR="002D2C15" w:rsidRDefault="003E777D" w:rsidP="003E777D">
      <w:pPr>
        <w:pStyle w:val="Heading1"/>
        <w:rPr>
          <w:lang w:val="en-US"/>
        </w:rPr>
      </w:pPr>
      <w:bookmarkStart w:id="11" w:name="_Toc152845907"/>
      <w:r>
        <w:rPr>
          <w:lang w:val="en-US"/>
        </w:rPr>
        <w:lastRenderedPageBreak/>
        <w:t>Supplement Text 3 – QUADAS assessment interpretation guide</w:t>
      </w:r>
      <w:bookmarkEnd w:id="11"/>
    </w:p>
    <w:p w14:paraId="2A96A635" w14:textId="77777777" w:rsidR="003E777D" w:rsidRDefault="003E777D" w:rsidP="003E777D">
      <w:pPr>
        <w:spacing w:line="360" w:lineRule="auto"/>
        <w:jc w:val="both"/>
        <w:rPr>
          <w:rFonts w:cstheme="minorHAnsi"/>
          <w:b/>
          <w:bCs/>
          <w:lang w:val="en-US"/>
        </w:rPr>
      </w:pPr>
    </w:p>
    <w:p w14:paraId="20C05EA6" w14:textId="1B912720" w:rsidR="003E777D" w:rsidRPr="003E777D" w:rsidRDefault="003E777D" w:rsidP="003E777D">
      <w:pPr>
        <w:spacing w:line="360" w:lineRule="auto"/>
        <w:jc w:val="both"/>
        <w:rPr>
          <w:rFonts w:cstheme="minorHAnsi"/>
          <w:b/>
          <w:bCs/>
          <w:lang w:val="en-US"/>
        </w:rPr>
      </w:pPr>
      <w:r w:rsidRPr="003E777D">
        <w:rPr>
          <w:rFonts w:cstheme="minorHAnsi"/>
          <w:b/>
          <w:bCs/>
          <w:lang w:val="en-US"/>
        </w:rPr>
        <w:t xml:space="preserve">Domain 1 Patient Selection: </w:t>
      </w:r>
    </w:p>
    <w:p w14:paraId="0EFBCF37" w14:textId="77777777" w:rsidR="003E777D" w:rsidRPr="003E777D" w:rsidRDefault="003E777D" w:rsidP="003E777D">
      <w:pPr>
        <w:spacing w:line="360" w:lineRule="auto"/>
        <w:jc w:val="both"/>
        <w:rPr>
          <w:rFonts w:cstheme="minorHAnsi"/>
          <w:lang w:val="en-US"/>
        </w:rPr>
      </w:pPr>
      <w:r w:rsidRPr="003E777D">
        <w:rPr>
          <w:rFonts w:cstheme="minorHAnsi"/>
          <w:u w:val="single"/>
          <w:lang w:val="en-US"/>
        </w:rPr>
        <w:t>Risk of Bias:</w:t>
      </w:r>
      <w:r w:rsidRPr="003E777D">
        <w:rPr>
          <w:rFonts w:cstheme="minorHAnsi"/>
          <w:lang w:val="en-US"/>
        </w:rPr>
        <w:t xml:space="preserve"> Could the selection of patients have introduced bias?</w:t>
      </w:r>
    </w:p>
    <w:p w14:paraId="6D491A57" w14:textId="77777777" w:rsidR="003E777D" w:rsidRPr="003E777D" w:rsidRDefault="003E777D" w:rsidP="003E777D">
      <w:pPr>
        <w:spacing w:line="360" w:lineRule="auto"/>
        <w:jc w:val="both"/>
        <w:rPr>
          <w:rFonts w:cstheme="minorHAnsi"/>
          <w:lang w:val="en-US"/>
        </w:rPr>
      </w:pPr>
      <w:r w:rsidRPr="003E777D">
        <w:rPr>
          <w:rFonts w:cstheme="minorHAnsi"/>
          <w:lang w:val="en-US"/>
        </w:rPr>
        <w:t>•</w:t>
      </w:r>
      <w:r w:rsidRPr="003E777D">
        <w:rPr>
          <w:rFonts w:cstheme="minorHAnsi"/>
          <w:lang w:val="en-US"/>
        </w:rPr>
        <w:tab/>
        <w:t>Signaling question 1: Was a consecutive or random sample of patients or specimens enrolled?</w:t>
      </w:r>
    </w:p>
    <w:p w14:paraId="28845FA3" w14:textId="77777777" w:rsidR="003E777D" w:rsidRPr="003E777D" w:rsidRDefault="003E777D" w:rsidP="003E777D">
      <w:pPr>
        <w:spacing w:line="360" w:lineRule="auto"/>
        <w:jc w:val="both"/>
        <w:rPr>
          <w:rFonts w:cstheme="minorHAnsi"/>
          <w:lang w:val="en-US"/>
        </w:rPr>
      </w:pPr>
      <w:r w:rsidRPr="003E777D">
        <w:rPr>
          <w:rFonts w:cstheme="minorHAnsi"/>
          <w:lang w:val="en-US"/>
        </w:rPr>
        <w:t>We scored ‘yes’ if the study enrolled a consecutive or random sample of eligible patients; ‘no’ if the study selected patients by convenience, and ‘unclear’ if the study did not report the manner of patient selection or unable to tell.</w:t>
      </w:r>
    </w:p>
    <w:p w14:paraId="7955B692" w14:textId="77777777" w:rsidR="003E777D" w:rsidRPr="003E777D" w:rsidRDefault="003E777D" w:rsidP="003E777D">
      <w:pPr>
        <w:spacing w:line="360" w:lineRule="auto"/>
        <w:jc w:val="both"/>
        <w:rPr>
          <w:rFonts w:cstheme="minorHAnsi"/>
          <w:lang w:val="en-US"/>
        </w:rPr>
      </w:pPr>
      <w:r w:rsidRPr="003E777D">
        <w:rPr>
          <w:rFonts w:cstheme="minorHAnsi"/>
          <w:lang w:val="en-US"/>
        </w:rPr>
        <w:t>•</w:t>
      </w:r>
      <w:r w:rsidRPr="003E777D">
        <w:rPr>
          <w:rFonts w:cstheme="minorHAnsi"/>
          <w:lang w:val="en-US"/>
        </w:rPr>
        <w:tab/>
        <w:t xml:space="preserve">Signaling question 2: Was a case-control design avoided? </w:t>
      </w:r>
    </w:p>
    <w:p w14:paraId="6849EE61" w14:textId="77777777" w:rsidR="003E777D" w:rsidRPr="003E777D" w:rsidRDefault="003E777D" w:rsidP="003E777D">
      <w:pPr>
        <w:spacing w:line="360" w:lineRule="auto"/>
        <w:jc w:val="both"/>
        <w:rPr>
          <w:rFonts w:cstheme="minorHAnsi"/>
          <w:lang w:val="en-US"/>
        </w:rPr>
      </w:pPr>
      <w:r w:rsidRPr="003E777D">
        <w:rPr>
          <w:rFonts w:cstheme="minorHAnsi"/>
          <w:lang w:val="en-US"/>
        </w:rPr>
        <w:t>We scored ‘no’ if the study selected samples with a known rt-PCR results. We scored ‘yes’ if the status of the samples was unknown. We scored ‘unclear’ if we could not tell.</w:t>
      </w:r>
    </w:p>
    <w:p w14:paraId="774AFC71" w14:textId="77777777" w:rsidR="003E777D" w:rsidRPr="003E777D" w:rsidRDefault="003E777D" w:rsidP="003E777D">
      <w:pPr>
        <w:spacing w:line="360" w:lineRule="auto"/>
        <w:jc w:val="both"/>
        <w:rPr>
          <w:rFonts w:cstheme="minorHAnsi"/>
          <w:lang w:val="en-US"/>
        </w:rPr>
      </w:pPr>
      <w:r w:rsidRPr="003E777D">
        <w:rPr>
          <w:rFonts w:cstheme="minorHAnsi"/>
          <w:lang w:val="en-US"/>
        </w:rPr>
        <w:t>•</w:t>
      </w:r>
      <w:r w:rsidRPr="003E777D">
        <w:rPr>
          <w:rFonts w:cstheme="minorHAnsi"/>
          <w:lang w:val="en-US"/>
        </w:rPr>
        <w:tab/>
        <w:t>Signaling question 3: Did the study avoid inappropriate exclusions?</w:t>
      </w:r>
    </w:p>
    <w:p w14:paraId="12C368E6" w14:textId="77777777" w:rsidR="003E777D" w:rsidRPr="00AC0470" w:rsidRDefault="003E777D" w:rsidP="003E777D">
      <w:pPr>
        <w:spacing w:line="360" w:lineRule="auto"/>
        <w:jc w:val="both"/>
        <w:rPr>
          <w:rFonts w:cstheme="minorHAnsi"/>
          <w:lang w:val="en-US"/>
        </w:rPr>
      </w:pPr>
      <w:r w:rsidRPr="00AC0470">
        <w:rPr>
          <w:rFonts w:cstheme="minorHAnsi"/>
          <w:lang w:val="en-US"/>
        </w:rPr>
        <w:t xml:space="preserve">We scored ’yes’ to studies which included all participants regardless of symptoms or duration of symptoms. We scored ’no’ if studies excluded participants </w:t>
      </w:r>
      <w:proofErr w:type="gramStart"/>
      <w:r w:rsidRPr="00AC0470">
        <w:rPr>
          <w:rFonts w:cstheme="minorHAnsi"/>
          <w:lang w:val="en-US"/>
        </w:rPr>
        <w:t>on the basis of</w:t>
      </w:r>
      <w:proofErr w:type="gramEnd"/>
      <w:r w:rsidRPr="00AC0470">
        <w:rPr>
          <w:rFonts w:cstheme="minorHAnsi"/>
          <w:lang w:val="en-US"/>
        </w:rPr>
        <w:t xml:space="preserve"> symptoms or duration of symptoms. We scored ’unclear’ if we could not tell.</w:t>
      </w:r>
    </w:p>
    <w:p w14:paraId="6D9BFE1E" w14:textId="77777777" w:rsidR="003E777D" w:rsidRPr="00AC0470" w:rsidRDefault="003E777D" w:rsidP="003E777D">
      <w:pPr>
        <w:spacing w:line="360" w:lineRule="auto"/>
        <w:jc w:val="both"/>
        <w:rPr>
          <w:rFonts w:cstheme="minorHAnsi"/>
          <w:lang w:val="en-US"/>
        </w:rPr>
      </w:pPr>
      <w:r w:rsidRPr="00AC0470">
        <w:rPr>
          <w:rFonts w:cstheme="minorHAnsi"/>
          <w:lang w:val="en-US"/>
        </w:rPr>
        <w:t>We considered any studies that included patients based on a previous positive rt-PCR results as monitoring studies and thus judged the applicability of the study population to be of ‘high concern’ (see below).</w:t>
      </w:r>
    </w:p>
    <w:p w14:paraId="1470B871" w14:textId="77777777" w:rsidR="003E777D" w:rsidRPr="00B5096E" w:rsidRDefault="003E777D" w:rsidP="003E777D">
      <w:pPr>
        <w:pStyle w:val="ListParagraph"/>
        <w:numPr>
          <w:ilvl w:val="0"/>
          <w:numId w:val="8"/>
        </w:numPr>
        <w:spacing w:line="360" w:lineRule="auto"/>
        <w:jc w:val="both"/>
        <w:rPr>
          <w:rFonts w:cstheme="minorHAnsi"/>
        </w:rPr>
      </w:pPr>
      <w:r w:rsidRPr="00B5096E">
        <w:rPr>
          <w:rFonts w:cstheme="minorHAnsi"/>
        </w:rPr>
        <w:t>Risk of Bias was scored ‘low concern’ if studies score ‘yes’ on all the question, ‘unclear concern’ if questions are answered with ‘yes’ and ‘unclear’, ‘intermediate concern’ if one question is answered with ‘no’, ‘high concern’ if two or more questions are answered with ‘no’.</w:t>
      </w:r>
    </w:p>
    <w:p w14:paraId="43607E20"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Applicability:</w:t>
      </w:r>
      <w:r w:rsidRPr="00AC0470">
        <w:rPr>
          <w:rFonts w:cstheme="minorHAnsi"/>
          <w:lang w:val="en-US"/>
        </w:rPr>
        <w:t xml:space="preserve"> Are there concerns that the included patients and setting do not match the review question?</w:t>
      </w:r>
    </w:p>
    <w:p w14:paraId="67D35881" w14:textId="77777777" w:rsidR="003E777D" w:rsidRPr="00AC0470" w:rsidRDefault="003E777D" w:rsidP="003E777D">
      <w:pPr>
        <w:spacing w:line="360" w:lineRule="auto"/>
        <w:jc w:val="both"/>
        <w:rPr>
          <w:rFonts w:cstheme="minorHAnsi"/>
          <w:lang w:val="en-US"/>
        </w:rPr>
      </w:pPr>
      <w:r w:rsidRPr="00AC0470">
        <w:rPr>
          <w:rFonts w:cstheme="minorHAnsi"/>
          <w:lang w:val="en-US"/>
        </w:rPr>
        <w:lastRenderedPageBreak/>
        <w:t>We were interested in how Ag-RDT performs in patients whose specimens were evaluated as they would be in routine practice. We scored ’low concern’ if the study was conducted in a routine practice setting. We scored ‘high concern’ if Ag-RDT were evaluated for end of quarantine evaluation or monitoring. We scored ‘unclear’ if we could not tell.</w:t>
      </w:r>
    </w:p>
    <w:p w14:paraId="31F7469F" w14:textId="77777777" w:rsidR="003E777D" w:rsidRPr="00AC0470" w:rsidRDefault="003E777D" w:rsidP="003E777D">
      <w:pPr>
        <w:spacing w:line="360" w:lineRule="auto"/>
        <w:jc w:val="both"/>
        <w:rPr>
          <w:rFonts w:cstheme="minorHAnsi"/>
          <w:lang w:val="en-US"/>
        </w:rPr>
      </w:pPr>
    </w:p>
    <w:p w14:paraId="765D21F7" w14:textId="77777777" w:rsidR="003E777D" w:rsidRPr="00AC0470" w:rsidRDefault="003E777D" w:rsidP="003E777D">
      <w:pPr>
        <w:spacing w:line="360" w:lineRule="auto"/>
        <w:jc w:val="both"/>
        <w:rPr>
          <w:rFonts w:cstheme="minorHAnsi"/>
          <w:lang w:val="en-US"/>
        </w:rPr>
      </w:pPr>
    </w:p>
    <w:p w14:paraId="6DED099F" w14:textId="77777777" w:rsidR="003E777D" w:rsidRPr="00AC0470" w:rsidRDefault="003E777D" w:rsidP="003E777D">
      <w:pPr>
        <w:spacing w:line="360" w:lineRule="auto"/>
        <w:jc w:val="both"/>
        <w:rPr>
          <w:rFonts w:cstheme="minorHAnsi"/>
          <w:b/>
          <w:bCs/>
          <w:lang w:val="en-US"/>
        </w:rPr>
      </w:pPr>
      <w:r w:rsidRPr="00AC0470">
        <w:rPr>
          <w:rFonts w:cstheme="minorHAnsi"/>
          <w:b/>
          <w:bCs/>
          <w:lang w:val="en-US"/>
        </w:rPr>
        <w:t>Domain 2: Index Test</w:t>
      </w:r>
    </w:p>
    <w:p w14:paraId="39971392"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Risk of Bias:</w:t>
      </w:r>
      <w:r w:rsidRPr="00AC0470">
        <w:rPr>
          <w:rFonts w:cstheme="minorHAnsi"/>
          <w:lang w:val="en-US"/>
        </w:rPr>
        <w:t xml:space="preserve"> Could the conduct or interpretation of the index test have introduced bias?</w:t>
      </w:r>
    </w:p>
    <w:p w14:paraId="73D696C9"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1: Were the index test results interpreted with knowledge of the results of the reference standard?</w:t>
      </w:r>
    </w:p>
    <w:p w14:paraId="0A63998E" w14:textId="77777777" w:rsidR="003E777D" w:rsidRPr="00AC0470" w:rsidRDefault="003E777D" w:rsidP="003E777D">
      <w:pPr>
        <w:spacing w:line="360" w:lineRule="auto"/>
        <w:jc w:val="both"/>
        <w:rPr>
          <w:rFonts w:cstheme="minorHAnsi"/>
          <w:lang w:val="en-US"/>
        </w:rPr>
      </w:pPr>
      <w:r w:rsidRPr="00AC0470">
        <w:rPr>
          <w:rFonts w:cstheme="minorHAnsi"/>
          <w:lang w:val="en-US"/>
        </w:rPr>
        <w:t>We answered ’yes’ if the study interpreted the result of Ag-RDT blinded to the result of the reference standard or for studies in which Ag-RDT was performed on fresh specimens, since reference standard results would be unavailable at the time of test interpretation. We answered ’no’ if the study did not interpret the result of Ag-RDT blinded to the result of the reference standard. We answered ’unclear’ if stored specimens were tested or we could not tell if the index test results were interpreted without knowledge of the reference standard results.</w:t>
      </w:r>
    </w:p>
    <w:p w14:paraId="2A068BDE"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2: If a threshold was used, was it prespecified?</w:t>
      </w:r>
    </w:p>
    <w:p w14:paraId="58308EBA" w14:textId="77777777" w:rsidR="003E777D" w:rsidRPr="00AC0470" w:rsidRDefault="003E777D" w:rsidP="003E777D">
      <w:pPr>
        <w:spacing w:line="360" w:lineRule="auto"/>
        <w:jc w:val="both"/>
        <w:rPr>
          <w:rFonts w:cstheme="minorHAnsi"/>
          <w:lang w:val="en-US"/>
        </w:rPr>
      </w:pPr>
      <w:r w:rsidRPr="00AC0470">
        <w:rPr>
          <w:rFonts w:cstheme="minorHAnsi"/>
          <w:lang w:val="en-US"/>
        </w:rPr>
        <w:t>We answered ’yes’ if the threshold was prespecified or if the tests was performed by IFU. We scored ’no’ if the threshold was not prespecified, and ’unclear’ if we could not determine if the threshold was prespecified or not.</w:t>
      </w:r>
    </w:p>
    <w:p w14:paraId="59E04F8F" w14:textId="77777777" w:rsidR="003E777D" w:rsidRPr="005B1948" w:rsidRDefault="003E777D" w:rsidP="003E777D">
      <w:pPr>
        <w:pStyle w:val="ListParagraph"/>
        <w:numPr>
          <w:ilvl w:val="0"/>
          <w:numId w:val="1"/>
        </w:numPr>
        <w:spacing w:line="360" w:lineRule="auto"/>
        <w:jc w:val="both"/>
        <w:rPr>
          <w:rFonts w:cstheme="minorHAnsi"/>
        </w:rPr>
      </w:pPr>
      <w:r w:rsidRPr="00F2578C">
        <w:rPr>
          <w:rFonts w:cstheme="minorHAnsi"/>
        </w:rPr>
        <w:t xml:space="preserve">Risk of Bias </w:t>
      </w:r>
      <w:r>
        <w:rPr>
          <w:rFonts w:cstheme="minorHAnsi"/>
        </w:rPr>
        <w:t>was</w:t>
      </w:r>
      <w:r w:rsidRPr="00F2578C">
        <w:rPr>
          <w:rFonts w:cstheme="minorHAnsi"/>
        </w:rPr>
        <w:t xml:space="preserve"> scored ‘low concern’ if studies score ‘yes’ on all the question, ‘unclear concern’ if questions are answered with ‘yes’ and ‘unclear’, ‘intermediate concern’ if one question is answered with ‘no’, ‘high concern’ if two or more questions are answered with ‘no’.</w:t>
      </w:r>
    </w:p>
    <w:p w14:paraId="0D590090"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Applicability:</w:t>
      </w:r>
      <w:r w:rsidRPr="00AC0470">
        <w:rPr>
          <w:rFonts w:cstheme="minorHAnsi"/>
          <w:lang w:val="en-US"/>
        </w:rPr>
        <w:t xml:space="preserve"> Are there concerns that the index test, its conduct, or its interpretation differ from the review question? If index test methods vary from those specified in the review question, concerns about applicability may exist. We judged ’high concern’ if the test procedure was </w:t>
      </w:r>
      <w:r w:rsidRPr="00AC0470">
        <w:rPr>
          <w:rFonts w:cstheme="minorHAnsi"/>
          <w:lang w:val="en-US"/>
        </w:rPr>
        <w:lastRenderedPageBreak/>
        <w:t>inconsistent with the manufacturer recommendations, ’low concern’ if the test procedure was consistent with the manufacturer recommendations, and ’unclear concern’ if we could not tell.</w:t>
      </w:r>
    </w:p>
    <w:p w14:paraId="2A773F19" w14:textId="77777777" w:rsidR="003E777D" w:rsidRPr="00AC0470" w:rsidRDefault="003E777D" w:rsidP="003E777D">
      <w:pPr>
        <w:spacing w:line="360" w:lineRule="auto"/>
        <w:jc w:val="both"/>
        <w:rPr>
          <w:rFonts w:cstheme="minorHAnsi"/>
          <w:lang w:val="en-US"/>
        </w:rPr>
      </w:pPr>
    </w:p>
    <w:p w14:paraId="3BBC710F" w14:textId="77777777" w:rsidR="003E777D" w:rsidRPr="00AC0470" w:rsidRDefault="003E777D" w:rsidP="003E777D">
      <w:pPr>
        <w:spacing w:line="360" w:lineRule="auto"/>
        <w:jc w:val="both"/>
        <w:rPr>
          <w:rFonts w:cstheme="minorHAnsi"/>
          <w:b/>
          <w:bCs/>
          <w:lang w:val="en-US"/>
        </w:rPr>
      </w:pPr>
      <w:r w:rsidRPr="00AC0470">
        <w:rPr>
          <w:rFonts w:cstheme="minorHAnsi"/>
          <w:b/>
          <w:bCs/>
          <w:lang w:val="en-US"/>
        </w:rPr>
        <w:t>Domain 3: Reference Standard</w:t>
      </w:r>
    </w:p>
    <w:p w14:paraId="474A1129"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Risk of Bias:</w:t>
      </w:r>
      <w:r w:rsidRPr="00AC0470">
        <w:rPr>
          <w:rFonts w:cstheme="minorHAnsi"/>
          <w:lang w:val="en-US"/>
        </w:rPr>
        <w:t xml:space="preserve"> Could the reference standard, its conduct, or its interpretation have introduced bias?</w:t>
      </w:r>
    </w:p>
    <w:p w14:paraId="7F811B05"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1: Is the reference standard likely to correctly classify the target condition?</w:t>
      </w:r>
    </w:p>
    <w:p w14:paraId="16F699D0" w14:textId="77777777" w:rsidR="003E777D" w:rsidRPr="00AC0470" w:rsidRDefault="003E777D" w:rsidP="003E777D">
      <w:pPr>
        <w:spacing w:line="360" w:lineRule="auto"/>
        <w:jc w:val="both"/>
        <w:rPr>
          <w:rFonts w:cstheme="minorHAnsi"/>
          <w:lang w:val="en-US"/>
        </w:rPr>
      </w:pPr>
      <w:r w:rsidRPr="00AC0470">
        <w:rPr>
          <w:rFonts w:cstheme="minorHAnsi"/>
          <w:lang w:val="en-US"/>
        </w:rPr>
        <w:t>Viral culture is considered the gold standard for SARS-CoV-2 detection. Since viral culture is available in research settings only, NAAT is the considered routine standard for SARS-CoV-2 testing. However, the accuracy of this reference standard is not 100%, especially late in the disease, where it varies widely across the different non-respiratory samples and may detect non-viable virus Still, given that viral loads measured in NAATs correlate well with Antigen, we scored ‘yes’ for all studies using a NAAT as reference standard.</w:t>
      </w:r>
    </w:p>
    <w:p w14:paraId="0D7771F2"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2: Were the reference standard results interpreted without knowledge of the results of the index test?</w:t>
      </w:r>
    </w:p>
    <w:p w14:paraId="3A5AF8ED" w14:textId="77777777" w:rsidR="003E777D" w:rsidRDefault="003E777D" w:rsidP="003E777D">
      <w:pPr>
        <w:spacing w:line="360" w:lineRule="auto"/>
        <w:jc w:val="both"/>
        <w:rPr>
          <w:rFonts w:cstheme="minorHAnsi"/>
        </w:rPr>
      </w:pPr>
      <w:r w:rsidRPr="00AC0470">
        <w:rPr>
          <w:rFonts w:cstheme="minorHAnsi"/>
          <w:lang w:val="en-US"/>
        </w:rPr>
        <w:t xml:space="preserve">We scored ‘yes’ if the test was performed ahead of the Ag-RDT or blinding was specifically reported. </w:t>
      </w:r>
      <w:proofErr w:type="spellStart"/>
      <w:r>
        <w:rPr>
          <w:rFonts w:cstheme="minorHAnsi"/>
        </w:rPr>
        <w:t>We</w:t>
      </w:r>
      <w:proofErr w:type="spellEnd"/>
      <w:r>
        <w:rPr>
          <w:rFonts w:cstheme="minorHAnsi"/>
        </w:rPr>
        <w:t xml:space="preserve"> </w:t>
      </w:r>
      <w:proofErr w:type="spellStart"/>
      <w:r>
        <w:rPr>
          <w:rFonts w:cstheme="minorHAnsi"/>
        </w:rPr>
        <w:t>scored</w:t>
      </w:r>
      <w:proofErr w:type="spellEnd"/>
      <w:r>
        <w:rPr>
          <w:rFonts w:cstheme="minorHAnsi"/>
        </w:rPr>
        <w:t xml:space="preserve"> ‘</w:t>
      </w:r>
      <w:proofErr w:type="spellStart"/>
      <w:r>
        <w:rPr>
          <w:rFonts w:cstheme="minorHAnsi"/>
        </w:rPr>
        <w:t>unclear</w:t>
      </w:r>
      <w:proofErr w:type="spellEnd"/>
      <w:r>
        <w:rPr>
          <w:rFonts w:cstheme="minorHAnsi"/>
        </w:rPr>
        <w:t xml:space="preserve">’ </w:t>
      </w:r>
      <w:proofErr w:type="spellStart"/>
      <w:r>
        <w:rPr>
          <w:rFonts w:cstheme="minorHAnsi"/>
        </w:rPr>
        <w:t>if</w:t>
      </w:r>
      <w:proofErr w:type="spellEnd"/>
      <w:r>
        <w:rPr>
          <w:rFonts w:cstheme="minorHAnsi"/>
        </w:rPr>
        <w:t xml:space="preserve"> </w:t>
      </w:r>
      <w:proofErr w:type="spellStart"/>
      <w:r>
        <w:rPr>
          <w:rFonts w:cstheme="minorHAnsi"/>
        </w:rPr>
        <w:t>we</w:t>
      </w:r>
      <w:proofErr w:type="spellEnd"/>
      <w:r>
        <w:rPr>
          <w:rFonts w:cstheme="minorHAnsi"/>
        </w:rPr>
        <w:t xml:space="preserve"> </w:t>
      </w:r>
      <w:proofErr w:type="spellStart"/>
      <w:r>
        <w:rPr>
          <w:rFonts w:cstheme="minorHAnsi"/>
        </w:rPr>
        <w:t>could</w:t>
      </w:r>
      <w:proofErr w:type="spellEnd"/>
      <w:r>
        <w:rPr>
          <w:rFonts w:cstheme="minorHAnsi"/>
        </w:rPr>
        <w:t xml:space="preserve"> not </w:t>
      </w:r>
      <w:proofErr w:type="spellStart"/>
      <w:r>
        <w:rPr>
          <w:rFonts w:cstheme="minorHAnsi"/>
        </w:rPr>
        <w:t>tell</w:t>
      </w:r>
      <w:proofErr w:type="spellEnd"/>
      <w:r>
        <w:rPr>
          <w:rFonts w:cstheme="minorHAnsi"/>
        </w:rPr>
        <w:t>.</w:t>
      </w:r>
    </w:p>
    <w:p w14:paraId="4F0C75C9" w14:textId="77777777" w:rsidR="003E777D" w:rsidRPr="00F2578C" w:rsidRDefault="003E777D" w:rsidP="003E777D">
      <w:pPr>
        <w:pStyle w:val="ListParagraph"/>
        <w:numPr>
          <w:ilvl w:val="0"/>
          <w:numId w:val="1"/>
        </w:numPr>
        <w:spacing w:line="360" w:lineRule="auto"/>
        <w:jc w:val="both"/>
        <w:rPr>
          <w:rFonts w:cstheme="minorHAnsi"/>
        </w:rPr>
      </w:pPr>
      <w:r w:rsidRPr="00F2578C">
        <w:rPr>
          <w:rFonts w:cstheme="minorHAnsi"/>
        </w:rPr>
        <w:t>Risk of Bias is scored ‘low concern’ if studies score ‘yes’ on all the question, ‘unclear concern’ if questions are answered with ‘yes’ and ‘unclear’, ‘intermediate concern’ if one question is answered with ‘no’, ‘high concern’ if two or more questions are answered with ‘no’.</w:t>
      </w:r>
    </w:p>
    <w:p w14:paraId="2C0F8A1F"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Applicability:</w:t>
      </w:r>
      <w:r w:rsidRPr="00AC0470">
        <w:rPr>
          <w:rFonts w:cstheme="minorHAnsi"/>
          <w:lang w:val="en-US"/>
        </w:rPr>
        <w:t xml:space="preserve"> Are there concerns that the target condition as defined by the reference standard does not match the question?</w:t>
      </w:r>
    </w:p>
    <w:p w14:paraId="6B328287" w14:textId="77777777" w:rsidR="003E777D" w:rsidRPr="00AC0470" w:rsidRDefault="003E777D" w:rsidP="003E777D">
      <w:pPr>
        <w:spacing w:line="360" w:lineRule="auto"/>
        <w:jc w:val="both"/>
        <w:rPr>
          <w:rFonts w:cstheme="minorHAnsi"/>
          <w:lang w:val="en-US"/>
        </w:rPr>
      </w:pPr>
      <w:r w:rsidRPr="00AC0470">
        <w:rPr>
          <w:rFonts w:cstheme="minorHAnsi"/>
          <w:lang w:val="en-US"/>
        </w:rPr>
        <w:t>We judged applicability to be of ‘low concern’ for all studies.</w:t>
      </w:r>
    </w:p>
    <w:p w14:paraId="0BC668E3" w14:textId="77777777" w:rsidR="003E777D" w:rsidRPr="00AC0470" w:rsidRDefault="003E777D" w:rsidP="003E777D">
      <w:pPr>
        <w:spacing w:line="360" w:lineRule="auto"/>
        <w:jc w:val="both"/>
        <w:rPr>
          <w:rFonts w:cstheme="minorHAnsi"/>
          <w:lang w:val="en-US"/>
        </w:rPr>
      </w:pPr>
    </w:p>
    <w:p w14:paraId="55B2790C" w14:textId="77777777" w:rsidR="003E777D" w:rsidRPr="00AC0470" w:rsidRDefault="003E777D" w:rsidP="003E777D">
      <w:pPr>
        <w:spacing w:line="360" w:lineRule="auto"/>
        <w:jc w:val="both"/>
        <w:rPr>
          <w:rFonts w:cstheme="minorHAnsi"/>
          <w:b/>
          <w:bCs/>
          <w:lang w:val="en-US"/>
        </w:rPr>
      </w:pPr>
      <w:r w:rsidRPr="00AC0470">
        <w:rPr>
          <w:rFonts w:cstheme="minorHAnsi"/>
          <w:b/>
          <w:bCs/>
          <w:lang w:val="en-US"/>
        </w:rPr>
        <w:t>Domain 4: Flow and Timing</w:t>
      </w:r>
    </w:p>
    <w:p w14:paraId="3ADA9E1F" w14:textId="77777777" w:rsidR="003E777D" w:rsidRPr="00AC0470" w:rsidRDefault="003E777D" w:rsidP="003E777D">
      <w:pPr>
        <w:spacing w:line="360" w:lineRule="auto"/>
        <w:jc w:val="both"/>
        <w:rPr>
          <w:rFonts w:cstheme="minorHAnsi"/>
          <w:lang w:val="en-US"/>
        </w:rPr>
      </w:pPr>
      <w:r w:rsidRPr="00AC0470">
        <w:rPr>
          <w:rFonts w:cstheme="minorHAnsi"/>
          <w:u w:val="single"/>
          <w:lang w:val="en-US"/>
        </w:rPr>
        <w:t>Risk of Bias:</w:t>
      </w:r>
      <w:r w:rsidRPr="00AC0470">
        <w:rPr>
          <w:rFonts w:cstheme="minorHAnsi"/>
          <w:lang w:val="en-US"/>
        </w:rPr>
        <w:t xml:space="preserve"> Could the patient flow have introduced bias?</w:t>
      </w:r>
    </w:p>
    <w:p w14:paraId="6FF0E027"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1: Was there an appropriate interval between the index test and reference standard?</w:t>
      </w:r>
    </w:p>
    <w:p w14:paraId="06D430A8" w14:textId="77777777" w:rsidR="003E777D" w:rsidRPr="00AC0470" w:rsidRDefault="003E777D" w:rsidP="003E777D">
      <w:pPr>
        <w:spacing w:line="360" w:lineRule="auto"/>
        <w:jc w:val="both"/>
        <w:rPr>
          <w:rFonts w:cstheme="minorHAnsi"/>
          <w:lang w:val="en-US"/>
        </w:rPr>
      </w:pPr>
      <w:r w:rsidRPr="00AC0470">
        <w:rPr>
          <w:rFonts w:cstheme="minorHAnsi"/>
          <w:lang w:val="en-US"/>
        </w:rPr>
        <w:lastRenderedPageBreak/>
        <w:t>We expected specimens for Ag-RDT and the reference standards to be obtained at the same time and answered ’yes’ for all studies that meet these criteria. We answered ‘unclear’ if we could not tell.</w:t>
      </w:r>
    </w:p>
    <w:p w14:paraId="155B5382"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2: Did all patients receive the same reference standard?</w:t>
      </w:r>
    </w:p>
    <w:p w14:paraId="6B9F57B9" w14:textId="77777777" w:rsidR="003E777D" w:rsidRPr="00AC0470" w:rsidRDefault="003E777D" w:rsidP="003E777D">
      <w:pPr>
        <w:spacing w:line="360" w:lineRule="auto"/>
        <w:jc w:val="both"/>
        <w:rPr>
          <w:rFonts w:cstheme="minorHAnsi"/>
          <w:lang w:val="en-US"/>
        </w:rPr>
      </w:pPr>
      <w:r w:rsidRPr="00AC0470">
        <w:rPr>
          <w:rFonts w:cstheme="minorHAnsi"/>
          <w:lang w:val="en-US"/>
        </w:rPr>
        <w:t>We answered this question ‘yes’ for all studies that used the same rt-PCR for all samples and ‘no’ if the samples were analyzed by different types of rt-PCR. We scored ‘unclear’ if we could not tell the used rt-PCR.</w:t>
      </w:r>
    </w:p>
    <w:p w14:paraId="5AF54892" w14:textId="77777777" w:rsidR="003E777D" w:rsidRPr="00AC0470" w:rsidRDefault="003E777D" w:rsidP="003E777D">
      <w:pPr>
        <w:spacing w:line="360" w:lineRule="auto"/>
        <w:jc w:val="both"/>
        <w:rPr>
          <w:rFonts w:cstheme="minorHAnsi"/>
          <w:lang w:val="en-US"/>
        </w:rPr>
      </w:pPr>
      <w:r w:rsidRPr="00AC0470">
        <w:rPr>
          <w:rFonts w:cstheme="minorHAnsi"/>
          <w:lang w:val="en-US"/>
        </w:rPr>
        <w:t>•</w:t>
      </w:r>
      <w:r w:rsidRPr="00AC0470">
        <w:rPr>
          <w:rFonts w:cstheme="minorHAnsi"/>
          <w:lang w:val="en-US"/>
        </w:rPr>
        <w:tab/>
        <w:t>Signaling question 3: Were all patients included in the analysis?</w:t>
      </w:r>
    </w:p>
    <w:p w14:paraId="0EEDE654" w14:textId="77777777" w:rsidR="003E777D" w:rsidRDefault="003E777D" w:rsidP="003E777D">
      <w:pPr>
        <w:spacing w:line="360" w:lineRule="auto"/>
        <w:jc w:val="both"/>
        <w:rPr>
          <w:rFonts w:cstheme="minorHAnsi"/>
        </w:rPr>
      </w:pPr>
      <w:r w:rsidRPr="00AC0470">
        <w:rPr>
          <w:rFonts w:cstheme="minorHAnsi"/>
          <w:lang w:val="en-US"/>
        </w:rPr>
        <w:t xml:space="preserve">We determined the answer to this question by comparing the stated population size with the number of samples included in the two-by-two tables. We answered ’yes’ if the whole population was included in the analysis or any excluded samples were reasoned for. We answered ‘no’ if samples were excluded without a given reason. </w:t>
      </w:r>
      <w:proofErr w:type="spellStart"/>
      <w:r>
        <w:rPr>
          <w:rFonts w:cstheme="minorHAnsi"/>
        </w:rPr>
        <w:t>We</w:t>
      </w:r>
      <w:proofErr w:type="spellEnd"/>
      <w:r>
        <w:rPr>
          <w:rFonts w:cstheme="minorHAnsi"/>
        </w:rPr>
        <w:t xml:space="preserve"> </w:t>
      </w:r>
      <w:proofErr w:type="spellStart"/>
      <w:r>
        <w:rPr>
          <w:rFonts w:cstheme="minorHAnsi"/>
        </w:rPr>
        <w:t>answered</w:t>
      </w:r>
      <w:proofErr w:type="spellEnd"/>
      <w:r>
        <w:rPr>
          <w:rFonts w:cstheme="minorHAnsi"/>
        </w:rPr>
        <w:t xml:space="preserve"> ‘</w:t>
      </w:r>
      <w:proofErr w:type="spellStart"/>
      <w:r>
        <w:rPr>
          <w:rFonts w:cstheme="minorHAnsi"/>
        </w:rPr>
        <w:t>unclear</w:t>
      </w:r>
      <w:proofErr w:type="spellEnd"/>
      <w:r>
        <w:rPr>
          <w:rFonts w:cstheme="minorHAnsi"/>
        </w:rPr>
        <w:t xml:space="preserve">’ </w:t>
      </w:r>
      <w:proofErr w:type="spellStart"/>
      <w:r>
        <w:rPr>
          <w:rFonts w:cstheme="minorHAnsi"/>
        </w:rPr>
        <w:t>if</w:t>
      </w:r>
      <w:proofErr w:type="spellEnd"/>
      <w:r>
        <w:rPr>
          <w:rFonts w:cstheme="minorHAnsi"/>
        </w:rPr>
        <w:t xml:space="preserve"> </w:t>
      </w:r>
      <w:proofErr w:type="spellStart"/>
      <w:r>
        <w:rPr>
          <w:rFonts w:cstheme="minorHAnsi"/>
        </w:rPr>
        <w:t>we</w:t>
      </w:r>
      <w:proofErr w:type="spellEnd"/>
      <w:r>
        <w:rPr>
          <w:rFonts w:cstheme="minorHAnsi"/>
        </w:rPr>
        <w:t xml:space="preserve"> </w:t>
      </w:r>
      <w:proofErr w:type="spellStart"/>
      <w:r>
        <w:rPr>
          <w:rFonts w:cstheme="minorHAnsi"/>
        </w:rPr>
        <w:t>could</w:t>
      </w:r>
      <w:proofErr w:type="spellEnd"/>
      <w:r>
        <w:rPr>
          <w:rFonts w:cstheme="minorHAnsi"/>
        </w:rPr>
        <w:t xml:space="preserve"> not </w:t>
      </w:r>
      <w:proofErr w:type="spellStart"/>
      <w:r>
        <w:rPr>
          <w:rFonts w:cstheme="minorHAnsi"/>
        </w:rPr>
        <w:t>tell</w:t>
      </w:r>
      <w:proofErr w:type="spellEnd"/>
      <w:r>
        <w:rPr>
          <w:rFonts w:cstheme="minorHAnsi"/>
        </w:rPr>
        <w:t>.</w:t>
      </w:r>
    </w:p>
    <w:p w14:paraId="57A9DD76" w14:textId="77777777" w:rsidR="003E777D" w:rsidRPr="00B5096E" w:rsidRDefault="003E777D" w:rsidP="003E777D">
      <w:pPr>
        <w:pStyle w:val="ListParagraph"/>
        <w:numPr>
          <w:ilvl w:val="0"/>
          <w:numId w:val="1"/>
        </w:numPr>
        <w:spacing w:line="360" w:lineRule="auto"/>
        <w:jc w:val="both"/>
        <w:rPr>
          <w:rFonts w:cstheme="minorHAnsi"/>
        </w:rPr>
      </w:pPr>
      <w:r w:rsidRPr="00F2578C">
        <w:rPr>
          <w:rFonts w:cstheme="minorHAnsi"/>
        </w:rPr>
        <w:t>Risk of Bias is scored ‘low concern’ if studies score ‘yes’ on all the question, ‘unclear concern’ if questions are answered with ‘yes’ and ‘unclear’, ‘intermediate concern’ if one question is answered with ‘no’, ‘high concern’ if two or more questions are answered with ‘no’.</w:t>
      </w:r>
    </w:p>
    <w:p w14:paraId="3338AFE3" w14:textId="5FD5AD07" w:rsidR="00AC0470" w:rsidRDefault="00AC0470">
      <w:pPr>
        <w:rPr>
          <w:lang w:val="en-US"/>
        </w:rPr>
      </w:pPr>
      <w:r>
        <w:rPr>
          <w:lang w:val="en-US"/>
        </w:rPr>
        <w:br w:type="page"/>
      </w:r>
    </w:p>
    <w:p w14:paraId="77932876" w14:textId="56CD59B9" w:rsidR="00AC0470" w:rsidRDefault="00AC0470" w:rsidP="00AC0470">
      <w:pPr>
        <w:pStyle w:val="Heading1"/>
        <w:rPr>
          <w:lang w:val="en-US"/>
        </w:rPr>
      </w:pPr>
      <w:bookmarkStart w:id="12" w:name="_Toc152845908"/>
      <w:r>
        <w:rPr>
          <w:lang w:val="en-US"/>
        </w:rPr>
        <w:lastRenderedPageBreak/>
        <w:t>Supplement Figure 1 – QUADAS</w:t>
      </w:r>
      <w:bookmarkEnd w:id="12"/>
      <w:r>
        <w:rPr>
          <w:lang w:val="en-US"/>
        </w:rPr>
        <w:t xml:space="preserve"> </w:t>
      </w:r>
    </w:p>
    <w:p w14:paraId="5991D4DE" w14:textId="77777777" w:rsidR="00AC0470" w:rsidRDefault="00AC0470" w:rsidP="00AC0470">
      <w:pPr>
        <w:rPr>
          <w:lang w:val="en-US"/>
        </w:rPr>
      </w:pPr>
    </w:p>
    <w:p w14:paraId="7C3288C3" w14:textId="3346EBE9" w:rsidR="00AC0470" w:rsidRDefault="002714FD" w:rsidP="00AC0470">
      <w:pPr>
        <w:rPr>
          <w:lang w:val="en-US"/>
        </w:rPr>
      </w:pPr>
      <w:r>
        <w:rPr>
          <w:noProof/>
          <w:lang w:val="en-US"/>
        </w:rPr>
        <w:drawing>
          <wp:inline distT="0" distB="0" distL="0" distR="0" wp14:anchorId="42D509A2" wp14:editId="4160327D">
            <wp:extent cx="6452207" cy="1935805"/>
            <wp:effectExtent l="0" t="0" r="0" b="0"/>
            <wp:docPr id="1143440995" name="Grafik 3"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40995" name="Grafik 3" descr="Ein Bild, das Text, Screenshot, Reihe, Diagramm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9593" cy="1944021"/>
                    </a:xfrm>
                    <a:prstGeom prst="rect">
                      <a:avLst/>
                    </a:prstGeom>
                  </pic:spPr>
                </pic:pic>
              </a:graphicData>
            </a:graphic>
          </wp:inline>
        </w:drawing>
      </w:r>
    </w:p>
    <w:p w14:paraId="7E8AF812" w14:textId="77777777" w:rsidR="002714FD" w:rsidRDefault="002714FD" w:rsidP="00AC0470">
      <w:pPr>
        <w:rPr>
          <w:lang w:val="en-US"/>
        </w:rPr>
      </w:pPr>
    </w:p>
    <w:p w14:paraId="424F57D2" w14:textId="2B69FF8F" w:rsidR="002714FD" w:rsidRDefault="001D2469" w:rsidP="001D2469">
      <w:pPr>
        <w:pStyle w:val="Heading1"/>
        <w:rPr>
          <w:lang w:val="en-US"/>
        </w:rPr>
      </w:pPr>
      <w:bookmarkStart w:id="13" w:name="_Toc152845909"/>
      <w:r>
        <w:rPr>
          <w:lang w:val="en-US"/>
        </w:rPr>
        <w:t>Supplement Figure 2 – Funnel Plot</w:t>
      </w:r>
      <w:bookmarkEnd w:id="13"/>
    </w:p>
    <w:p w14:paraId="53526A55" w14:textId="77777777" w:rsidR="001D2469" w:rsidRDefault="001D2469" w:rsidP="001D2469">
      <w:pPr>
        <w:rPr>
          <w:lang w:val="en-US"/>
        </w:rPr>
      </w:pPr>
    </w:p>
    <w:p w14:paraId="39821C8A" w14:textId="7B790F2B" w:rsidR="006527FA" w:rsidRDefault="007F5B98" w:rsidP="001D2469">
      <w:pPr>
        <w:rPr>
          <w:lang w:val="en-US"/>
        </w:rPr>
      </w:pPr>
      <w:r>
        <w:rPr>
          <w:noProof/>
          <w:lang w:val="en-US"/>
        </w:rPr>
        <w:lastRenderedPageBreak/>
        <w:drawing>
          <wp:inline distT="0" distB="0" distL="0" distR="0" wp14:anchorId="6E47EC77" wp14:editId="24EF878A">
            <wp:extent cx="6338047" cy="4608472"/>
            <wp:effectExtent l="0" t="0" r="0" b="1905"/>
            <wp:docPr id="1104224930"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24930" name="Grafik 1" descr="Ein Bild, das Text, Diagramm, Reihe, Screensho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51599" cy="4618326"/>
                    </a:xfrm>
                    <a:prstGeom prst="rect">
                      <a:avLst/>
                    </a:prstGeom>
                  </pic:spPr>
                </pic:pic>
              </a:graphicData>
            </a:graphic>
          </wp:inline>
        </w:drawing>
      </w:r>
    </w:p>
    <w:p w14:paraId="0B9FB93A" w14:textId="77777777" w:rsidR="006527FA" w:rsidRDefault="006527FA" w:rsidP="001D2469">
      <w:pPr>
        <w:rPr>
          <w:lang w:val="en-US"/>
        </w:rPr>
      </w:pPr>
    </w:p>
    <w:p w14:paraId="3071D068" w14:textId="3A49ACC0" w:rsidR="006527FA" w:rsidRDefault="006527FA" w:rsidP="006527FA">
      <w:pPr>
        <w:pStyle w:val="Heading1"/>
        <w:rPr>
          <w:lang w:val="en-US"/>
        </w:rPr>
      </w:pPr>
      <w:bookmarkStart w:id="14" w:name="_Toc152845910"/>
      <w:r>
        <w:rPr>
          <w:lang w:val="en-US"/>
        </w:rPr>
        <w:t>Supplement Figure 3 – Pooled Cohen’s kappa</w:t>
      </w:r>
      <w:bookmarkEnd w:id="14"/>
    </w:p>
    <w:p w14:paraId="52519C66" w14:textId="7C985F9E" w:rsidR="00002774" w:rsidRPr="00002774" w:rsidRDefault="00002774" w:rsidP="00002774">
      <w:pPr>
        <w:rPr>
          <w:lang w:val="en-US"/>
        </w:rPr>
      </w:pPr>
    </w:p>
    <w:p w14:paraId="0BF96EF7" w14:textId="2F90BA9E" w:rsidR="006527FA" w:rsidRDefault="00223ECE" w:rsidP="006527FA">
      <w:pPr>
        <w:rPr>
          <w:lang w:val="en-US"/>
        </w:rPr>
      </w:pPr>
      <w:r>
        <w:rPr>
          <w:noProof/>
          <w:lang w:val="en-US"/>
        </w:rPr>
        <w:lastRenderedPageBreak/>
        <w:drawing>
          <wp:inline distT="0" distB="0" distL="0" distR="0" wp14:anchorId="5E53FBCA" wp14:editId="7AA9421A">
            <wp:extent cx="5756910" cy="3448050"/>
            <wp:effectExtent l="0" t="0" r="0" b="0"/>
            <wp:docPr id="114224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42194" name="Picture 1142242194"/>
                    <pic:cNvPicPr/>
                  </pic:nvPicPr>
                  <pic:blipFill>
                    <a:blip r:embed="rId15">
                      <a:extLst>
                        <a:ext uri="{28A0092B-C50C-407E-A947-70E740481C1C}">
                          <a14:useLocalDpi xmlns:a14="http://schemas.microsoft.com/office/drawing/2010/main" val="0"/>
                        </a:ext>
                      </a:extLst>
                    </a:blip>
                    <a:stretch>
                      <a:fillRect/>
                    </a:stretch>
                  </pic:blipFill>
                  <pic:spPr>
                    <a:xfrm>
                      <a:off x="0" y="0"/>
                      <a:ext cx="5756910" cy="3448050"/>
                    </a:xfrm>
                    <a:prstGeom prst="rect">
                      <a:avLst/>
                    </a:prstGeom>
                  </pic:spPr>
                </pic:pic>
              </a:graphicData>
            </a:graphic>
          </wp:inline>
        </w:drawing>
      </w:r>
    </w:p>
    <w:p w14:paraId="2394E005" w14:textId="19D3FDC3" w:rsidR="00EA741E" w:rsidRPr="00DA1C1C" w:rsidRDefault="00EA741E" w:rsidP="00EA741E">
      <w:pPr>
        <w:pStyle w:val="Caption"/>
        <w:spacing w:line="480" w:lineRule="auto"/>
        <w:rPr>
          <w:i w:val="0"/>
          <w:iCs w:val="0"/>
          <w:color w:val="000000" w:themeColor="text1"/>
          <w:sz w:val="24"/>
          <w:szCs w:val="24"/>
          <w:lang w:val="en-US"/>
        </w:rPr>
      </w:pPr>
      <w:r w:rsidRPr="00DA1C1C">
        <w:rPr>
          <w:i w:val="0"/>
          <w:iCs w:val="0"/>
          <w:color w:val="000000" w:themeColor="text1"/>
          <w:sz w:val="24"/>
          <w:szCs w:val="24"/>
          <w:lang w:val="en-US"/>
        </w:rPr>
        <w:t>Pooled concordance from self-</w:t>
      </w:r>
      <w:r>
        <w:rPr>
          <w:i w:val="0"/>
          <w:iCs w:val="0"/>
          <w:color w:val="000000" w:themeColor="text1"/>
          <w:sz w:val="24"/>
          <w:szCs w:val="24"/>
          <w:lang w:val="en-US"/>
        </w:rPr>
        <w:t>sampling</w:t>
      </w:r>
      <w:r w:rsidRPr="00DA1C1C">
        <w:rPr>
          <w:i w:val="0"/>
          <w:iCs w:val="0"/>
          <w:color w:val="000000" w:themeColor="text1"/>
          <w:sz w:val="24"/>
          <w:szCs w:val="24"/>
          <w:lang w:val="en-US"/>
        </w:rPr>
        <w:t xml:space="preserve"> versus professional Ag-RDTs</w:t>
      </w:r>
      <w:r>
        <w:rPr>
          <w:i w:val="0"/>
          <w:iCs w:val="0"/>
          <w:color w:val="000000" w:themeColor="text1"/>
          <w:sz w:val="24"/>
          <w:szCs w:val="24"/>
          <w:lang w:val="en-US"/>
        </w:rPr>
        <w:t xml:space="preserve"> (both sampling and testing performed by professional)</w:t>
      </w:r>
      <w:r w:rsidRPr="00DA1C1C">
        <w:rPr>
          <w:i w:val="0"/>
          <w:iCs w:val="0"/>
          <w:color w:val="000000" w:themeColor="text1"/>
          <w:sz w:val="24"/>
          <w:szCs w:val="24"/>
          <w:lang w:val="en-US"/>
        </w:rPr>
        <w:t xml:space="preserve">; </w:t>
      </w:r>
      <w:r w:rsidR="00223ECE" w:rsidRPr="00DA1C1C">
        <w:rPr>
          <w:i w:val="0"/>
          <w:iCs w:val="0"/>
          <w:color w:val="000000" w:themeColor="text1"/>
          <w:sz w:val="24"/>
          <w:szCs w:val="24"/>
          <w:lang w:val="en-US"/>
        </w:rPr>
        <w:t xml:space="preserve">Abbreviations: </w:t>
      </w:r>
      <w:r w:rsidR="00223ECE">
        <w:rPr>
          <w:i w:val="0"/>
          <w:iCs w:val="0"/>
          <w:color w:val="000000" w:themeColor="text1"/>
          <w:sz w:val="24"/>
          <w:szCs w:val="24"/>
          <w:lang w:val="en-US"/>
        </w:rPr>
        <w:t xml:space="preserve">a = self-test &amp; professional test positive; b = self-test positive &amp; professional test negative; c = self-test negative &amp; professional test positive; d = self-test &amp; professional test negative; </w:t>
      </w:r>
      <w:r w:rsidR="00223ECE" w:rsidRPr="00DA1C1C">
        <w:rPr>
          <w:i w:val="0"/>
          <w:iCs w:val="0"/>
          <w:color w:val="000000" w:themeColor="text1"/>
          <w:sz w:val="24"/>
          <w:szCs w:val="24"/>
          <w:lang w:val="en-US"/>
        </w:rPr>
        <w:t>CI = confidence interval</w:t>
      </w:r>
    </w:p>
    <w:p w14:paraId="6E6D6F71" w14:textId="2F1B401F" w:rsidR="00002774" w:rsidRDefault="00002774" w:rsidP="00002774">
      <w:pPr>
        <w:pStyle w:val="Heading1"/>
        <w:rPr>
          <w:lang w:val="en-US"/>
        </w:rPr>
      </w:pPr>
      <w:bookmarkStart w:id="15" w:name="_Toc152845911"/>
      <w:r>
        <w:rPr>
          <w:lang w:val="en-US"/>
        </w:rPr>
        <w:lastRenderedPageBreak/>
        <w:t>Supplement Figure 4</w:t>
      </w:r>
      <w:r w:rsidR="00583FD1">
        <w:rPr>
          <w:lang w:val="en-US"/>
        </w:rPr>
        <w:t xml:space="preserve"> – Accuracy for self-testing studies according to IFU-conformity</w:t>
      </w:r>
      <w:bookmarkEnd w:id="15"/>
    </w:p>
    <w:p w14:paraId="40362766" w14:textId="74308D0A" w:rsidR="00583FD1" w:rsidRDefault="00583FD1" w:rsidP="00002774">
      <w:pPr>
        <w:rPr>
          <w:lang w:val="en-US"/>
        </w:rPr>
      </w:pPr>
      <w:r>
        <w:rPr>
          <w:noProof/>
          <w:lang w:val="en-US"/>
        </w:rPr>
        <w:drawing>
          <wp:inline distT="0" distB="0" distL="0" distR="0" wp14:anchorId="105D99B8" wp14:editId="0C86AB5D">
            <wp:extent cx="6518254" cy="1303507"/>
            <wp:effectExtent l="0" t="0" r="0" b="0"/>
            <wp:docPr id="187537858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78581" name="Grafik 1875378581"/>
                    <pic:cNvPicPr/>
                  </pic:nvPicPr>
                  <pic:blipFill>
                    <a:blip r:embed="rId16">
                      <a:extLst>
                        <a:ext uri="{28A0092B-C50C-407E-A947-70E740481C1C}">
                          <a14:useLocalDpi xmlns:a14="http://schemas.microsoft.com/office/drawing/2010/main" val="0"/>
                        </a:ext>
                      </a:extLst>
                    </a:blip>
                    <a:stretch>
                      <a:fillRect/>
                    </a:stretch>
                  </pic:blipFill>
                  <pic:spPr>
                    <a:xfrm>
                      <a:off x="0" y="0"/>
                      <a:ext cx="6554752" cy="1310806"/>
                    </a:xfrm>
                    <a:prstGeom prst="rect">
                      <a:avLst/>
                    </a:prstGeom>
                  </pic:spPr>
                </pic:pic>
              </a:graphicData>
            </a:graphic>
          </wp:inline>
        </w:drawing>
      </w:r>
    </w:p>
    <w:p w14:paraId="5A2E3894" w14:textId="4B58B60A" w:rsidR="00343739" w:rsidRDefault="00EA741E" w:rsidP="00002774">
      <w:pPr>
        <w:rPr>
          <w:lang w:val="en-US"/>
        </w:rPr>
      </w:pPr>
      <w:r w:rsidRPr="00505E75">
        <w:rPr>
          <w:color w:val="000000" w:themeColor="text1"/>
          <w:lang w:val="en-US"/>
        </w:rPr>
        <w:t xml:space="preserve">Abbreviations: </w:t>
      </w:r>
      <w:r w:rsidRPr="00505E75">
        <w:rPr>
          <w:lang w:val="en-US"/>
        </w:rPr>
        <w:t xml:space="preserve">CI = confidence interval; </w:t>
      </w:r>
      <w:r>
        <w:rPr>
          <w:lang w:val="en-US"/>
        </w:rPr>
        <w:t>IFU</w:t>
      </w:r>
      <w:r w:rsidRPr="00505E75">
        <w:rPr>
          <w:lang w:val="en-US"/>
        </w:rPr>
        <w:t xml:space="preserve"> = </w:t>
      </w:r>
      <w:r>
        <w:rPr>
          <w:lang w:val="en-US"/>
        </w:rPr>
        <w:t>instructions for use.</w:t>
      </w:r>
    </w:p>
    <w:p w14:paraId="1EE5C5D3" w14:textId="09063E9D" w:rsidR="00583FD1" w:rsidRDefault="00583FD1" w:rsidP="00583FD1">
      <w:pPr>
        <w:pStyle w:val="Heading1"/>
        <w:rPr>
          <w:lang w:val="en-US"/>
        </w:rPr>
      </w:pPr>
      <w:bookmarkStart w:id="16" w:name="_Toc152845912"/>
      <w:r>
        <w:rPr>
          <w:lang w:val="en-US"/>
        </w:rPr>
        <w:t>Supplement Figure 5 – Accuracy for self-sampled studies according to IFU-conformity</w:t>
      </w:r>
      <w:bookmarkEnd w:id="16"/>
    </w:p>
    <w:p w14:paraId="4CC2E58D" w14:textId="31C2BCE5" w:rsidR="00583FD1" w:rsidRDefault="00702C15" w:rsidP="00583FD1">
      <w:pPr>
        <w:rPr>
          <w:lang w:val="en-US"/>
        </w:rPr>
      </w:pPr>
      <w:r>
        <w:rPr>
          <w:noProof/>
          <w:lang w:val="en-US"/>
        </w:rPr>
        <w:drawing>
          <wp:inline distT="0" distB="0" distL="0" distR="0" wp14:anchorId="16D5687F" wp14:editId="091C1E16">
            <wp:extent cx="6582160" cy="1417834"/>
            <wp:effectExtent l="0" t="0" r="0" b="0"/>
            <wp:docPr id="1376640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4093" name="Grafik 137664093"/>
                    <pic:cNvPicPr/>
                  </pic:nvPicPr>
                  <pic:blipFill rotWithShape="1">
                    <a:blip r:embed="rId17">
                      <a:extLst>
                        <a:ext uri="{28A0092B-C50C-407E-A947-70E740481C1C}">
                          <a14:useLocalDpi xmlns:a14="http://schemas.microsoft.com/office/drawing/2010/main" val="0"/>
                        </a:ext>
                      </a:extLst>
                    </a:blip>
                    <a:srcRect l="2142" t="15701"/>
                    <a:stretch/>
                  </pic:blipFill>
                  <pic:spPr bwMode="auto">
                    <a:xfrm>
                      <a:off x="0" y="0"/>
                      <a:ext cx="6605185" cy="1422794"/>
                    </a:xfrm>
                    <a:prstGeom prst="rect">
                      <a:avLst/>
                    </a:prstGeom>
                    <a:ln>
                      <a:noFill/>
                    </a:ln>
                    <a:extLst>
                      <a:ext uri="{53640926-AAD7-44D8-BBD7-CCE9431645EC}">
                        <a14:shadowObscured xmlns:a14="http://schemas.microsoft.com/office/drawing/2010/main"/>
                      </a:ext>
                    </a:extLst>
                  </pic:spPr>
                </pic:pic>
              </a:graphicData>
            </a:graphic>
          </wp:inline>
        </w:drawing>
      </w:r>
    </w:p>
    <w:p w14:paraId="4236347B" w14:textId="77777777" w:rsidR="00EA741E" w:rsidRDefault="00EA741E" w:rsidP="00EA741E">
      <w:pPr>
        <w:rPr>
          <w:lang w:val="en-US"/>
        </w:rPr>
      </w:pPr>
      <w:r w:rsidRPr="00505E75">
        <w:rPr>
          <w:color w:val="000000" w:themeColor="text1"/>
          <w:lang w:val="en-US"/>
        </w:rPr>
        <w:t xml:space="preserve">Abbreviations: </w:t>
      </w:r>
      <w:r w:rsidRPr="00505E75">
        <w:rPr>
          <w:lang w:val="en-US"/>
        </w:rPr>
        <w:t xml:space="preserve">CI = confidence interval; </w:t>
      </w:r>
      <w:r>
        <w:rPr>
          <w:lang w:val="en-US"/>
        </w:rPr>
        <w:t>IFU</w:t>
      </w:r>
      <w:r w:rsidRPr="00505E75">
        <w:rPr>
          <w:lang w:val="en-US"/>
        </w:rPr>
        <w:t xml:space="preserve"> = </w:t>
      </w:r>
      <w:r>
        <w:rPr>
          <w:lang w:val="en-US"/>
        </w:rPr>
        <w:t>instructions for use.</w:t>
      </w:r>
    </w:p>
    <w:p w14:paraId="576F4A5C" w14:textId="77777777" w:rsidR="0037404C" w:rsidRDefault="0037404C" w:rsidP="00583FD1">
      <w:pPr>
        <w:rPr>
          <w:lang w:val="en-US"/>
        </w:rPr>
      </w:pPr>
    </w:p>
    <w:p w14:paraId="6DDF4E2C" w14:textId="6C894A78" w:rsidR="0037404C" w:rsidRDefault="00343739" w:rsidP="00583FD1">
      <w:pPr>
        <w:rPr>
          <w:lang w:val="en-US"/>
        </w:rPr>
      </w:pPr>
      <w:bookmarkStart w:id="17" w:name="_Toc152845913"/>
      <w:r w:rsidRPr="003F734A">
        <w:rPr>
          <w:rStyle w:val="Heading1Char"/>
          <w:lang w:val="en-US"/>
        </w:rPr>
        <w:t>Supplement Figure 6 – Accuracy for high income countries</w:t>
      </w:r>
      <w:bookmarkEnd w:id="17"/>
      <w:r>
        <w:rPr>
          <w:noProof/>
          <w:lang w:val="en-US"/>
        </w:rPr>
        <w:drawing>
          <wp:inline distT="0" distB="0" distL="0" distR="0" wp14:anchorId="3255BFB6" wp14:editId="71AD3870">
            <wp:extent cx="6365875" cy="880560"/>
            <wp:effectExtent l="0" t="0" r="0" b="0"/>
            <wp:docPr id="15717090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09053" name="Grafik 1571709053"/>
                    <pic:cNvPicPr/>
                  </pic:nvPicPr>
                  <pic:blipFill rotWithShape="1">
                    <a:blip r:embed="rId18">
                      <a:extLst>
                        <a:ext uri="{28A0092B-C50C-407E-A947-70E740481C1C}">
                          <a14:useLocalDpi xmlns:a14="http://schemas.microsoft.com/office/drawing/2010/main" val="0"/>
                        </a:ext>
                      </a:extLst>
                    </a:blip>
                    <a:srcRect l="9631" t="16671"/>
                    <a:stretch/>
                  </pic:blipFill>
                  <pic:spPr bwMode="auto">
                    <a:xfrm>
                      <a:off x="0" y="0"/>
                      <a:ext cx="6424181" cy="888625"/>
                    </a:xfrm>
                    <a:prstGeom prst="rect">
                      <a:avLst/>
                    </a:prstGeom>
                    <a:ln>
                      <a:noFill/>
                    </a:ln>
                    <a:extLst>
                      <a:ext uri="{53640926-AAD7-44D8-BBD7-CCE9431645EC}">
                        <a14:shadowObscured xmlns:a14="http://schemas.microsoft.com/office/drawing/2010/main"/>
                      </a:ext>
                    </a:extLst>
                  </pic:spPr>
                </pic:pic>
              </a:graphicData>
            </a:graphic>
          </wp:inline>
        </w:drawing>
      </w:r>
    </w:p>
    <w:p w14:paraId="3488245B" w14:textId="7F9D5A00" w:rsidR="00EA741E" w:rsidRDefault="00EA741E" w:rsidP="00EA741E">
      <w:pPr>
        <w:rPr>
          <w:lang w:val="en-US"/>
        </w:rPr>
      </w:pPr>
      <w:r w:rsidRPr="00505E75">
        <w:rPr>
          <w:color w:val="000000" w:themeColor="text1"/>
          <w:lang w:val="en-US"/>
        </w:rPr>
        <w:t xml:space="preserve">Abbreviations: </w:t>
      </w:r>
      <w:r w:rsidRPr="00505E75">
        <w:rPr>
          <w:lang w:val="en-US"/>
        </w:rPr>
        <w:t>CI = confidence interval</w:t>
      </w:r>
      <w:r>
        <w:rPr>
          <w:lang w:val="en-US"/>
        </w:rPr>
        <w:t>.</w:t>
      </w:r>
    </w:p>
    <w:p w14:paraId="6EBF61A1" w14:textId="77777777" w:rsidR="00343739" w:rsidRDefault="00343739" w:rsidP="00583FD1">
      <w:pPr>
        <w:rPr>
          <w:lang w:val="en-US"/>
        </w:rPr>
      </w:pPr>
    </w:p>
    <w:p w14:paraId="14CEC8E2" w14:textId="3084CDCF" w:rsidR="00343739" w:rsidRDefault="00343739" w:rsidP="00343739">
      <w:pPr>
        <w:pStyle w:val="Heading1"/>
        <w:rPr>
          <w:lang w:val="en-US"/>
        </w:rPr>
      </w:pPr>
      <w:bookmarkStart w:id="18" w:name="_Toc152845914"/>
      <w:r>
        <w:rPr>
          <w:lang w:val="en-US"/>
        </w:rPr>
        <w:lastRenderedPageBreak/>
        <w:t>Supplement Figure 7 – Accuracy for middle income countries</w:t>
      </w:r>
      <w:bookmarkEnd w:id="18"/>
    </w:p>
    <w:p w14:paraId="1EE2CB73" w14:textId="17E07644" w:rsidR="00343739" w:rsidRDefault="00343739" w:rsidP="00343739">
      <w:pPr>
        <w:rPr>
          <w:lang w:val="en-US"/>
        </w:rPr>
      </w:pPr>
      <w:r>
        <w:rPr>
          <w:noProof/>
          <w:lang w:val="en-US"/>
        </w:rPr>
        <w:drawing>
          <wp:inline distT="0" distB="0" distL="0" distR="0" wp14:anchorId="1925C1BB" wp14:editId="472DF12F">
            <wp:extent cx="6366387" cy="856034"/>
            <wp:effectExtent l="0" t="0" r="0" b="0"/>
            <wp:docPr id="125718913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89134" name="Grafik 1257189134"/>
                    <pic:cNvPicPr/>
                  </pic:nvPicPr>
                  <pic:blipFill rotWithShape="1">
                    <a:blip r:embed="rId19">
                      <a:extLst>
                        <a:ext uri="{28A0092B-C50C-407E-A947-70E740481C1C}">
                          <a14:useLocalDpi xmlns:a14="http://schemas.microsoft.com/office/drawing/2010/main" val="0"/>
                        </a:ext>
                      </a:extLst>
                    </a:blip>
                    <a:srcRect l="9801" t="19150"/>
                    <a:stretch/>
                  </pic:blipFill>
                  <pic:spPr bwMode="auto">
                    <a:xfrm>
                      <a:off x="0" y="0"/>
                      <a:ext cx="6468771" cy="869801"/>
                    </a:xfrm>
                    <a:prstGeom prst="rect">
                      <a:avLst/>
                    </a:prstGeom>
                    <a:ln>
                      <a:noFill/>
                    </a:ln>
                    <a:extLst>
                      <a:ext uri="{53640926-AAD7-44D8-BBD7-CCE9431645EC}">
                        <a14:shadowObscured xmlns:a14="http://schemas.microsoft.com/office/drawing/2010/main"/>
                      </a:ext>
                    </a:extLst>
                  </pic:spPr>
                </pic:pic>
              </a:graphicData>
            </a:graphic>
          </wp:inline>
        </w:drawing>
      </w:r>
    </w:p>
    <w:p w14:paraId="7578DE0E" w14:textId="08233766" w:rsidR="00EA741E" w:rsidRDefault="00EA741E" w:rsidP="00343739">
      <w:pPr>
        <w:rPr>
          <w:lang w:val="en-US"/>
        </w:rPr>
      </w:pPr>
      <w:r w:rsidRPr="00505E75">
        <w:rPr>
          <w:color w:val="000000" w:themeColor="text1"/>
          <w:lang w:val="en-US"/>
        </w:rPr>
        <w:t xml:space="preserve">Abbreviations: </w:t>
      </w:r>
      <w:r w:rsidRPr="00505E75">
        <w:rPr>
          <w:lang w:val="en-US"/>
        </w:rPr>
        <w:t>CI = confidence interval</w:t>
      </w:r>
      <w:r>
        <w:rPr>
          <w:lang w:val="en-US"/>
        </w:rPr>
        <w:t>.</w:t>
      </w:r>
    </w:p>
    <w:p w14:paraId="4B2686B7" w14:textId="1AC610C3" w:rsidR="00343739" w:rsidRDefault="00343739" w:rsidP="00343739">
      <w:pPr>
        <w:pStyle w:val="Heading1"/>
        <w:rPr>
          <w:lang w:val="en-US"/>
        </w:rPr>
      </w:pPr>
      <w:bookmarkStart w:id="19" w:name="_Toc152845915"/>
      <w:r>
        <w:rPr>
          <w:lang w:val="en-US"/>
        </w:rPr>
        <w:t xml:space="preserve">Supplement Figure 8 – Sensitivity analysis excluding case-control </w:t>
      </w:r>
      <w:proofErr w:type="gramStart"/>
      <w:r>
        <w:rPr>
          <w:lang w:val="en-US"/>
        </w:rPr>
        <w:t>studies</w:t>
      </w:r>
      <w:bookmarkEnd w:id="19"/>
      <w:proofErr w:type="gramEnd"/>
    </w:p>
    <w:p w14:paraId="54F51303" w14:textId="0D8866C7" w:rsidR="00343739" w:rsidRDefault="00343739" w:rsidP="00343739">
      <w:pPr>
        <w:rPr>
          <w:lang w:val="en-US"/>
        </w:rPr>
      </w:pPr>
      <w:r>
        <w:rPr>
          <w:noProof/>
          <w:lang w:val="en-US"/>
        </w:rPr>
        <w:drawing>
          <wp:inline distT="0" distB="0" distL="0" distR="0" wp14:anchorId="44DBAB4C" wp14:editId="3850E3C5">
            <wp:extent cx="6402149" cy="856034"/>
            <wp:effectExtent l="0" t="0" r="0" b="0"/>
            <wp:docPr id="122151539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15394" name="Grafik 1221515394"/>
                    <pic:cNvPicPr/>
                  </pic:nvPicPr>
                  <pic:blipFill rotWithShape="1">
                    <a:blip r:embed="rId20">
                      <a:extLst>
                        <a:ext uri="{28A0092B-C50C-407E-A947-70E740481C1C}">
                          <a14:useLocalDpi xmlns:a14="http://schemas.microsoft.com/office/drawing/2010/main" val="0"/>
                        </a:ext>
                      </a:extLst>
                    </a:blip>
                    <a:srcRect l="9294" t="19150"/>
                    <a:stretch/>
                  </pic:blipFill>
                  <pic:spPr bwMode="auto">
                    <a:xfrm>
                      <a:off x="0" y="0"/>
                      <a:ext cx="6469568" cy="865049"/>
                    </a:xfrm>
                    <a:prstGeom prst="rect">
                      <a:avLst/>
                    </a:prstGeom>
                    <a:ln>
                      <a:noFill/>
                    </a:ln>
                    <a:extLst>
                      <a:ext uri="{53640926-AAD7-44D8-BBD7-CCE9431645EC}">
                        <a14:shadowObscured xmlns:a14="http://schemas.microsoft.com/office/drawing/2010/main"/>
                      </a:ext>
                    </a:extLst>
                  </pic:spPr>
                </pic:pic>
              </a:graphicData>
            </a:graphic>
          </wp:inline>
        </w:drawing>
      </w:r>
    </w:p>
    <w:p w14:paraId="06797F27" w14:textId="77777777" w:rsidR="00EA741E" w:rsidRDefault="00EA741E" w:rsidP="00EA741E">
      <w:pPr>
        <w:rPr>
          <w:lang w:val="en-US"/>
        </w:rPr>
      </w:pPr>
      <w:r w:rsidRPr="00505E75">
        <w:rPr>
          <w:color w:val="000000" w:themeColor="text1"/>
          <w:lang w:val="en-US"/>
        </w:rPr>
        <w:t xml:space="preserve">Abbreviations: </w:t>
      </w:r>
      <w:r w:rsidRPr="00505E75">
        <w:rPr>
          <w:lang w:val="en-US"/>
        </w:rPr>
        <w:t>CI = confidence interval</w:t>
      </w:r>
      <w:r>
        <w:rPr>
          <w:lang w:val="en-US"/>
        </w:rPr>
        <w:t>.</w:t>
      </w:r>
    </w:p>
    <w:p w14:paraId="75D71005" w14:textId="77777777" w:rsidR="00EA741E" w:rsidRDefault="00EA741E">
      <w:pPr>
        <w:rPr>
          <w:lang w:val="en-US"/>
        </w:rPr>
      </w:pPr>
    </w:p>
    <w:p w14:paraId="78AD8648" w14:textId="01378B54" w:rsidR="00343739" w:rsidRDefault="00343739" w:rsidP="00343739">
      <w:pPr>
        <w:pStyle w:val="Heading1"/>
        <w:rPr>
          <w:lang w:val="en-US"/>
        </w:rPr>
      </w:pPr>
      <w:bookmarkStart w:id="20" w:name="_Toc152845916"/>
      <w:r>
        <w:rPr>
          <w:lang w:val="en-US"/>
        </w:rPr>
        <w:t xml:space="preserve">Supplement Figure 9 – Sensitivity analysis excluding manufacturer-dependent </w:t>
      </w:r>
      <w:proofErr w:type="gramStart"/>
      <w:r>
        <w:rPr>
          <w:lang w:val="en-US"/>
        </w:rPr>
        <w:t>studies</w:t>
      </w:r>
      <w:bookmarkEnd w:id="20"/>
      <w:proofErr w:type="gramEnd"/>
    </w:p>
    <w:p w14:paraId="60EC1901" w14:textId="4A0CBBFF" w:rsidR="00343739" w:rsidRDefault="00343739" w:rsidP="00343739">
      <w:pPr>
        <w:rPr>
          <w:lang w:val="en-US"/>
        </w:rPr>
      </w:pPr>
      <w:r>
        <w:rPr>
          <w:noProof/>
          <w:lang w:val="en-US"/>
        </w:rPr>
        <w:drawing>
          <wp:inline distT="0" distB="0" distL="0" distR="0" wp14:anchorId="6594F49C" wp14:editId="241269A4">
            <wp:extent cx="6406802" cy="846306"/>
            <wp:effectExtent l="0" t="0" r="0" b="0"/>
            <wp:docPr id="149335404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54044" name="Grafik 1493354044"/>
                    <pic:cNvPicPr/>
                  </pic:nvPicPr>
                  <pic:blipFill rotWithShape="1">
                    <a:blip r:embed="rId21">
                      <a:extLst>
                        <a:ext uri="{28A0092B-C50C-407E-A947-70E740481C1C}">
                          <a14:useLocalDpi xmlns:a14="http://schemas.microsoft.com/office/drawing/2010/main" val="0"/>
                        </a:ext>
                      </a:extLst>
                    </a:blip>
                    <a:srcRect l="9463" t="20276"/>
                    <a:stretch/>
                  </pic:blipFill>
                  <pic:spPr bwMode="auto">
                    <a:xfrm>
                      <a:off x="0" y="0"/>
                      <a:ext cx="6472217" cy="854947"/>
                    </a:xfrm>
                    <a:prstGeom prst="rect">
                      <a:avLst/>
                    </a:prstGeom>
                    <a:ln>
                      <a:noFill/>
                    </a:ln>
                    <a:extLst>
                      <a:ext uri="{53640926-AAD7-44D8-BBD7-CCE9431645EC}">
                        <a14:shadowObscured xmlns:a14="http://schemas.microsoft.com/office/drawing/2010/main"/>
                      </a:ext>
                    </a:extLst>
                  </pic:spPr>
                </pic:pic>
              </a:graphicData>
            </a:graphic>
          </wp:inline>
        </w:drawing>
      </w:r>
    </w:p>
    <w:p w14:paraId="4B42ED02" w14:textId="338EA04A" w:rsidR="00343739" w:rsidRDefault="00EA741E" w:rsidP="00343739">
      <w:pPr>
        <w:rPr>
          <w:lang w:val="en-US"/>
        </w:rPr>
      </w:pPr>
      <w:r w:rsidRPr="00505E75">
        <w:rPr>
          <w:color w:val="000000" w:themeColor="text1"/>
          <w:lang w:val="en-US"/>
        </w:rPr>
        <w:t xml:space="preserve">Abbreviations: </w:t>
      </w:r>
      <w:r w:rsidRPr="00505E75">
        <w:rPr>
          <w:lang w:val="en-US"/>
        </w:rPr>
        <w:t>CI = confidence interval</w:t>
      </w:r>
      <w:r>
        <w:rPr>
          <w:lang w:val="en-US"/>
        </w:rPr>
        <w:t>.</w:t>
      </w:r>
    </w:p>
    <w:p w14:paraId="2E4BAD3D" w14:textId="5F805A28" w:rsidR="00623085" w:rsidRDefault="00D8284D" w:rsidP="00343739">
      <w:pPr>
        <w:rPr>
          <w:lang w:val="en-US"/>
        </w:rPr>
      </w:pPr>
      <w:r>
        <w:rPr>
          <w:lang w:val="en-US"/>
        </w:rPr>
        <w:t>å</w:t>
      </w:r>
    </w:p>
    <w:p w14:paraId="384B95BE" w14:textId="2DE43238" w:rsidR="00343739" w:rsidRDefault="00343739" w:rsidP="003A63DC">
      <w:pPr>
        <w:pStyle w:val="Heading1"/>
        <w:rPr>
          <w:lang w:val="en-US"/>
        </w:rPr>
      </w:pPr>
      <w:bookmarkStart w:id="21" w:name="_Toc152845917"/>
      <w:r>
        <w:rPr>
          <w:lang w:val="en-US"/>
        </w:rPr>
        <w:lastRenderedPageBreak/>
        <w:t xml:space="preserve">Supplement Figure 10 – Sensitivity analysis excluding </w:t>
      </w:r>
      <w:proofErr w:type="gramStart"/>
      <w:r w:rsidR="003A63DC">
        <w:rPr>
          <w:lang w:val="en-US"/>
        </w:rPr>
        <w:t>preprints</w:t>
      </w:r>
      <w:bookmarkEnd w:id="21"/>
      <w:proofErr w:type="gramEnd"/>
    </w:p>
    <w:p w14:paraId="67654CA2" w14:textId="5A2DFB39" w:rsidR="003A63DC" w:rsidRDefault="003A63DC" w:rsidP="00343739">
      <w:pPr>
        <w:rPr>
          <w:lang w:val="en-US"/>
        </w:rPr>
      </w:pPr>
      <w:r>
        <w:rPr>
          <w:noProof/>
          <w:lang w:val="en-US"/>
        </w:rPr>
        <w:drawing>
          <wp:inline distT="0" distB="0" distL="0" distR="0" wp14:anchorId="310B9B6A" wp14:editId="5E6896E3">
            <wp:extent cx="6511709" cy="894945"/>
            <wp:effectExtent l="0" t="0" r="0" b="0"/>
            <wp:docPr id="204836844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68441" name="Grafik 2048368441"/>
                    <pic:cNvPicPr/>
                  </pic:nvPicPr>
                  <pic:blipFill rotWithShape="1">
                    <a:blip r:embed="rId22">
                      <a:extLst>
                        <a:ext uri="{28A0092B-C50C-407E-A947-70E740481C1C}">
                          <a14:useLocalDpi xmlns:a14="http://schemas.microsoft.com/office/drawing/2010/main" val="0"/>
                        </a:ext>
                      </a:extLst>
                    </a:blip>
                    <a:srcRect l="9294" t="16897"/>
                    <a:stretch/>
                  </pic:blipFill>
                  <pic:spPr bwMode="auto">
                    <a:xfrm>
                      <a:off x="0" y="0"/>
                      <a:ext cx="6587007" cy="905294"/>
                    </a:xfrm>
                    <a:prstGeom prst="rect">
                      <a:avLst/>
                    </a:prstGeom>
                    <a:ln>
                      <a:noFill/>
                    </a:ln>
                    <a:extLst>
                      <a:ext uri="{53640926-AAD7-44D8-BBD7-CCE9431645EC}">
                        <a14:shadowObscured xmlns:a14="http://schemas.microsoft.com/office/drawing/2010/main"/>
                      </a:ext>
                    </a:extLst>
                  </pic:spPr>
                </pic:pic>
              </a:graphicData>
            </a:graphic>
          </wp:inline>
        </w:drawing>
      </w:r>
    </w:p>
    <w:p w14:paraId="5D5337FB" w14:textId="356BCD10" w:rsidR="003A63DC" w:rsidRPr="00343739" w:rsidRDefault="00EA741E" w:rsidP="00623085">
      <w:pPr>
        <w:rPr>
          <w:lang w:val="en-US"/>
        </w:rPr>
      </w:pPr>
      <w:r w:rsidRPr="00505E75">
        <w:rPr>
          <w:color w:val="000000" w:themeColor="text1"/>
          <w:lang w:val="en-US"/>
        </w:rPr>
        <w:t xml:space="preserve">Abbreviations: </w:t>
      </w:r>
      <w:r w:rsidRPr="00505E75">
        <w:rPr>
          <w:lang w:val="en-US"/>
        </w:rPr>
        <w:t>CI = confidence interv</w:t>
      </w:r>
      <w:r w:rsidR="00623085">
        <w:rPr>
          <w:lang w:val="en-US"/>
        </w:rPr>
        <w:t>al</w:t>
      </w:r>
    </w:p>
    <w:sectPr w:rsidR="003A63DC" w:rsidRPr="00343739" w:rsidSect="00F151D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6EEB" w14:textId="77777777" w:rsidR="00F151D4" w:rsidRDefault="00F151D4" w:rsidP="00B23179">
      <w:r>
        <w:separator/>
      </w:r>
    </w:p>
  </w:endnote>
  <w:endnote w:type="continuationSeparator" w:id="0">
    <w:p w14:paraId="74A013D7" w14:textId="77777777" w:rsidR="00F151D4" w:rsidRDefault="00F151D4" w:rsidP="00B2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3443582"/>
      <w:docPartObj>
        <w:docPartGallery w:val="Page Numbers (Bottom of Page)"/>
        <w:docPartUnique/>
      </w:docPartObj>
    </w:sdtPr>
    <w:sdtContent>
      <w:p w14:paraId="25537FD6" w14:textId="5774D526" w:rsidR="00D8284D" w:rsidRDefault="00D8284D" w:rsidP="002A2C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6E3A2B" w14:textId="77777777" w:rsidR="00D8284D" w:rsidRDefault="00D8284D" w:rsidP="00D828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0989169"/>
      <w:docPartObj>
        <w:docPartGallery w:val="Page Numbers (Bottom of Page)"/>
        <w:docPartUnique/>
      </w:docPartObj>
    </w:sdtPr>
    <w:sdtContent>
      <w:p w14:paraId="347CF5B4" w14:textId="0C0C1BE1" w:rsidR="00D8284D" w:rsidRDefault="00D8284D" w:rsidP="002A2C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3FF96588" w14:textId="77777777" w:rsidR="00D8284D" w:rsidRDefault="00D8284D" w:rsidP="00D828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8277" w14:textId="77777777" w:rsidR="00F151D4" w:rsidRDefault="00F151D4" w:rsidP="00B23179">
      <w:r>
        <w:separator/>
      </w:r>
    </w:p>
  </w:footnote>
  <w:footnote w:type="continuationSeparator" w:id="0">
    <w:p w14:paraId="3461CD18" w14:textId="77777777" w:rsidR="00F151D4" w:rsidRDefault="00F151D4" w:rsidP="00B23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6051"/>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352"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C76A30"/>
    <w:multiLevelType w:val="hybridMultilevel"/>
    <w:tmpl w:val="E28CD534"/>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5F6498"/>
    <w:multiLevelType w:val="hybridMultilevel"/>
    <w:tmpl w:val="F43E8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456A47"/>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B127C9"/>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352"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607751"/>
    <w:multiLevelType w:val="hybridMultilevel"/>
    <w:tmpl w:val="C63092C8"/>
    <w:lvl w:ilvl="0" w:tplc="31C0DB26">
      <w:start w:val="2"/>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62A3469"/>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AEE0478"/>
    <w:multiLevelType w:val="hybridMultilevel"/>
    <w:tmpl w:val="89B4428C"/>
    <w:lvl w:ilvl="0" w:tplc="D24EB906">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4347436">
    <w:abstractNumId w:val="5"/>
  </w:num>
  <w:num w:numId="2" w16cid:durableId="413556416">
    <w:abstractNumId w:val="0"/>
  </w:num>
  <w:num w:numId="3" w16cid:durableId="1291741744">
    <w:abstractNumId w:val="6"/>
  </w:num>
  <w:num w:numId="4" w16cid:durableId="1094592643">
    <w:abstractNumId w:val="3"/>
  </w:num>
  <w:num w:numId="5" w16cid:durableId="705376008">
    <w:abstractNumId w:val="4"/>
  </w:num>
  <w:num w:numId="6" w16cid:durableId="1805199014">
    <w:abstractNumId w:val="1"/>
  </w:num>
  <w:num w:numId="7" w16cid:durableId="1640959239">
    <w:abstractNumId w:val="2"/>
  </w:num>
  <w:num w:numId="8" w16cid:durableId="1519850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E7"/>
    <w:rsid w:val="00002774"/>
    <w:rsid w:val="00017080"/>
    <w:rsid w:val="00026085"/>
    <w:rsid w:val="00031381"/>
    <w:rsid w:val="00061E5B"/>
    <w:rsid w:val="000742B9"/>
    <w:rsid w:val="000A6A7F"/>
    <w:rsid w:val="000C4DB7"/>
    <w:rsid w:val="000D65C4"/>
    <w:rsid w:val="000E386D"/>
    <w:rsid w:val="00107923"/>
    <w:rsid w:val="00107CBA"/>
    <w:rsid w:val="001444C8"/>
    <w:rsid w:val="0016782E"/>
    <w:rsid w:val="00173F0A"/>
    <w:rsid w:val="001B555D"/>
    <w:rsid w:val="001D2469"/>
    <w:rsid w:val="001E77F3"/>
    <w:rsid w:val="00213A05"/>
    <w:rsid w:val="00216DEF"/>
    <w:rsid w:val="00223ECE"/>
    <w:rsid w:val="00236117"/>
    <w:rsid w:val="002714FD"/>
    <w:rsid w:val="00272C65"/>
    <w:rsid w:val="0027575E"/>
    <w:rsid w:val="002B3423"/>
    <w:rsid w:val="002C5875"/>
    <w:rsid w:val="002D2C15"/>
    <w:rsid w:val="00321637"/>
    <w:rsid w:val="00332FE8"/>
    <w:rsid w:val="003377EE"/>
    <w:rsid w:val="00343739"/>
    <w:rsid w:val="003645F4"/>
    <w:rsid w:val="0037404C"/>
    <w:rsid w:val="00381835"/>
    <w:rsid w:val="003871D9"/>
    <w:rsid w:val="0039211B"/>
    <w:rsid w:val="003A63DC"/>
    <w:rsid w:val="003C3196"/>
    <w:rsid w:val="003E777D"/>
    <w:rsid w:val="003F350D"/>
    <w:rsid w:val="003F734A"/>
    <w:rsid w:val="004027C0"/>
    <w:rsid w:val="0041160F"/>
    <w:rsid w:val="004353A5"/>
    <w:rsid w:val="00443F9B"/>
    <w:rsid w:val="004447C7"/>
    <w:rsid w:val="004465C2"/>
    <w:rsid w:val="00452392"/>
    <w:rsid w:val="00456760"/>
    <w:rsid w:val="00482AB2"/>
    <w:rsid w:val="004A79BA"/>
    <w:rsid w:val="00507CA9"/>
    <w:rsid w:val="0053310D"/>
    <w:rsid w:val="00533BFD"/>
    <w:rsid w:val="00542100"/>
    <w:rsid w:val="00583FD1"/>
    <w:rsid w:val="00585915"/>
    <w:rsid w:val="00587FC0"/>
    <w:rsid w:val="005D18A2"/>
    <w:rsid w:val="005D63FB"/>
    <w:rsid w:val="005E2B2A"/>
    <w:rsid w:val="005F0869"/>
    <w:rsid w:val="005F2104"/>
    <w:rsid w:val="00623085"/>
    <w:rsid w:val="00643212"/>
    <w:rsid w:val="006527FA"/>
    <w:rsid w:val="006652D5"/>
    <w:rsid w:val="00675EE7"/>
    <w:rsid w:val="00690B40"/>
    <w:rsid w:val="006A63E1"/>
    <w:rsid w:val="006B4057"/>
    <w:rsid w:val="006D6457"/>
    <w:rsid w:val="00702C15"/>
    <w:rsid w:val="00704C7F"/>
    <w:rsid w:val="00725F83"/>
    <w:rsid w:val="00743094"/>
    <w:rsid w:val="007567B9"/>
    <w:rsid w:val="00772A57"/>
    <w:rsid w:val="00775A1A"/>
    <w:rsid w:val="00781FCF"/>
    <w:rsid w:val="00784E83"/>
    <w:rsid w:val="007857E2"/>
    <w:rsid w:val="007A32E8"/>
    <w:rsid w:val="007D1DC0"/>
    <w:rsid w:val="007D45CA"/>
    <w:rsid w:val="007F5B98"/>
    <w:rsid w:val="007F651B"/>
    <w:rsid w:val="00801B53"/>
    <w:rsid w:val="00836BB3"/>
    <w:rsid w:val="008620E4"/>
    <w:rsid w:val="00871587"/>
    <w:rsid w:val="00885124"/>
    <w:rsid w:val="00892D97"/>
    <w:rsid w:val="008C6564"/>
    <w:rsid w:val="00902949"/>
    <w:rsid w:val="00912307"/>
    <w:rsid w:val="009230F1"/>
    <w:rsid w:val="0092715B"/>
    <w:rsid w:val="009308AC"/>
    <w:rsid w:val="00944AD5"/>
    <w:rsid w:val="00973F2D"/>
    <w:rsid w:val="009761E6"/>
    <w:rsid w:val="009E0C6C"/>
    <w:rsid w:val="009E4E70"/>
    <w:rsid w:val="009F29C7"/>
    <w:rsid w:val="00A042D4"/>
    <w:rsid w:val="00A362F9"/>
    <w:rsid w:val="00A36A3D"/>
    <w:rsid w:val="00A4396F"/>
    <w:rsid w:val="00A43F7C"/>
    <w:rsid w:val="00A643D1"/>
    <w:rsid w:val="00A6546A"/>
    <w:rsid w:val="00A72340"/>
    <w:rsid w:val="00A7390E"/>
    <w:rsid w:val="00AB476C"/>
    <w:rsid w:val="00AC0470"/>
    <w:rsid w:val="00AC33B5"/>
    <w:rsid w:val="00B0071D"/>
    <w:rsid w:val="00B00D1B"/>
    <w:rsid w:val="00B11B24"/>
    <w:rsid w:val="00B23179"/>
    <w:rsid w:val="00B24B74"/>
    <w:rsid w:val="00B44A76"/>
    <w:rsid w:val="00B774FC"/>
    <w:rsid w:val="00B970B0"/>
    <w:rsid w:val="00BA1F0C"/>
    <w:rsid w:val="00BA2F43"/>
    <w:rsid w:val="00BC543E"/>
    <w:rsid w:val="00C77D3F"/>
    <w:rsid w:val="00C80A4F"/>
    <w:rsid w:val="00CA1567"/>
    <w:rsid w:val="00CC5CCC"/>
    <w:rsid w:val="00CD5DCF"/>
    <w:rsid w:val="00CE1DA6"/>
    <w:rsid w:val="00CF467A"/>
    <w:rsid w:val="00D07DB3"/>
    <w:rsid w:val="00D16D9B"/>
    <w:rsid w:val="00D8284D"/>
    <w:rsid w:val="00DA0C60"/>
    <w:rsid w:val="00DA296E"/>
    <w:rsid w:val="00DA537B"/>
    <w:rsid w:val="00DB6E8F"/>
    <w:rsid w:val="00DD2D64"/>
    <w:rsid w:val="00DE4D9A"/>
    <w:rsid w:val="00E13CE1"/>
    <w:rsid w:val="00E44A4C"/>
    <w:rsid w:val="00E84E90"/>
    <w:rsid w:val="00E969DA"/>
    <w:rsid w:val="00EA741E"/>
    <w:rsid w:val="00EC7A9E"/>
    <w:rsid w:val="00ED5DF9"/>
    <w:rsid w:val="00EE1DAC"/>
    <w:rsid w:val="00EE575A"/>
    <w:rsid w:val="00EE57C3"/>
    <w:rsid w:val="00F151D4"/>
    <w:rsid w:val="00F251F2"/>
    <w:rsid w:val="00F45885"/>
    <w:rsid w:val="00F512A5"/>
    <w:rsid w:val="00F6106B"/>
    <w:rsid w:val="00F65153"/>
    <w:rsid w:val="00F9297A"/>
    <w:rsid w:val="00FC1EF2"/>
    <w:rsid w:val="00FD242E"/>
    <w:rsid w:val="00FE51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92E15"/>
  <w15:chartTrackingRefBased/>
  <w15:docId w15:val="{0EF26CED-223B-BD41-A40A-7F5389EF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D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D2C1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79BA"/>
    <w:rPr>
      <w:sz w:val="16"/>
      <w:szCs w:val="16"/>
    </w:rPr>
  </w:style>
  <w:style w:type="paragraph" w:styleId="CommentText">
    <w:name w:val="annotation text"/>
    <w:basedOn w:val="Normal"/>
    <w:link w:val="CommentTextChar"/>
    <w:uiPriority w:val="99"/>
    <w:semiHidden/>
    <w:unhideWhenUsed/>
    <w:rsid w:val="004A79BA"/>
    <w:pPr>
      <w:spacing w:after="160"/>
    </w:pPr>
    <w:rPr>
      <w:sz w:val="20"/>
      <w:szCs w:val="20"/>
      <w:lang w:val="en-US"/>
    </w:rPr>
  </w:style>
  <w:style w:type="character" w:customStyle="1" w:styleId="CommentTextChar">
    <w:name w:val="Comment Text Char"/>
    <w:basedOn w:val="DefaultParagraphFont"/>
    <w:link w:val="CommentText"/>
    <w:uiPriority w:val="99"/>
    <w:semiHidden/>
    <w:rsid w:val="004A79BA"/>
    <w:rPr>
      <w:sz w:val="20"/>
      <w:szCs w:val="20"/>
      <w:lang w:val="en-US"/>
    </w:rPr>
  </w:style>
  <w:style w:type="paragraph" w:styleId="ListParagraph">
    <w:name w:val="List Paragraph"/>
    <w:basedOn w:val="Normal"/>
    <w:uiPriority w:val="34"/>
    <w:qFormat/>
    <w:rsid w:val="001B555D"/>
    <w:pPr>
      <w:spacing w:after="160" w:line="259" w:lineRule="auto"/>
      <w:ind w:left="720"/>
      <w:contextualSpacing/>
    </w:pPr>
    <w:rPr>
      <w:sz w:val="22"/>
      <w:szCs w:val="22"/>
      <w:lang w:val="en-US"/>
    </w:rPr>
  </w:style>
  <w:style w:type="paragraph" w:styleId="CommentSubject">
    <w:name w:val="annotation subject"/>
    <w:basedOn w:val="CommentText"/>
    <w:next w:val="CommentText"/>
    <w:link w:val="CommentSubjectChar"/>
    <w:uiPriority w:val="99"/>
    <w:semiHidden/>
    <w:unhideWhenUsed/>
    <w:rsid w:val="007857E2"/>
    <w:pPr>
      <w:spacing w:after="0"/>
    </w:pPr>
    <w:rPr>
      <w:b/>
      <w:bCs/>
      <w:lang w:val="de-AT"/>
    </w:rPr>
  </w:style>
  <w:style w:type="character" w:customStyle="1" w:styleId="CommentSubjectChar">
    <w:name w:val="Comment Subject Char"/>
    <w:basedOn w:val="CommentTextChar"/>
    <w:link w:val="CommentSubject"/>
    <w:uiPriority w:val="99"/>
    <w:semiHidden/>
    <w:rsid w:val="007857E2"/>
    <w:rPr>
      <w:b/>
      <w:bCs/>
      <w:sz w:val="20"/>
      <w:szCs w:val="20"/>
      <w:lang w:val="en-US"/>
    </w:rPr>
  </w:style>
  <w:style w:type="paragraph" w:styleId="FootnoteText">
    <w:name w:val="footnote text"/>
    <w:basedOn w:val="Normal"/>
    <w:link w:val="FootnoteTextChar"/>
    <w:uiPriority w:val="99"/>
    <w:semiHidden/>
    <w:unhideWhenUsed/>
    <w:rsid w:val="00B23179"/>
    <w:rPr>
      <w:sz w:val="20"/>
      <w:szCs w:val="20"/>
      <w:lang w:val="en-US"/>
    </w:rPr>
  </w:style>
  <w:style w:type="character" w:customStyle="1" w:styleId="FootnoteTextChar">
    <w:name w:val="Footnote Text Char"/>
    <w:basedOn w:val="DefaultParagraphFont"/>
    <w:link w:val="FootnoteText"/>
    <w:uiPriority w:val="99"/>
    <w:semiHidden/>
    <w:rsid w:val="00B23179"/>
    <w:rPr>
      <w:sz w:val="20"/>
      <w:szCs w:val="20"/>
      <w:lang w:val="en-US"/>
    </w:rPr>
  </w:style>
  <w:style w:type="character" w:styleId="FootnoteReference">
    <w:name w:val="footnote reference"/>
    <w:basedOn w:val="DefaultParagraphFont"/>
    <w:uiPriority w:val="99"/>
    <w:semiHidden/>
    <w:unhideWhenUsed/>
    <w:rsid w:val="00B23179"/>
    <w:rPr>
      <w:vertAlign w:val="superscript"/>
    </w:rPr>
  </w:style>
  <w:style w:type="paragraph" w:styleId="Revision">
    <w:name w:val="Revision"/>
    <w:hidden/>
    <w:uiPriority w:val="99"/>
    <w:semiHidden/>
    <w:rsid w:val="007D1DC0"/>
  </w:style>
  <w:style w:type="character" w:styleId="Hyperlink">
    <w:name w:val="Hyperlink"/>
    <w:basedOn w:val="DefaultParagraphFont"/>
    <w:uiPriority w:val="99"/>
    <w:unhideWhenUsed/>
    <w:rsid w:val="00DE4D9A"/>
    <w:rPr>
      <w:color w:val="0563C1" w:themeColor="hyperlink"/>
      <w:u w:val="single"/>
    </w:rPr>
  </w:style>
  <w:style w:type="character" w:customStyle="1" w:styleId="Heading1Char">
    <w:name w:val="Heading 1 Char"/>
    <w:basedOn w:val="DefaultParagraphFont"/>
    <w:link w:val="Heading1"/>
    <w:uiPriority w:val="9"/>
    <w:rsid w:val="00DE4D9A"/>
    <w:rPr>
      <w:rFonts w:asciiTheme="majorHAnsi" w:eastAsiaTheme="majorEastAsia" w:hAnsiTheme="majorHAnsi" w:cstheme="majorBidi"/>
      <w:color w:val="2F5496" w:themeColor="accent1" w:themeShade="BF"/>
      <w:sz w:val="32"/>
      <w:szCs w:val="32"/>
    </w:rPr>
  </w:style>
  <w:style w:type="paragraph" w:customStyle="1" w:styleId="Default">
    <w:name w:val="Default"/>
    <w:rsid w:val="00DE4D9A"/>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DE4D9A"/>
    <w:rPr>
      <w:rFonts w:cs="Times New Roman"/>
      <w:color w:val="auto"/>
    </w:rPr>
  </w:style>
  <w:style w:type="character" w:customStyle="1" w:styleId="Heading2Char">
    <w:name w:val="Heading 2 Char"/>
    <w:basedOn w:val="DefaultParagraphFont"/>
    <w:link w:val="Heading2"/>
    <w:uiPriority w:val="9"/>
    <w:semiHidden/>
    <w:rsid w:val="002D2C15"/>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2D2C15"/>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D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2D2C15"/>
    <w:rPr>
      <w:rFonts w:ascii="Courier New" w:eastAsia="Times New Roman" w:hAnsi="Courier New" w:cs="Courier New"/>
      <w:sz w:val="20"/>
      <w:szCs w:val="20"/>
      <w:lang w:val="de-DE" w:eastAsia="de-DE"/>
    </w:rPr>
  </w:style>
  <w:style w:type="paragraph" w:styleId="TOCHeading">
    <w:name w:val="TOC Heading"/>
    <w:basedOn w:val="Heading1"/>
    <w:next w:val="Normal"/>
    <w:uiPriority w:val="39"/>
    <w:unhideWhenUsed/>
    <w:qFormat/>
    <w:rsid w:val="003F734A"/>
    <w:pPr>
      <w:spacing w:before="480" w:line="276" w:lineRule="auto"/>
      <w:outlineLvl w:val="9"/>
    </w:pPr>
    <w:rPr>
      <w:b/>
      <w:bCs/>
      <w:sz w:val="28"/>
      <w:szCs w:val="28"/>
      <w:lang w:eastAsia="de-DE"/>
    </w:rPr>
  </w:style>
  <w:style w:type="paragraph" w:styleId="TOC1">
    <w:name w:val="toc 1"/>
    <w:basedOn w:val="Normal"/>
    <w:next w:val="Normal"/>
    <w:autoRedefine/>
    <w:uiPriority w:val="39"/>
    <w:unhideWhenUsed/>
    <w:rsid w:val="003F734A"/>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3F734A"/>
    <w:rPr>
      <w:rFonts w:cstheme="minorHAnsi"/>
      <w:b/>
      <w:bCs/>
      <w:smallCaps/>
      <w:sz w:val="22"/>
      <w:szCs w:val="22"/>
    </w:rPr>
  </w:style>
  <w:style w:type="paragraph" w:styleId="TOC3">
    <w:name w:val="toc 3"/>
    <w:basedOn w:val="Normal"/>
    <w:next w:val="Normal"/>
    <w:autoRedefine/>
    <w:uiPriority w:val="39"/>
    <w:semiHidden/>
    <w:unhideWhenUsed/>
    <w:rsid w:val="003F734A"/>
    <w:rPr>
      <w:rFonts w:cstheme="minorHAnsi"/>
      <w:smallCaps/>
      <w:sz w:val="22"/>
      <w:szCs w:val="22"/>
    </w:rPr>
  </w:style>
  <w:style w:type="paragraph" w:styleId="TOC4">
    <w:name w:val="toc 4"/>
    <w:basedOn w:val="Normal"/>
    <w:next w:val="Normal"/>
    <w:autoRedefine/>
    <w:uiPriority w:val="39"/>
    <w:semiHidden/>
    <w:unhideWhenUsed/>
    <w:rsid w:val="003F734A"/>
    <w:rPr>
      <w:rFonts w:cstheme="minorHAnsi"/>
      <w:sz w:val="22"/>
      <w:szCs w:val="22"/>
    </w:rPr>
  </w:style>
  <w:style w:type="paragraph" w:styleId="TOC5">
    <w:name w:val="toc 5"/>
    <w:basedOn w:val="Normal"/>
    <w:next w:val="Normal"/>
    <w:autoRedefine/>
    <w:uiPriority w:val="39"/>
    <w:semiHidden/>
    <w:unhideWhenUsed/>
    <w:rsid w:val="003F734A"/>
    <w:rPr>
      <w:rFonts w:cstheme="minorHAnsi"/>
      <w:sz w:val="22"/>
      <w:szCs w:val="22"/>
    </w:rPr>
  </w:style>
  <w:style w:type="paragraph" w:styleId="TOC6">
    <w:name w:val="toc 6"/>
    <w:basedOn w:val="Normal"/>
    <w:next w:val="Normal"/>
    <w:autoRedefine/>
    <w:uiPriority w:val="39"/>
    <w:semiHidden/>
    <w:unhideWhenUsed/>
    <w:rsid w:val="003F734A"/>
    <w:rPr>
      <w:rFonts w:cstheme="minorHAnsi"/>
      <w:sz w:val="22"/>
      <w:szCs w:val="22"/>
    </w:rPr>
  </w:style>
  <w:style w:type="paragraph" w:styleId="TOC7">
    <w:name w:val="toc 7"/>
    <w:basedOn w:val="Normal"/>
    <w:next w:val="Normal"/>
    <w:autoRedefine/>
    <w:uiPriority w:val="39"/>
    <w:semiHidden/>
    <w:unhideWhenUsed/>
    <w:rsid w:val="003F734A"/>
    <w:rPr>
      <w:rFonts w:cstheme="minorHAnsi"/>
      <w:sz w:val="22"/>
      <w:szCs w:val="22"/>
    </w:rPr>
  </w:style>
  <w:style w:type="paragraph" w:styleId="TOC8">
    <w:name w:val="toc 8"/>
    <w:basedOn w:val="Normal"/>
    <w:next w:val="Normal"/>
    <w:autoRedefine/>
    <w:uiPriority w:val="39"/>
    <w:semiHidden/>
    <w:unhideWhenUsed/>
    <w:rsid w:val="003F734A"/>
    <w:rPr>
      <w:rFonts w:cstheme="minorHAnsi"/>
      <w:sz w:val="22"/>
      <w:szCs w:val="22"/>
    </w:rPr>
  </w:style>
  <w:style w:type="paragraph" w:styleId="TOC9">
    <w:name w:val="toc 9"/>
    <w:basedOn w:val="Normal"/>
    <w:next w:val="Normal"/>
    <w:autoRedefine/>
    <w:uiPriority w:val="39"/>
    <w:semiHidden/>
    <w:unhideWhenUsed/>
    <w:rsid w:val="003F734A"/>
    <w:rPr>
      <w:rFonts w:cstheme="minorHAnsi"/>
      <w:sz w:val="22"/>
      <w:szCs w:val="22"/>
    </w:rPr>
  </w:style>
  <w:style w:type="paragraph" w:styleId="Caption">
    <w:name w:val="caption"/>
    <w:basedOn w:val="Normal"/>
    <w:next w:val="Normal"/>
    <w:uiPriority w:val="35"/>
    <w:unhideWhenUsed/>
    <w:qFormat/>
    <w:rsid w:val="00EA741E"/>
    <w:pPr>
      <w:spacing w:after="200"/>
    </w:pPr>
    <w:rPr>
      <w:i/>
      <w:iCs/>
      <w:color w:val="44546A" w:themeColor="text2"/>
      <w:sz w:val="18"/>
      <w:szCs w:val="18"/>
    </w:rPr>
  </w:style>
  <w:style w:type="paragraph" w:styleId="Header">
    <w:name w:val="header"/>
    <w:basedOn w:val="Normal"/>
    <w:link w:val="HeaderChar"/>
    <w:uiPriority w:val="99"/>
    <w:unhideWhenUsed/>
    <w:rsid w:val="00D8284D"/>
    <w:pPr>
      <w:tabs>
        <w:tab w:val="center" w:pos="4513"/>
        <w:tab w:val="right" w:pos="9026"/>
      </w:tabs>
    </w:pPr>
  </w:style>
  <w:style w:type="character" w:customStyle="1" w:styleId="HeaderChar">
    <w:name w:val="Header Char"/>
    <w:basedOn w:val="DefaultParagraphFont"/>
    <w:link w:val="Header"/>
    <w:uiPriority w:val="99"/>
    <w:rsid w:val="00D8284D"/>
  </w:style>
  <w:style w:type="paragraph" w:styleId="Footer">
    <w:name w:val="footer"/>
    <w:basedOn w:val="Normal"/>
    <w:link w:val="FooterChar"/>
    <w:uiPriority w:val="99"/>
    <w:unhideWhenUsed/>
    <w:rsid w:val="00D8284D"/>
    <w:pPr>
      <w:tabs>
        <w:tab w:val="center" w:pos="4513"/>
        <w:tab w:val="right" w:pos="9026"/>
      </w:tabs>
    </w:pPr>
  </w:style>
  <w:style w:type="character" w:customStyle="1" w:styleId="FooterChar">
    <w:name w:val="Footer Char"/>
    <w:basedOn w:val="DefaultParagraphFont"/>
    <w:link w:val="Footer"/>
    <w:uiPriority w:val="99"/>
    <w:rsid w:val="00D8284D"/>
  </w:style>
  <w:style w:type="character" w:styleId="PageNumber">
    <w:name w:val="page number"/>
    <w:basedOn w:val="DefaultParagraphFont"/>
    <w:uiPriority w:val="99"/>
    <w:semiHidden/>
    <w:unhideWhenUsed/>
    <w:rsid w:val="00D8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67664">
      <w:bodyDiv w:val="1"/>
      <w:marLeft w:val="0"/>
      <w:marRight w:val="0"/>
      <w:marTop w:val="0"/>
      <w:marBottom w:val="0"/>
      <w:divBdr>
        <w:top w:val="none" w:sz="0" w:space="0" w:color="auto"/>
        <w:left w:val="none" w:sz="0" w:space="0" w:color="auto"/>
        <w:bottom w:val="none" w:sz="0" w:space="0" w:color="auto"/>
        <w:right w:val="none" w:sz="0" w:space="0" w:color="auto"/>
      </w:divBdr>
    </w:div>
    <w:div w:id="15981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da.yerlikaya@uni-heidelberg.de" TargetMode="Externa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www.prisma-statement.org/"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sma-statement.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6346B69-1666-3F4A-AD5B-31BDC137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14049</Words>
  <Characters>80080</Characters>
  <Application>Microsoft Office Word</Application>
  <DocSecurity>0</DocSecurity>
  <Lines>667</Lines>
  <Paragraphs>187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Katzenschlager</dc:creator>
  <cp:keywords/>
  <dc:description/>
  <cp:lastModifiedBy>Stephan Katzenschlager</cp:lastModifiedBy>
  <cp:revision>40</cp:revision>
  <dcterms:created xsi:type="dcterms:W3CDTF">2021-12-04T22:16:00Z</dcterms:created>
  <dcterms:modified xsi:type="dcterms:W3CDTF">2023-12-07T11:51:00Z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http://www.zotero.org/styles/elsevier-harvard</vt:lpwstr>
  </property>
  <property fmtid="{D5CDD505-2E9C-101B-9397-08002B2CF9AE}" pid="7" name="Mendeley Recent Style Name 2_1">
    <vt:lpwstr>Elsevier - Harvard (with titles)</vt:lpwstr>
  </property>
  <property fmtid="{D5CDD505-2E9C-101B-9397-08002B2CF9AE}" pid="8" name="Mendeley Recent Style Id 3_1">
    <vt:lpwstr>http://www.zotero.org/styles/elsevier-harvard2</vt:lpwstr>
  </property>
  <property fmtid="{D5CDD505-2E9C-101B-9397-08002B2CF9AE}" pid="9" name="Mendeley Recent Style Name 3_1">
    <vt:lpwstr>Elsevier - Harvard 2</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http://www.zotero.org/styles/journal-of-business-logistics</vt:lpwstr>
  </property>
  <property fmtid="{D5CDD505-2E9C-101B-9397-08002B2CF9AE}" pid="17" name="Mendeley Recent Style Name 7_1">
    <vt:lpwstr>Journal of Business Logistics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c11c7870-900f-352f-a5c5-c17e42e6af22</vt:lpwstr>
  </property>
  <property fmtid="{D5CDD505-2E9C-101B-9397-08002B2CF9AE}" pid="24" name="Mendeley Citation Style_1">
    <vt:lpwstr>http://www.zotero.org/styles/american-medical-association</vt:lpwstr>
  </property>
</Properties>
</file>