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62521" w14:textId="3E690781" w:rsidR="00FA37E6" w:rsidRPr="005A53CC" w:rsidRDefault="00AD3C92" w:rsidP="00AD3C92">
      <w:pPr>
        <w:spacing w:line="360" w:lineRule="auto"/>
        <w:jc w:val="center"/>
        <w:rPr>
          <w:rFonts w:asciiTheme="majorBidi" w:hAnsiTheme="majorBidi" w:cstheme="majorBidi"/>
          <w:b/>
          <w:sz w:val="26"/>
          <w:szCs w:val="26"/>
          <w:lang w:val="en-US"/>
        </w:rPr>
      </w:pPr>
      <w:r w:rsidRPr="005A53CC">
        <w:rPr>
          <w:rFonts w:asciiTheme="majorBidi" w:hAnsiTheme="majorBidi" w:cstheme="majorBidi"/>
          <w:b/>
          <w:bCs/>
          <w:sz w:val="26"/>
          <w:szCs w:val="26"/>
          <w:lang w:val="en-US"/>
        </w:rPr>
        <w:t>Systematic reduction of Hyperspectral Images for high-throughput Plastic Characterization</w:t>
      </w:r>
    </w:p>
    <w:p w14:paraId="7BBB1723" w14:textId="77777777" w:rsidR="00FA37E6" w:rsidRPr="005A53CC" w:rsidRDefault="00FA37E6" w:rsidP="00AD3C92">
      <w:pPr>
        <w:spacing w:line="360" w:lineRule="auto"/>
        <w:jc w:val="center"/>
        <w:rPr>
          <w:rFonts w:asciiTheme="majorBidi" w:hAnsiTheme="majorBidi" w:cstheme="majorBidi"/>
          <w:b/>
          <w:sz w:val="26"/>
          <w:szCs w:val="26"/>
          <w:lang w:val="en-US"/>
        </w:rPr>
      </w:pPr>
    </w:p>
    <w:p w14:paraId="537383BD" w14:textId="77777777" w:rsidR="00FA37E6" w:rsidRPr="005A53CC" w:rsidRDefault="00FA37E6" w:rsidP="00AD3C92">
      <w:pPr>
        <w:spacing w:line="360" w:lineRule="auto"/>
        <w:jc w:val="center"/>
        <w:rPr>
          <w:rFonts w:asciiTheme="majorBidi" w:hAnsiTheme="majorBidi" w:cstheme="majorBidi"/>
          <w:b/>
          <w:sz w:val="26"/>
          <w:szCs w:val="26"/>
          <w:lang w:val="en-US"/>
        </w:rPr>
      </w:pPr>
    </w:p>
    <w:p w14:paraId="1191C467" w14:textId="77777777" w:rsidR="00FA37E6" w:rsidRPr="005A53CC" w:rsidRDefault="00FA37E6" w:rsidP="00AD3C92">
      <w:pPr>
        <w:spacing w:line="360" w:lineRule="auto"/>
        <w:jc w:val="center"/>
        <w:rPr>
          <w:rFonts w:asciiTheme="majorBidi" w:hAnsiTheme="majorBidi" w:cstheme="majorBidi"/>
          <w:b/>
          <w:sz w:val="26"/>
          <w:szCs w:val="26"/>
          <w:lang w:val="en-US"/>
        </w:rPr>
      </w:pPr>
    </w:p>
    <w:p w14:paraId="2028559F" w14:textId="77777777" w:rsidR="00FA37E6" w:rsidRPr="005A53CC" w:rsidRDefault="00FA37E6" w:rsidP="00AD3C92">
      <w:pPr>
        <w:spacing w:line="360" w:lineRule="auto"/>
        <w:jc w:val="center"/>
        <w:rPr>
          <w:rFonts w:asciiTheme="majorBidi" w:hAnsiTheme="majorBidi" w:cstheme="majorBidi"/>
          <w:b/>
          <w:sz w:val="26"/>
          <w:szCs w:val="26"/>
          <w:lang w:val="en-US"/>
        </w:rPr>
      </w:pPr>
    </w:p>
    <w:p w14:paraId="58D5CF88" w14:textId="02AB7774" w:rsidR="00FA37E6" w:rsidRPr="005A53CC" w:rsidRDefault="00AD3C92" w:rsidP="00AD3C92">
      <w:pPr>
        <w:spacing w:line="360" w:lineRule="auto"/>
        <w:jc w:val="center"/>
        <w:rPr>
          <w:rFonts w:asciiTheme="majorBidi" w:hAnsiTheme="majorBidi" w:cstheme="majorBidi"/>
          <w:b/>
          <w:sz w:val="26"/>
          <w:szCs w:val="26"/>
        </w:rPr>
      </w:pPr>
      <w:r w:rsidRPr="005A53CC">
        <w:rPr>
          <w:rFonts w:asciiTheme="majorBidi" w:hAnsiTheme="majorBidi" w:cstheme="majorBidi"/>
          <w:bCs/>
          <w:i/>
          <w:iCs/>
          <w:sz w:val="26"/>
          <w:szCs w:val="26"/>
        </w:rPr>
        <w:t>Mahdiyeh Ghaffari</w:t>
      </w:r>
      <w:r w:rsidR="00B903EC" w:rsidRPr="005A53CC">
        <w:rPr>
          <w:rFonts w:asciiTheme="majorBidi" w:hAnsiTheme="majorBidi" w:cstheme="majorBidi"/>
          <w:bCs/>
          <w:i/>
          <w:iCs/>
          <w:sz w:val="26"/>
          <w:szCs w:val="26"/>
          <w:vertAlign w:val="superscript"/>
        </w:rPr>
        <w:t>1</w:t>
      </w:r>
      <w:r w:rsidRPr="005A53CC">
        <w:rPr>
          <w:rFonts w:asciiTheme="majorBidi" w:hAnsiTheme="majorBidi" w:cstheme="majorBidi"/>
          <w:bCs/>
          <w:i/>
          <w:iCs/>
          <w:sz w:val="26"/>
          <w:szCs w:val="26"/>
        </w:rPr>
        <w:t>*, Mickey C. J. Lukkien</w:t>
      </w:r>
      <w:r w:rsidRPr="005A53CC">
        <w:rPr>
          <w:rFonts w:asciiTheme="majorBidi" w:hAnsiTheme="majorBidi" w:cstheme="majorBidi"/>
          <w:bCs/>
          <w:i/>
          <w:iCs/>
          <w:sz w:val="26"/>
          <w:szCs w:val="26"/>
          <w:vertAlign w:val="superscript"/>
        </w:rPr>
        <w:t>1</w:t>
      </w:r>
      <w:r w:rsidRPr="005A53CC">
        <w:rPr>
          <w:rFonts w:asciiTheme="majorBidi" w:hAnsiTheme="majorBidi" w:cstheme="majorBidi"/>
          <w:bCs/>
          <w:i/>
          <w:iCs/>
          <w:sz w:val="26"/>
          <w:szCs w:val="26"/>
        </w:rPr>
        <w:t>, Nematollah Omidikia</w:t>
      </w:r>
      <w:r w:rsidRPr="005A53CC">
        <w:rPr>
          <w:rFonts w:asciiTheme="majorBidi" w:hAnsiTheme="majorBidi" w:cstheme="majorBidi"/>
          <w:bCs/>
          <w:i/>
          <w:iCs/>
          <w:sz w:val="26"/>
          <w:szCs w:val="26"/>
          <w:vertAlign w:val="superscript"/>
        </w:rPr>
        <w:t>1</w:t>
      </w:r>
      <w:r w:rsidRPr="005A53CC">
        <w:rPr>
          <w:rFonts w:asciiTheme="majorBidi" w:hAnsiTheme="majorBidi" w:cstheme="majorBidi"/>
          <w:bCs/>
          <w:i/>
          <w:iCs/>
          <w:sz w:val="26"/>
          <w:szCs w:val="26"/>
        </w:rPr>
        <w:t>, Gerjen H. Tinnevelt</w:t>
      </w:r>
      <w:r w:rsidRPr="005A53CC">
        <w:rPr>
          <w:rFonts w:asciiTheme="majorBidi" w:hAnsiTheme="majorBidi" w:cstheme="majorBidi"/>
          <w:bCs/>
          <w:i/>
          <w:iCs/>
          <w:sz w:val="26"/>
          <w:szCs w:val="26"/>
          <w:vertAlign w:val="superscript"/>
        </w:rPr>
        <w:t>1</w:t>
      </w:r>
      <w:r w:rsidRPr="005A53CC">
        <w:rPr>
          <w:rFonts w:asciiTheme="majorBidi" w:hAnsiTheme="majorBidi" w:cstheme="majorBidi"/>
          <w:bCs/>
          <w:i/>
          <w:iCs/>
          <w:sz w:val="26"/>
          <w:szCs w:val="26"/>
        </w:rPr>
        <w:t>, Marcel C. P. van Eijk</w:t>
      </w:r>
      <w:r w:rsidRPr="005A53CC">
        <w:rPr>
          <w:rFonts w:asciiTheme="majorBidi" w:hAnsiTheme="majorBidi" w:cstheme="majorBidi"/>
          <w:bCs/>
          <w:i/>
          <w:iCs/>
          <w:sz w:val="26"/>
          <w:szCs w:val="26"/>
          <w:vertAlign w:val="superscript"/>
        </w:rPr>
        <w:t>2</w:t>
      </w:r>
      <w:r w:rsidRPr="005A53CC">
        <w:rPr>
          <w:rFonts w:asciiTheme="majorBidi" w:hAnsiTheme="majorBidi" w:cstheme="majorBidi"/>
          <w:bCs/>
          <w:i/>
          <w:iCs/>
          <w:sz w:val="26"/>
          <w:szCs w:val="26"/>
        </w:rPr>
        <w:t xml:space="preserve">, </w:t>
      </w:r>
      <w:r w:rsidR="00B903EC" w:rsidRPr="005A53CC">
        <w:rPr>
          <w:rFonts w:asciiTheme="majorBidi" w:hAnsiTheme="majorBidi" w:cstheme="majorBidi"/>
          <w:bCs/>
          <w:i/>
          <w:iCs/>
          <w:sz w:val="26"/>
          <w:szCs w:val="26"/>
        </w:rPr>
        <w:t>Stanislav Podchezertsev</w:t>
      </w:r>
      <w:r w:rsidR="00B903EC" w:rsidRPr="005A53CC">
        <w:rPr>
          <w:rFonts w:asciiTheme="majorBidi" w:hAnsiTheme="majorBidi" w:cstheme="majorBidi"/>
          <w:bCs/>
          <w:i/>
          <w:iCs/>
          <w:sz w:val="26"/>
          <w:szCs w:val="26"/>
          <w:vertAlign w:val="superscript"/>
        </w:rPr>
        <w:t>2</w:t>
      </w:r>
      <w:r w:rsidR="00B903EC" w:rsidRPr="005A53CC">
        <w:rPr>
          <w:rFonts w:asciiTheme="majorBidi" w:hAnsiTheme="majorBidi" w:cstheme="majorBidi"/>
          <w:bCs/>
          <w:i/>
          <w:iCs/>
          <w:sz w:val="26"/>
          <w:szCs w:val="26"/>
        </w:rPr>
        <w:t xml:space="preserve">, </w:t>
      </w:r>
      <w:r w:rsidRPr="005A53CC">
        <w:rPr>
          <w:rFonts w:asciiTheme="majorBidi" w:hAnsiTheme="majorBidi" w:cstheme="majorBidi"/>
          <w:bCs/>
          <w:i/>
          <w:iCs/>
          <w:sz w:val="26"/>
          <w:szCs w:val="26"/>
        </w:rPr>
        <w:t>Jeroen J. Jansen</w:t>
      </w:r>
      <w:r w:rsidRPr="005A53CC">
        <w:rPr>
          <w:rFonts w:asciiTheme="majorBidi" w:hAnsiTheme="majorBidi" w:cstheme="majorBidi"/>
          <w:bCs/>
          <w:i/>
          <w:iCs/>
          <w:sz w:val="26"/>
          <w:szCs w:val="26"/>
          <w:vertAlign w:val="superscript"/>
        </w:rPr>
        <w:t>1</w:t>
      </w:r>
      <w:r w:rsidR="00B903EC" w:rsidRPr="005A53CC">
        <w:rPr>
          <w:rFonts w:asciiTheme="majorBidi" w:hAnsiTheme="majorBidi" w:cstheme="majorBidi"/>
          <w:bCs/>
          <w:i/>
          <w:iCs/>
          <w:sz w:val="26"/>
          <w:szCs w:val="26"/>
          <w:vertAlign w:val="superscript"/>
        </w:rPr>
        <w:t>*</w:t>
      </w:r>
    </w:p>
    <w:p w14:paraId="1D8782A1" w14:textId="77777777" w:rsidR="00FA37E6" w:rsidRPr="005A53CC" w:rsidRDefault="00FA37E6" w:rsidP="00AD3C92">
      <w:pPr>
        <w:spacing w:line="360" w:lineRule="auto"/>
        <w:jc w:val="center"/>
        <w:rPr>
          <w:rFonts w:asciiTheme="majorBidi" w:hAnsiTheme="majorBidi" w:cstheme="majorBidi"/>
          <w:b/>
          <w:sz w:val="26"/>
          <w:szCs w:val="26"/>
        </w:rPr>
      </w:pPr>
    </w:p>
    <w:p w14:paraId="72AB1561" w14:textId="77777777" w:rsidR="00FA37E6" w:rsidRPr="005A53CC" w:rsidRDefault="00FA37E6" w:rsidP="00AD3C92">
      <w:pPr>
        <w:spacing w:line="360" w:lineRule="auto"/>
        <w:jc w:val="center"/>
        <w:rPr>
          <w:rFonts w:asciiTheme="majorBidi" w:hAnsiTheme="majorBidi" w:cstheme="majorBidi"/>
          <w:b/>
          <w:sz w:val="26"/>
          <w:szCs w:val="26"/>
        </w:rPr>
      </w:pPr>
    </w:p>
    <w:p w14:paraId="2860219A" w14:textId="77777777" w:rsidR="00FA37E6" w:rsidRPr="005A53CC" w:rsidRDefault="00FA37E6" w:rsidP="00AD3C92">
      <w:pPr>
        <w:spacing w:line="360" w:lineRule="auto"/>
        <w:jc w:val="center"/>
        <w:rPr>
          <w:rFonts w:asciiTheme="majorBidi" w:hAnsiTheme="majorBidi" w:cstheme="majorBidi"/>
          <w:b/>
          <w:sz w:val="26"/>
          <w:szCs w:val="26"/>
        </w:rPr>
      </w:pPr>
    </w:p>
    <w:p w14:paraId="0AF5D210" w14:textId="77777777" w:rsidR="00FA37E6" w:rsidRPr="005A53CC" w:rsidRDefault="00FA37E6" w:rsidP="00AD3C92">
      <w:pPr>
        <w:spacing w:line="360" w:lineRule="auto"/>
        <w:jc w:val="center"/>
        <w:rPr>
          <w:rFonts w:asciiTheme="majorBidi" w:eastAsia="Times New Roman" w:hAnsiTheme="majorBidi" w:cstheme="majorBidi"/>
          <w:i/>
          <w:iCs/>
          <w:color w:val="222222"/>
          <w:sz w:val="26"/>
          <w:szCs w:val="26"/>
          <w:lang w:val="en-US" w:eastAsia="it-IT"/>
        </w:rPr>
      </w:pPr>
      <w:r w:rsidRPr="005A53CC">
        <w:rPr>
          <w:rFonts w:asciiTheme="majorBidi" w:eastAsia="Times New Roman" w:hAnsiTheme="majorBidi" w:cstheme="majorBidi"/>
          <w:i/>
          <w:iCs/>
          <w:color w:val="222222"/>
          <w:sz w:val="26"/>
          <w:szCs w:val="26"/>
          <w:vertAlign w:val="superscript"/>
          <w:lang w:val="en-US" w:eastAsia="it-IT"/>
        </w:rPr>
        <w:t>1</w:t>
      </w:r>
      <w:r w:rsidRPr="005A53CC">
        <w:rPr>
          <w:rFonts w:asciiTheme="majorBidi" w:eastAsia="Times New Roman" w:hAnsiTheme="majorBidi" w:cstheme="majorBidi"/>
          <w:i/>
          <w:iCs/>
          <w:color w:val="222222"/>
          <w:sz w:val="26"/>
          <w:szCs w:val="26"/>
          <w:lang w:val="en-US" w:eastAsia="it-IT"/>
        </w:rPr>
        <w:t>Radboud University, Institute for Molecules and Materials, Analytical Chemistry, P.O. Box 9010, 6500 GL Nijmegen, the Netherlands</w:t>
      </w:r>
    </w:p>
    <w:p w14:paraId="13885D5F" w14:textId="77777777" w:rsidR="00FA37E6" w:rsidRPr="005A53CC" w:rsidRDefault="00FA37E6" w:rsidP="00AD3C92">
      <w:pPr>
        <w:shd w:val="clear" w:color="auto" w:fill="FFFFFF"/>
        <w:spacing w:line="360" w:lineRule="auto"/>
        <w:jc w:val="center"/>
        <w:rPr>
          <w:rFonts w:asciiTheme="majorBidi" w:eastAsia="Times New Roman" w:hAnsiTheme="majorBidi" w:cstheme="majorBidi"/>
          <w:i/>
          <w:iCs/>
          <w:color w:val="222222"/>
          <w:sz w:val="26"/>
          <w:szCs w:val="26"/>
          <w:lang w:val="en-US" w:eastAsia="it-IT"/>
        </w:rPr>
      </w:pPr>
      <w:r w:rsidRPr="005A53CC">
        <w:rPr>
          <w:rFonts w:asciiTheme="majorBidi" w:eastAsia="Times New Roman" w:hAnsiTheme="majorBidi" w:cstheme="majorBidi"/>
          <w:i/>
          <w:iCs/>
          <w:color w:val="222222"/>
          <w:sz w:val="26"/>
          <w:szCs w:val="26"/>
          <w:vertAlign w:val="superscript"/>
          <w:lang w:val="en-US" w:eastAsia="it-IT"/>
        </w:rPr>
        <w:t>2</w:t>
      </w:r>
      <w:r w:rsidRPr="005A53CC">
        <w:rPr>
          <w:rFonts w:asciiTheme="majorBidi" w:eastAsia="Times New Roman" w:hAnsiTheme="majorBidi" w:cstheme="majorBidi"/>
          <w:i/>
          <w:iCs/>
          <w:color w:val="222222"/>
          <w:sz w:val="26"/>
          <w:szCs w:val="26"/>
          <w:lang w:val="en-US" w:eastAsia="it-IT"/>
        </w:rPr>
        <w:t>National Test Centre Circular Plastics (NTCP), Duitslanddreef 7, 8447 SE Heerenveen, the Netherlands</w:t>
      </w:r>
    </w:p>
    <w:p w14:paraId="7172C9C5" w14:textId="77777777" w:rsidR="00FA37E6" w:rsidRPr="005A53CC" w:rsidRDefault="00FA37E6" w:rsidP="00AD3C92">
      <w:pPr>
        <w:spacing w:line="360" w:lineRule="auto"/>
        <w:jc w:val="center"/>
        <w:rPr>
          <w:rFonts w:asciiTheme="majorBidi" w:hAnsiTheme="majorBidi" w:cstheme="majorBidi"/>
          <w:b/>
          <w:sz w:val="26"/>
          <w:szCs w:val="26"/>
          <w:lang w:val="en-US"/>
        </w:rPr>
      </w:pPr>
    </w:p>
    <w:p w14:paraId="5BB3769D" w14:textId="77777777" w:rsidR="00FA37E6" w:rsidRPr="005A53CC" w:rsidRDefault="00FA37E6" w:rsidP="00AD3C92">
      <w:pPr>
        <w:spacing w:line="360" w:lineRule="auto"/>
        <w:jc w:val="center"/>
        <w:rPr>
          <w:rFonts w:asciiTheme="majorBidi" w:hAnsiTheme="majorBidi" w:cstheme="majorBidi"/>
          <w:b/>
          <w:sz w:val="26"/>
          <w:szCs w:val="26"/>
          <w:lang w:val="en-US"/>
        </w:rPr>
      </w:pPr>
    </w:p>
    <w:p w14:paraId="0EDA3C2E" w14:textId="77777777" w:rsidR="00FA37E6" w:rsidRPr="005A53CC" w:rsidRDefault="00FA37E6" w:rsidP="00AD3C92">
      <w:pPr>
        <w:spacing w:line="360" w:lineRule="auto"/>
        <w:jc w:val="center"/>
        <w:rPr>
          <w:rFonts w:asciiTheme="majorBidi" w:hAnsiTheme="majorBidi" w:cstheme="majorBidi"/>
          <w:b/>
          <w:sz w:val="26"/>
          <w:szCs w:val="26"/>
          <w:lang w:val="en-US"/>
        </w:rPr>
      </w:pPr>
    </w:p>
    <w:p w14:paraId="65436DB3" w14:textId="041BBC33" w:rsidR="00FA37E6" w:rsidRPr="005A53CC" w:rsidRDefault="00FA37E6" w:rsidP="00AD3C92">
      <w:pPr>
        <w:spacing w:line="360" w:lineRule="auto"/>
        <w:jc w:val="center"/>
        <w:rPr>
          <w:rFonts w:asciiTheme="majorBidi" w:hAnsiTheme="majorBidi" w:cstheme="majorBidi"/>
          <w:bCs/>
          <w:i/>
          <w:iCs/>
          <w:sz w:val="26"/>
          <w:szCs w:val="26"/>
          <w:lang w:val="fr-FR"/>
        </w:rPr>
      </w:pPr>
      <w:r w:rsidRPr="005A53CC">
        <w:rPr>
          <w:rFonts w:asciiTheme="majorBidi" w:hAnsiTheme="majorBidi" w:cstheme="majorBidi"/>
          <w:bCs/>
          <w:i/>
          <w:iCs/>
          <w:sz w:val="26"/>
          <w:szCs w:val="26"/>
          <w:lang w:val="fr-FR"/>
        </w:rPr>
        <w:t xml:space="preserve">Email: </w:t>
      </w:r>
      <w:hyperlink r:id="rId6" w:history="1">
        <w:r w:rsidRPr="005A53CC">
          <w:rPr>
            <w:rStyle w:val="Hyperlink"/>
            <w:rFonts w:asciiTheme="majorBidi" w:hAnsiTheme="majorBidi" w:cstheme="majorBidi"/>
            <w:bCs/>
            <w:i/>
            <w:iCs/>
            <w:sz w:val="26"/>
            <w:szCs w:val="26"/>
            <w:lang w:val="fr-FR"/>
          </w:rPr>
          <w:t>mahdiyeh.ghaffari@ru.nl</w:t>
        </w:r>
      </w:hyperlink>
      <w:r w:rsidRPr="005A53CC">
        <w:rPr>
          <w:rFonts w:asciiTheme="majorBidi" w:hAnsiTheme="majorBidi" w:cstheme="majorBidi"/>
          <w:bCs/>
          <w:i/>
          <w:iCs/>
          <w:sz w:val="26"/>
          <w:szCs w:val="26"/>
          <w:lang w:val="fr-FR"/>
        </w:rPr>
        <w:t xml:space="preserve">, </w:t>
      </w:r>
      <w:hyperlink r:id="rId7" w:history="1">
        <w:r w:rsidR="00AD3C92" w:rsidRPr="005A53CC">
          <w:rPr>
            <w:rStyle w:val="Hyperlink"/>
            <w:rFonts w:asciiTheme="majorBidi" w:hAnsiTheme="majorBidi" w:cstheme="majorBidi"/>
            <w:bCs/>
            <w:i/>
            <w:iCs/>
            <w:sz w:val="26"/>
            <w:szCs w:val="26"/>
            <w:lang w:val="fr-FR"/>
          </w:rPr>
          <w:t>chemometrics@ru.nl</w:t>
        </w:r>
      </w:hyperlink>
    </w:p>
    <w:p w14:paraId="66D466AF" w14:textId="77777777" w:rsidR="00FA37E6" w:rsidRPr="005A53CC" w:rsidRDefault="00FA37E6" w:rsidP="00AD3C92">
      <w:pPr>
        <w:spacing w:line="360" w:lineRule="auto"/>
        <w:rPr>
          <w:rFonts w:asciiTheme="majorBidi" w:hAnsiTheme="majorBidi" w:cstheme="majorBidi"/>
          <w:b/>
          <w:sz w:val="26"/>
          <w:szCs w:val="26"/>
          <w:lang w:val="fr-FR"/>
        </w:rPr>
      </w:pPr>
    </w:p>
    <w:p w14:paraId="7D742EAC" w14:textId="77777777" w:rsidR="000B33CE" w:rsidRPr="005A53CC" w:rsidRDefault="000B33CE" w:rsidP="00AD3C92">
      <w:pPr>
        <w:spacing w:line="360" w:lineRule="auto"/>
      </w:pPr>
    </w:p>
    <w:p w14:paraId="6D2F7A49" w14:textId="77777777" w:rsidR="00FA37E6" w:rsidRPr="005A53CC" w:rsidRDefault="00FA37E6" w:rsidP="00AD3C92">
      <w:pPr>
        <w:spacing w:line="360" w:lineRule="auto"/>
      </w:pPr>
    </w:p>
    <w:p w14:paraId="73E268EA" w14:textId="77777777" w:rsidR="00AD3C92" w:rsidRPr="005A53CC" w:rsidRDefault="00AD3C92" w:rsidP="00AD3C92">
      <w:pPr>
        <w:spacing w:line="360" w:lineRule="auto"/>
      </w:pPr>
    </w:p>
    <w:p w14:paraId="59DBFB84" w14:textId="77777777" w:rsidR="00AD3C92" w:rsidRPr="005A53CC" w:rsidRDefault="00AD3C92" w:rsidP="00AD3C92">
      <w:pPr>
        <w:spacing w:line="360" w:lineRule="auto"/>
      </w:pPr>
    </w:p>
    <w:p w14:paraId="0D95F802" w14:textId="77777777" w:rsidR="00AD3C92" w:rsidRPr="005A53CC" w:rsidRDefault="00AD3C92" w:rsidP="00AD3C92">
      <w:pPr>
        <w:spacing w:line="360" w:lineRule="auto"/>
      </w:pPr>
    </w:p>
    <w:p w14:paraId="4B3A4B4F" w14:textId="77777777" w:rsidR="00AD3C92" w:rsidRPr="005A53CC" w:rsidRDefault="00AD3C92" w:rsidP="00AD3C92">
      <w:pPr>
        <w:spacing w:line="360" w:lineRule="auto"/>
      </w:pPr>
    </w:p>
    <w:p w14:paraId="2AC2454D" w14:textId="77777777" w:rsidR="00AD3C92" w:rsidRPr="005A53CC" w:rsidRDefault="00AD3C92" w:rsidP="00AD3C92">
      <w:pPr>
        <w:spacing w:line="360" w:lineRule="auto"/>
      </w:pPr>
    </w:p>
    <w:p w14:paraId="0875EC4E" w14:textId="77777777" w:rsidR="00AD3C92" w:rsidRPr="005A53CC" w:rsidRDefault="00AD3C92" w:rsidP="00AD3C92">
      <w:pPr>
        <w:spacing w:line="360" w:lineRule="auto"/>
      </w:pPr>
    </w:p>
    <w:p w14:paraId="582D9003" w14:textId="77777777" w:rsidR="00AD3C92" w:rsidRPr="005A53CC" w:rsidRDefault="00AD3C92" w:rsidP="00AD3C92">
      <w:pPr>
        <w:spacing w:line="360" w:lineRule="auto"/>
      </w:pPr>
    </w:p>
    <w:p w14:paraId="37ED21ED" w14:textId="77777777" w:rsidR="00AD3C92" w:rsidRPr="005A53CC" w:rsidRDefault="00AD3C92" w:rsidP="00AD3C92">
      <w:pPr>
        <w:spacing w:line="360" w:lineRule="auto"/>
      </w:pPr>
    </w:p>
    <w:p w14:paraId="422545FB" w14:textId="77777777" w:rsidR="00AD3C92" w:rsidRPr="005A53CC" w:rsidRDefault="00AD3C92" w:rsidP="00AD3C92">
      <w:pPr>
        <w:spacing w:line="360" w:lineRule="auto"/>
      </w:pPr>
    </w:p>
    <w:p w14:paraId="4DB10681" w14:textId="77777777" w:rsidR="00FA37E6" w:rsidRPr="005A53CC" w:rsidRDefault="00FA37E6" w:rsidP="00AD3C92">
      <w:pPr>
        <w:spacing w:line="360" w:lineRule="auto"/>
      </w:pPr>
    </w:p>
    <w:p w14:paraId="1B536E50" w14:textId="77777777" w:rsidR="00FA37E6" w:rsidRPr="005A53CC" w:rsidRDefault="00FA37E6" w:rsidP="00AD3C92">
      <w:pPr>
        <w:spacing w:line="360" w:lineRule="auto"/>
        <w:jc w:val="center"/>
        <w:rPr>
          <w:rFonts w:asciiTheme="majorBidi" w:hAnsiTheme="majorBidi" w:cstheme="majorBidi"/>
          <w:b/>
          <w:bCs/>
          <w:sz w:val="24"/>
          <w:szCs w:val="28"/>
        </w:rPr>
      </w:pPr>
      <w:r w:rsidRPr="005A53CC">
        <w:rPr>
          <w:rFonts w:asciiTheme="majorBidi" w:hAnsiTheme="majorBidi" w:cstheme="majorBidi"/>
          <w:b/>
          <w:bCs/>
          <w:sz w:val="24"/>
          <w:szCs w:val="28"/>
        </w:rPr>
        <w:t>Supporting Information</w:t>
      </w:r>
    </w:p>
    <w:p w14:paraId="6ABBB8AB" w14:textId="77777777" w:rsidR="00FA37E6" w:rsidRPr="005A53CC" w:rsidRDefault="00FA37E6" w:rsidP="00AD3C92">
      <w:pPr>
        <w:spacing w:line="360" w:lineRule="auto"/>
        <w:jc w:val="center"/>
        <w:rPr>
          <w:rFonts w:asciiTheme="majorBidi" w:hAnsiTheme="majorBidi" w:cstheme="majorBidi"/>
          <w:b/>
          <w:bCs/>
          <w:sz w:val="24"/>
          <w:szCs w:val="28"/>
        </w:rPr>
      </w:pPr>
    </w:p>
    <w:p w14:paraId="5E5709F5" w14:textId="77777777" w:rsidR="00AD3C92" w:rsidRPr="005A53CC" w:rsidRDefault="00AD3C92" w:rsidP="00AD3C92">
      <w:pPr>
        <w:spacing w:line="360" w:lineRule="auto"/>
        <w:jc w:val="center"/>
        <w:rPr>
          <w:rFonts w:asciiTheme="majorBidi" w:hAnsiTheme="majorBidi" w:cstheme="majorBidi"/>
          <w:b/>
          <w:bCs/>
          <w:sz w:val="24"/>
          <w:szCs w:val="28"/>
        </w:rPr>
      </w:pPr>
    </w:p>
    <w:p w14:paraId="4EED7ACA" w14:textId="77777777" w:rsidR="00264136" w:rsidRPr="005A53CC" w:rsidRDefault="00264136" w:rsidP="00AD3C92">
      <w:pPr>
        <w:spacing w:line="360" w:lineRule="auto"/>
        <w:jc w:val="both"/>
        <w:rPr>
          <w:rFonts w:asciiTheme="majorBidi" w:hAnsiTheme="majorBidi" w:cstheme="majorBidi"/>
          <w:sz w:val="24"/>
          <w:szCs w:val="28"/>
          <w:lang w:val="en-US"/>
        </w:rPr>
      </w:pPr>
    </w:p>
    <w:p w14:paraId="33AC54B0" w14:textId="77777777" w:rsidR="00264136" w:rsidRPr="005A53CC" w:rsidRDefault="00264136" w:rsidP="00AD3C92">
      <w:pPr>
        <w:spacing w:line="360" w:lineRule="auto"/>
        <w:jc w:val="both"/>
        <w:rPr>
          <w:rFonts w:asciiTheme="majorBidi" w:hAnsiTheme="majorBidi" w:cstheme="majorBidi"/>
          <w:sz w:val="24"/>
          <w:szCs w:val="28"/>
          <w:lang w:val="en-US"/>
        </w:rPr>
      </w:pPr>
    </w:p>
    <w:p w14:paraId="420D1A28" w14:textId="77777777" w:rsidR="00264136" w:rsidRPr="005A53CC" w:rsidRDefault="00264136" w:rsidP="00AD3C92">
      <w:pPr>
        <w:spacing w:line="360" w:lineRule="auto"/>
        <w:jc w:val="both"/>
        <w:rPr>
          <w:rFonts w:asciiTheme="majorBidi" w:hAnsiTheme="majorBidi" w:cstheme="majorBidi"/>
          <w:sz w:val="24"/>
          <w:szCs w:val="28"/>
          <w:lang w:val="en-US"/>
        </w:rPr>
      </w:pPr>
    </w:p>
    <w:p w14:paraId="2B2E73CE" w14:textId="77777777" w:rsidR="00264136" w:rsidRPr="005A53CC" w:rsidRDefault="00264136" w:rsidP="00AD3C92">
      <w:pPr>
        <w:spacing w:line="360" w:lineRule="auto"/>
        <w:jc w:val="both"/>
        <w:rPr>
          <w:rFonts w:asciiTheme="majorBidi" w:hAnsiTheme="majorBidi" w:cstheme="majorBidi"/>
          <w:sz w:val="24"/>
          <w:szCs w:val="28"/>
          <w:lang w:val="en-US"/>
        </w:rPr>
      </w:pPr>
      <w:bookmarkStart w:id="0" w:name="_GoBack"/>
      <w:bookmarkEnd w:id="0"/>
    </w:p>
    <w:p w14:paraId="416E0CE2" w14:textId="56BF968F" w:rsidR="00AD3C92" w:rsidRPr="005A53CC" w:rsidRDefault="00AD3C92" w:rsidP="00AD3C92">
      <w:pPr>
        <w:spacing w:line="360" w:lineRule="auto"/>
        <w:jc w:val="both"/>
        <w:rPr>
          <w:rFonts w:asciiTheme="majorBidi" w:hAnsiTheme="majorBidi" w:cstheme="majorBidi"/>
          <w:sz w:val="24"/>
          <w:szCs w:val="28"/>
          <w:lang w:val="en-US"/>
        </w:rPr>
      </w:pPr>
      <w:r w:rsidRPr="005A53CC">
        <w:rPr>
          <w:rFonts w:asciiTheme="majorBidi" w:hAnsiTheme="majorBidi" w:cstheme="majorBidi"/>
          <w:sz w:val="24"/>
          <w:szCs w:val="28"/>
          <w:lang w:val="en-US"/>
        </w:rPr>
        <w:t>This paper utilizes correlation growing for object detection, where the algorithm performs semantic segmentation in a hyperspectral image. This approach resembles how a flood-fill algorithm in a photoshopping program can fill an enclosed area with a particular color. Although the algorithm has not been published as an independent research paper yet, it functions by selecting a seed pixel arbitrarily, which belongs to an object. The algorithm then compares the corresponding spectra of the seed to its neighboring pixels by computing the correlation coefficient. The pixels with a high/low correlation are identified as part of the object/empty conveyor belt, respectively. The seed continues to expand by checking the neighboring pixels of newly recognized object pixels. Once there are no additional pixels with adequate correlation, the algorithm stops, indicating that the edge of the object has been reached. This process is illustrated in Figure S1b for an arbitrary object (Figure S1a).</w:t>
      </w:r>
      <w:r w:rsidR="006C1EAA" w:rsidRPr="005A53CC">
        <w:rPr>
          <w:rFonts w:asciiTheme="majorBidi" w:hAnsiTheme="majorBidi" w:cstheme="majorBidi"/>
          <w:sz w:val="24"/>
          <w:szCs w:val="28"/>
          <w:lang w:val="en-US"/>
        </w:rPr>
        <w:t xml:space="preserve"> </w:t>
      </w:r>
    </w:p>
    <w:p w14:paraId="15948788" w14:textId="0655D0D3" w:rsidR="00C82450" w:rsidRDefault="00C82450" w:rsidP="00AD3C92">
      <w:pPr>
        <w:spacing w:line="360" w:lineRule="auto"/>
        <w:jc w:val="both"/>
        <w:rPr>
          <w:rFonts w:asciiTheme="majorBidi" w:hAnsiTheme="majorBidi" w:cstheme="majorBidi"/>
          <w:sz w:val="24"/>
          <w:szCs w:val="28"/>
          <w:lang w:val="en-US"/>
        </w:rPr>
      </w:pPr>
      <w:r w:rsidRPr="005A53CC">
        <w:rPr>
          <w:rFonts w:asciiTheme="majorBidi" w:hAnsiTheme="majorBidi" w:cstheme="majorBidi"/>
          <w:sz w:val="24"/>
          <w:szCs w:val="28"/>
          <w:lang w:val="en-US"/>
        </w:rPr>
        <w:t>In the context of plastic sorting, where real-time prediction and classification are of paramount importance, it's essential to recognize that the landscape accommodates full image analysis. This can involve a combination of line scans to construct an image or the utilization of actual 2D images, a practice well-established in applications involving both RGB and HSI data. It is noteworthy that manufacturers often maintain a degree of secrecy regarding the intricate workings of their equipment, underscoring the significance of data interpretation and treatment. Furthermore, the transition between line scans and 2D scans can be effectively facilitated through appropriate data manipulation and interpretation techniques, with the choice between these approaches being contingent upon specific sorting requirements and available data.</w:t>
      </w:r>
    </w:p>
    <w:p w14:paraId="51250CCF" w14:textId="77777777" w:rsidR="00964A62" w:rsidRPr="005A53CC" w:rsidRDefault="00964A62" w:rsidP="00AD3C92">
      <w:pPr>
        <w:spacing w:line="360" w:lineRule="auto"/>
        <w:jc w:val="both"/>
        <w:rPr>
          <w:rFonts w:asciiTheme="majorBidi" w:hAnsiTheme="majorBidi" w:cstheme="majorBidi"/>
          <w:sz w:val="24"/>
          <w:szCs w:val="28"/>
          <w:lang w:val="en-US"/>
        </w:rPr>
      </w:pPr>
    </w:p>
    <w:p w14:paraId="2AC6B0ED" w14:textId="77777777" w:rsidR="00264136" w:rsidRPr="005A53CC" w:rsidRDefault="00264136" w:rsidP="00AD3C92">
      <w:pPr>
        <w:spacing w:line="360" w:lineRule="auto"/>
        <w:jc w:val="both"/>
        <w:rPr>
          <w:rFonts w:asciiTheme="majorBidi" w:hAnsiTheme="majorBidi" w:cstheme="majorBidi"/>
          <w:sz w:val="24"/>
          <w:szCs w:val="28"/>
          <w:lang w:val="en-US"/>
        </w:rPr>
      </w:pPr>
    </w:p>
    <w:p w14:paraId="35F1216E" w14:textId="77777777" w:rsidR="00AD3C92" w:rsidRPr="005A53CC" w:rsidRDefault="00AD3C92" w:rsidP="00AD3C92">
      <w:pPr>
        <w:spacing w:line="360" w:lineRule="auto"/>
        <w:jc w:val="center"/>
        <w:rPr>
          <w:rFonts w:asciiTheme="majorBidi" w:hAnsiTheme="majorBidi" w:cstheme="majorBidi"/>
          <w:b/>
          <w:bCs/>
          <w:sz w:val="24"/>
          <w:szCs w:val="28"/>
          <w:lang w:val="en-US"/>
        </w:rPr>
      </w:pPr>
    </w:p>
    <w:tbl>
      <w:tblPr>
        <w:tblStyle w:val="TableGrid"/>
        <w:tblpPr w:leftFromText="180" w:rightFromText="180" w:vertAnchor="text" w:horzAnchor="margin" w:tblpY="2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AD3C92" w:rsidRPr="005A53CC" w14:paraId="6D2BDC2A" w14:textId="77777777" w:rsidTr="00965A7A">
        <w:tc>
          <w:tcPr>
            <w:tcW w:w="4621" w:type="dxa"/>
          </w:tcPr>
          <w:p w14:paraId="7E9C3EF1"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lastRenderedPageBreak/>
              <w:t>a</w:t>
            </w:r>
          </w:p>
          <w:p w14:paraId="4B27966A"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anchor distT="0" distB="0" distL="114300" distR="114300" simplePos="0" relativeHeight="251658240" behindDoc="0" locked="0" layoutInCell="1" allowOverlap="1" wp14:anchorId="22D13C1A" wp14:editId="4FFB67EB">
                  <wp:simplePos x="0" y="0"/>
                  <wp:positionH relativeFrom="column">
                    <wp:posOffset>145473</wp:posOffset>
                  </wp:positionH>
                  <wp:positionV relativeFrom="paragraph">
                    <wp:posOffset>-2367</wp:posOffset>
                  </wp:positionV>
                  <wp:extent cx="2648377" cy="2279073"/>
                  <wp:effectExtent l="0" t="0" r="0" b="6985"/>
                  <wp:wrapNone/>
                  <wp:docPr id="30" name="Picture 30" descr="A picture containing circle, wheel, indoor, comp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circle, wheel, indoor, compass&#10;&#10;Description automatically generated"/>
                          <pic:cNvPicPr preferRelativeResize="0">
                            <a:picLocks noChangeAspect="1"/>
                          </pic:cNvPicPr>
                        </pic:nvPicPr>
                        <pic:blipFill>
                          <a:blip r:embed="rId8"/>
                          <a:stretch>
                            <a:fillRect/>
                          </a:stretch>
                        </pic:blipFill>
                        <pic:spPr>
                          <a:xfrm>
                            <a:off x="0" y="0"/>
                            <a:ext cx="2648376" cy="2279072"/>
                          </a:xfrm>
                          <a:prstGeom prst="rect">
                            <a:avLst/>
                          </a:prstGeom>
                        </pic:spPr>
                      </pic:pic>
                    </a:graphicData>
                  </a:graphic>
                  <wp14:sizeRelH relativeFrom="margin">
                    <wp14:pctWidth>0</wp14:pctWidth>
                  </wp14:sizeRelH>
                  <wp14:sizeRelV relativeFrom="margin">
                    <wp14:pctHeight>0</wp14:pctHeight>
                  </wp14:sizeRelV>
                </wp:anchor>
              </w:drawing>
            </w:r>
          </w:p>
        </w:tc>
        <w:tc>
          <w:tcPr>
            <w:tcW w:w="4621" w:type="dxa"/>
          </w:tcPr>
          <w:p w14:paraId="48C24BE1"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b</w:t>
            </w:r>
          </w:p>
          <w:p w14:paraId="60E5DBBD"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7ACE7E3B" wp14:editId="5ECD91CC">
                  <wp:extent cx="2651760" cy="2280285"/>
                  <wp:effectExtent l="0" t="0" r="0" b="5715"/>
                  <wp:docPr id="31" name="Picture 31" descr="A picture containing yellow, graphics, clipart,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yellow, graphics, clipart, graphic desig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1760" cy="2280285"/>
                          </a:xfrm>
                          <a:prstGeom prst="rect">
                            <a:avLst/>
                          </a:prstGeom>
                          <a:noFill/>
                        </pic:spPr>
                      </pic:pic>
                    </a:graphicData>
                  </a:graphic>
                </wp:inline>
              </w:drawing>
            </w:r>
          </w:p>
        </w:tc>
      </w:tr>
    </w:tbl>
    <w:p w14:paraId="7D9AB42B" w14:textId="77777777" w:rsidR="00AD3C92" w:rsidRPr="005A53CC" w:rsidRDefault="00AD3C92" w:rsidP="00AD3C92">
      <w:pPr>
        <w:spacing w:line="360" w:lineRule="auto"/>
        <w:jc w:val="center"/>
        <w:rPr>
          <w:rFonts w:asciiTheme="majorBidi" w:hAnsiTheme="majorBidi" w:cstheme="majorBidi"/>
          <w:sz w:val="24"/>
          <w:szCs w:val="28"/>
          <w:lang w:val="en-US"/>
        </w:rPr>
      </w:pPr>
      <w:r w:rsidRPr="005A53CC">
        <w:rPr>
          <w:rFonts w:asciiTheme="majorBidi" w:hAnsiTheme="majorBidi" w:cstheme="majorBidi"/>
          <w:b/>
          <w:bCs/>
          <w:sz w:val="24"/>
          <w:szCs w:val="28"/>
          <w:lang w:val="en-US"/>
        </w:rPr>
        <w:t>Figure S1</w:t>
      </w:r>
      <w:r w:rsidRPr="005A53CC">
        <w:rPr>
          <w:rFonts w:asciiTheme="majorBidi" w:hAnsiTheme="majorBidi" w:cstheme="majorBidi"/>
          <w:sz w:val="24"/>
          <w:szCs w:val="28"/>
          <w:lang w:val="en-US"/>
        </w:rPr>
        <w:t xml:space="preserve">. a) Present the RGB image of an arbitrary object and b) is visualizing the object </w:t>
      </w:r>
    </w:p>
    <w:p w14:paraId="46AA36C9" w14:textId="0E1CB00E" w:rsidR="00AD3C92" w:rsidRPr="005A53CC" w:rsidRDefault="00AD3C92" w:rsidP="00AD3C92">
      <w:pPr>
        <w:spacing w:line="360" w:lineRule="auto"/>
        <w:jc w:val="center"/>
        <w:rPr>
          <w:rFonts w:asciiTheme="majorBidi" w:hAnsiTheme="majorBidi" w:cstheme="majorBidi"/>
          <w:sz w:val="24"/>
          <w:szCs w:val="28"/>
          <w:lang w:val="en-US"/>
        </w:rPr>
      </w:pPr>
      <w:r w:rsidRPr="005A53CC">
        <w:rPr>
          <w:rFonts w:asciiTheme="majorBidi" w:hAnsiTheme="majorBidi" w:cstheme="majorBidi"/>
          <w:sz w:val="24"/>
          <w:szCs w:val="28"/>
          <w:lang w:val="en-US"/>
        </w:rPr>
        <w:t>detection using correlation growing.</w:t>
      </w:r>
    </w:p>
    <w:p w14:paraId="5ACCE257" w14:textId="77777777" w:rsidR="00264136" w:rsidRPr="005A53CC" w:rsidRDefault="00264136" w:rsidP="00AD3C92">
      <w:pPr>
        <w:spacing w:line="360" w:lineRule="auto"/>
        <w:jc w:val="both"/>
        <w:rPr>
          <w:rFonts w:asciiTheme="majorBidi" w:hAnsiTheme="majorBidi" w:cstheme="majorBidi"/>
          <w:sz w:val="24"/>
          <w:szCs w:val="28"/>
          <w:lang w:val="en-US"/>
        </w:rPr>
      </w:pPr>
    </w:p>
    <w:p w14:paraId="2FF482DD" w14:textId="77777777" w:rsidR="00AD3C92" w:rsidRPr="005A53CC" w:rsidRDefault="00AD3C92" w:rsidP="00AD3C92">
      <w:pPr>
        <w:spacing w:line="360" w:lineRule="auto"/>
        <w:jc w:val="center"/>
        <w:rPr>
          <w:rFonts w:asciiTheme="majorBidi" w:hAnsiTheme="majorBidi" w:cstheme="majorBidi"/>
          <w:b/>
          <w:bCs/>
          <w:sz w:val="24"/>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3191"/>
        <w:gridCol w:w="3191"/>
      </w:tblGrid>
      <w:tr w:rsidR="00AD3C92" w:rsidRPr="005A53CC" w14:paraId="0EF18E6E" w14:textId="77777777" w:rsidTr="00965A7A">
        <w:tc>
          <w:tcPr>
            <w:tcW w:w="3080" w:type="dxa"/>
          </w:tcPr>
          <w:p w14:paraId="524D1E1E"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a</w:t>
            </w:r>
          </w:p>
          <w:p w14:paraId="738949D3"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0F5F1C66" wp14:editId="4ED12E00">
                  <wp:extent cx="1697182" cy="1353243"/>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744" t="5699" r="8538" b="7317"/>
                          <a:stretch/>
                        </pic:blipFill>
                        <pic:spPr bwMode="auto">
                          <a:xfrm>
                            <a:off x="0" y="0"/>
                            <a:ext cx="1703462" cy="13582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81" w:type="dxa"/>
          </w:tcPr>
          <w:p w14:paraId="74E21730"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b</w:t>
            </w:r>
          </w:p>
          <w:p w14:paraId="20A0903D"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49DE91A3" wp14:editId="7A85F9AC">
                  <wp:extent cx="1939637" cy="136288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198"/>
                          <a:stretch/>
                        </pic:blipFill>
                        <pic:spPr bwMode="auto">
                          <a:xfrm>
                            <a:off x="0" y="0"/>
                            <a:ext cx="1939636" cy="13628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81" w:type="dxa"/>
          </w:tcPr>
          <w:p w14:paraId="4ACA3B1E"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c</w:t>
            </w:r>
          </w:p>
          <w:p w14:paraId="4B4AC843"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00C82510" wp14:editId="194287BE">
                  <wp:extent cx="1942029" cy="1371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714"/>
                          <a:stretch/>
                        </pic:blipFill>
                        <pic:spPr bwMode="auto">
                          <a:xfrm>
                            <a:off x="0" y="0"/>
                            <a:ext cx="1946677" cy="137488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D3C92" w:rsidRPr="005A53CC" w14:paraId="4D1F8CC3" w14:textId="77777777" w:rsidTr="00965A7A">
        <w:tc>
          <w:tcPr>
            <w:tcW w:w="3080" w:type="dxa"/>
          </w:tcPr>
          <w:p w14:paraId="63F1CE80"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d</w:t>
            </w:r>
          </w:p>
          <w:p w14:paraId="4E8BFBB6"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285E4EF4" wp14:editId="4507BE32">
                  <wp:extent cx="1981200" cy="14840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3758" cy="1485986"/>
                          </a:xfrm>
                          <a:prstGeom prst="rect">
                            <a:avLst/>
                          </a:prstGeom>
                          <a:noFill/>
                          <a:ln>
                            <a:noFill/>
                          </a:ln>
                        </pic:spPr>
                      </pic:pic>
                    </a:graphicData>
                  </a:graphic>
                </wp:inline>
              </w:drawing>
            </w:r>
          </w:p>
        </w:tc>
        <w:tc>
          <w:tcPr>
            <w:tcW w:w="3081" w:type="dxa"/>
          </w:tcPr>
          <w:p w14:paraId="6B444E94"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e</w:t>
            </w:r>
          </w:p>
          <w:p w14:paraId="36877F53"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5518544D" wp14:editId="2166DEBF">
                  <wp:extent cx="1979018" cy="1482436"/>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84016" cy="1486180"/>
                          </a:xfrm>
                          <a:prstGeom prst="rect">
                            <a:avLst/>
                          </a:prstGeom>
                          <a:noFill/>
                          <a:ln>
                            <a:noFill/>
                          </a:ln>
                        </pic:spPr>
                      </pic:pic>
                    </a:graphicData>
                  </a:graphic>
                </wp:inline>
              </w:drawing>
            </w:r>
          </w:p>
        </w:tc>
        <w:tc>
          <w:tcPr>
            <w:tcW w:w="3081" w:type="dxa"/>
          </w:tcPr>
          <w:p w14:paraId="072C5ADD"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f</w:t>
            </w:r>
          </w:p>
          <w:p w14:paraId="4BA67D3E"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027C17E3" wp14:editId="6DAD126A">
                  <wp:extent cx="1979019" cy="148243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80027" cy="1483191"/>
                          </a:xfrm>
                          <a:prstGeom prst="rect">
                            <a:avLst/>
                          </a:prstGeom>
                          <a:noFill/>
                          <a:ln>
                            <a:noFill/>
                          </a:ln>
                        </pic:spPr>
                      </pic:pic>
                    </a:graphicData>
                  </a:graphic>
                </wp:inline>
              </w:drawing>
            </w:r>
          </w:p>
        </w:tc>
      </w:tr>
    </w:tbl>
    <w:p w14:paraId="4E67FB7E" w14:textId="5ED8410F" w:rsidR="00AD3C92" w:rsidRPr="005A53CC" w:rsidRDefault="00AD3C92" w:rsidP="00AD3C92">
      <w:pPr>
        <w:spacing w:line="360" w:lineRule="auto"/>
        <w:jc w:val="center"/>
        <w:rPr>
          <w:rFonts w:asciiTheme="majorBidi" w:hAnsiTheme="majorBidi" w:cstheme="majorBidi"/>
          <w:sz w:val="24"/>
          <w:szCs w:val="28"/>
          <w:lang w:val="en-US"/>
        </w:rPr>
      </w:pPr>
      <w:r w:rsidRPr="005A53CC">
        <w:rPr>
          <w:rFonts w:asciiTheme="majorBidi" w:hAnsiTheme="majorBidi" w:cstheme="majorBidi"/>
          <w:b/>
          <w:bCs/>
          <w:sz w:val="24"/>
          <w:szCs w:val="28"/>
          <w:lang w:val="en-US"/>
        </w:rPr>
        <w:t xml:space="preserve">Figure S2. </w:t>
      </w:r>
      <w:r w:rsidRPr="005A53CC">
        <w:rPr>
          <w:rFonts w:asciiTheme="majorBidi" w:hAnsiTheme="majorBidi" w:cstheme="majorBidi"/>
          <w:sz w:val="24"/>
          <w:szCs w:val="28"/>
          <w:lang w:val="en-US"/>
        </w:rPr>
        <w:t xml:space="preserve">a) The mean image of the first experimental case is visualized. </w:t>
      </w:r>
      <w:r w:rsidR="00964A62">
        <w:rPr>
          <w:rFonts w:asciiTheme="majorBidi" w:hAnsiTheme="majorBidi" w:cstheme="majorBidi"/>
          <w:sz w:val="24"/>
          <w:szCs w:val="28"/>
          <w:lang w:val="en-US"/>
        </w:rPr>
        <w:t>b-f</w:t>
      </w:r>
      <w:r w:rsidRPr="005A53CC">
        <w:rPr>
          <w:rFonts w:asciiTheme="majorBidi" w:hAnsiTheme="majorBidi" w:cstheme="majorBidi"/>
          <w:sz w:val="24"/>
          <w:szCs w:val="28"/>
          <w:lang w:val="en-US"/>
        </w:rPr>
        <w:t>) Present the classification results of the first case study. The black dots are results of prediction.</w:t>
      </w:r>
    </w:p>
    <w:p w14:paraId="2803BB81" w14:textId="77777777" w:rsidR="00D670AE" w:rsidRPr="005A53CC" w:rsidRDefault="00D670AE" w:rsidP="00AD3C92">
      <w:pPr>
        <w:spacing w:line="360" w:lineRule="auto"/>
        <w:jc w:val="center"/>
        <w:rPr>
          <w:rFonts w:asciiTheme="majorBidi" w:hAnsiTheme="majorBidi" w:cstheme="majorBidi"/>
          <w:sz w:val="24"/>
          <w:szCs w:val="28"/>
          <w:lang w:val="en-US"/>
        </w:rPr>
      </w:pPr>
    </w:p>
    <w:p w14:paraId="6ACF34E9" w14:textId="77777777" w:rsidR="00D670AE" w:rsidRPr="005A53CC" w:rsidRDefault="00D670AE" w:rsidP="00AD3C92">
      <w:pPr>
        <w:spacing w:line="360" w:lineRule="auto"/>
        <w:jc w:val="center"/>
        <w:rPr>
          <w:rFonts w:asciiTheme="majorBidi" w:hAnsiTheme="majorBidi" w:cstheme="majorBidi"/>
          <w:sz w:val="24"/>
          <w:szCs w:val="28"/>
          <w:lang w:val="en-US"/>
        </w:rPr>
      </w:pPr>
    </w:p>
    <w:p w14:paraId="3637DCB0" w14:textId="77777777" w:rsidR="00D670AE" w:rsidRPr="005A53CC" w:rsidRDefault="00D670AE" w:rsidP="00AD3C92">
      <w:pPr>
        <w:spacing w:line="360" w:lineRule="auto"/>
        <w:jc w:val="center"/>
        <w:rPr>
          <w:rFonts w:asciiTheme="majorBidi" w:hAnsiTheme="majorBidi" w:cstheme="majorBidi"/>
          <w:sz w:val="24"/>
          <w:szCs w:val="28"/>
          <w:lang w:val="en-US"/>
        </w:rPr>
      </w:pPr>
    </w:p>
    <w:p w14:paraId="3EE8AC4D" w14:textId="77777777" w:rsidR="00D670AE" w:rsidRPr="005A53CC" w:rsidRDefault="00D670AE" w:rsidP="00AD3C92">
      <w:pPr>
        <w:spacing w:line="360" w:lineRule="auto"/>
        <w:jc w:val="center"/>
        <w:rPr>
          <w:rFonts w:asciiTheme="majorBidi" w:hAnsiTheme="majorBidi" w:cstheme="majorBidi"/>
          <w:sz w:val="24"/>
          <w:szCs w:val="28"/>
          <w:lang w:val="en-US"/>
        </w:rPr>
      </w:pPr>
    </w:p>
    <w:p w14:paraId="10316E13" w14:textId="77777777" w:rsidR="00D670AE" w:rsidRPr="005A53CC" w:rsidRDefault="00D670AE" w:rsidP="00AD3C92">
      <w:pPr>
        <w:spacing w:line="360" w:lineRule="auto"/>
        <w:jc w:val="center"/>
        <w:rPr>
          <w:rFonts w:asciiTheme="majorBidi" w:hAnsiTheme="majorBidi" w:cstheme="majorBidi"/>
          <w:sz w:val="24"/>
          <w:szCs w:val="28"/>
          <w:lang w:val="en-US"/>
        </w:rPr>
      </w:pPr>
    </w:p>
    <w:p w14:paraId="085774D7" w14:textId="77777777" w:rsidR="00D670AE" w:rsidRPr="005A53CC" w:rsidRDefault="00D670AE" w:rsidP="00AD3C92">
      <w:pPr>
        <w:spacing w:line="360" w:lineRule="auto"/>
        <w:jc w:val="center"/>
        <w:rPr>
          <w:rFonts w:asciiTheme="majorBidi" w:hAnsiTheme="majorBidi" w:cstheme="majorBidi"/>
          <w:sz w:val="24"/>
          <w:szCs w:val="28"/>
          <w:lang w:val="en-US"/>
        </w:rPr>
      </w:pPr>
    </w:p>
    <w:p w14:paraId="50A441C8" w14:textId="77777777" w:rsidR="00D670AE" w:rsidRPr="005A53CC" w:rsidRDefault="00D670AE" w:rsidP="00AD3C92">
      <w:pPr>
        <w:spacing w:line="360" w:lineRule="auto"/>
        <w:jc w:val="center"/>
        <w:rPr>
          <w:rFonts w:asciiTheme="majorBidi" w:hAnsiTheme="majorBidi" w:cstheme="majorBidi"/>
          <w:b/>
          <w:bCs/>
          <w:sz w:val="24"/>
          <w:szCs w:val="28"/>
          <w:lang w:val="en-US"/>
        </w:rPr>
      </w:pPr>
    </w:p>
    <w:p w14:paraId="0627E4C6" w14:textId="77777777" w:rsidR="00AD3C92" w:rsidRPr="005A53CC" w:rsidRDefault="00AD3C92" w:rsidP="00AD3C92">
      <w:pPr>
        <w:spacing w:line="360" w:lineRule="auto"/>
        <w:jc w:val="center"/>
        <w:rPr>
          <w:rFonts w:asciiTheme="majorBidi" w:hAnsiTheme="majorBidi" w:cstheme="majorBidi"/>
          <w:b/>
          <w:bCs/>
          <w:sz w:val="24"/>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4"/>
        <w:gridCol w:w="3204"/>
        <w:gridCol w:w="3198"/>
      </w:tblGrid>
      <w:tr w:rsidR="00AD3C92" w:rsidRPr="005A53CC" w14:paraId="41562F48" w14:textId="77777777" w:rsidTr="00965A7A">
        <w:tc>
          <w:tcPr>
            <w:tcW w:w="3064" w:type="dxa"/>
          </w:tcPr>
          <w:p w14:paraId="438024CB"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a</w:t>
            </w:r>
          </w:p>
          <w:p w14:paraId="261067AC"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23A85A22" wp14:editId="0C968ADE">
                  <wp:extent cx="1796999" cy="146858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029" t="5473" r="8689" b="8030"/>
                          <a:stretch/>
                        </pic:blipFill>
                        <pic:spPr bwMode="auto">
                          <a:xfrm>
                            <a:off x="0" y="0"/>
                            <a:ext cx="1804504" cy="14747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2" w:type="dxa"/>
          </w:tcPr>
          <w:p w14:paraId="5E6608D9"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b</w:t>
            </w:r>
          </w:p>
          <w:p w14:paraId="0B6E6518"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065A2930" wp14:editId="4BEAD54D">
                  <wp:extent cx="1960524" cy="146858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62554" cy="1470103"/>
                          </a:xfrm>
                          <a:prstGeom prst="rect">
                            <a:avLst/>
                          </a:prstGeom>
                          <a:noFill/>
                          <a:ln>
                            <a:noFill/>
                          </a:ln>
                        </pic:spPr>
                      </pic:pic>
                    </a:graphicData>
                  </a:graphic>
                </wp:inline>
              </w:drawing>
            </w:r>
          </w:p>
        </w:tc>
        <w:tc>
          <w:tcPr>
            <w:tcW w:w="3086" w:type="dxa"/>
          </w:tcPr>
          <w:p w14:paraId="252911A7"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c</w:t>
            </w:r>
          </w:p>
          <w:p w14:paraId="3396F588"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0B05D407" wp14:editId="79A3B6FA">
                  <wp:extent cx="1960526" cy="146858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64638" cy="1471662"/>
                          </a:xfrm>
                          <a:prstGeom prst="rect">
                            <a:avLst/>
                          </a:prstGeom>
                          <a:noFill/>
                          <a:ln>
                            <a:noFill/>
                          </a:ln>
                        </pic:spPr>
                      </pic:pic>
                    </a:graphicData>
                  </a:graphic>
                </wp:inline>
              </w:drawing>
            </w:r>
          </w:p>
        </w:tc>
      </w:tr>
      <w:tr w:rsidR="00AD3C92" w:rsidRPr="005A53CC" w14:paraId="52CF0414" w14:textId="77777777" w:rsidTr="00965A7A">
        <w:tc>
          <w:tcPr>
            <w:tcW w:w="3064" w:type="dxa"/>
          </w:tcPr>
          <w:p w14:paraId="2260C4EF"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d</w:t>
            </w:r>
          </w:p>
          <w:p w14:paraId="756FCE40"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18AF9BFE" wp14:editId="24002CD4">
                  <wp:extent cx="1988267" cy="148936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8382" cy="1489450"/>
                          </a:xfrm>
                          <a:prstGeom prst="rect">
                            <a:avLst/>
                          </a:prstGeom>
                          <a:noFill/>
                          <a:ln>
                            <a:noFill/>
                          </a:ln>
                        </pic:spPr>
                      </pic:pic>
                    </a:graphicData>
                  </a:graphic>
                </wp:inline>
              </w:drawing>
            </w:r>
          </w:p>
        </w:tc>
        <w:tc>
          <w:tcPr>
            <w:tcW w:w="3092" w:type="dxa"/>
          </w:tcPr>
          <w:p w14:paraId="5D486DC0"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e</w:t>
            </w:r>
          </w:p>
          <w:p w14:paraId="3EA74C5F"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35C4746B" wp14:editId="4CB2F793">
                  <wp:extent cx="2008909" cy="150482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9025" cy="1504913"/>
                          </a:xfrm>
                          <a:prstGeom prst="rect">
                            <a:avLst/>
                          </a:prstGeom>
                          <a:noFill/>
                          <a:ln>
                            <a:noFill/>
                          </a:ln>
                        </pic:spPr>
                      </pic:pic>
                    </a:graphicData>
                  </a:graphic>
                </wp:inline>
              </w:drawing>
            </w:r>
          </w:p>
        </w:tc>
        <w:tc>
          <w:tcPr>
            <w:tcW w:w="3086" w:type="dxa"/>
          </w:tcPr>
          <w:p w14:paraId="3329A863"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f</w:t>
            </w:r>
          </w:p>
          <w:p w14:paraId="602DA991" w14:textId="77777777"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noProof/>
                <w:sz w:val="24"/>
                <w:szCs w:val="28"/>
                <w:lang w:val="en-US" w:eastAsia="en-US"/>
              </w:rPr>
              <w:drawing>
                <wp:inline distT="0" distB="0" distL="0" distR="0" wp14:anchorId="08D09FEB" wp14:editId="4693A1DC">
                  <wp:extent cx="2004200" cy="1501298"/>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7845" cy="1504029"/>
                          </a:xfrm>
                          <a:prstGeom prst="rect">
                            <a:avLst/>
                          </a:prstGeom>
                          <a:noFill/>
                          <a:ln>
                            <a:noFill/>
                          </a:ln>
                        </pic:spPr>
                      </pic:pic>
                    </a:graphicData>
                  </a:graphic>
                </wp:inline>
              </w:drawing>
            </w:r>
          </w:p>
        </w:tc>
      </w:tr>
    </w:tbl>
    <w:p w14:paraId="6ADC5C63" w14:textId="7F21F89A" w:rsidR="00AD3C92" w:rsidRPr="005A53CC" w:rsidRDefault="00AD3C92" w:rsidP="00AD3C92">
      <w:pPr>
        <w:spacing w:line="360" w:lineRule="auto"/>
        <w:jc w:val="center"/>
        <w:rPr>
          <w:rFonts w:asciiTheme="majorBidi" w:hAnsiTheme="majorBidi" w:cstheme="majorBidi"/>
          <w:b/>
          <w:bCs/>
          <w:sz w:val="24"/>
          <w:szCs w:val="28"/>
          <w:lang w:val="en-US"/>
        </w:rPr>
      </w:pPr>
      <w:r w:rsidRPr="005A53CC">
        <w:rPr>
          <w:rFonts w:asciiTheme="majorBidi" w:hAnsiTheme="majorBidi" w:cstheme="majorBidi"/>
          <w:b/>
          <w:bCs/>
          <w:sz w:val="24"/>
          <w:szCs w:val="28"/>
          <w:lang w:val="en-US"/>
        </w:rPr>
        <w:t xml:space="preserve">Figure S3. </w:t>
      </w:r>
      <w:r w:rsidRPr="005A53CC">
        <w:rPr>
          <w:rFonts w:asciiTheme="majorBidi" w:hAnsiTheme="majorBidi" w:cstheme="majorBidi"/>
          <w:sz w:val="24"/>
          <w:szCs w:val="28"/>
          <w:lang w:val="en-US"/>
        </w:rPr>
        <w:t>a) The mean image of the second experimental case is visualized. b</w:t>
      </w:r>
      <w:r w:rsidR="00964A62">
        <w:rPr>
          <w:rFonts w:asciiTheme="majorBidi" w:hAnsiTheme="majorBidi" w:cstheme="majorBidi"/>
          <w:sz w:val="24"/>
          <w:szCs w:val="28"/>
          <w:lang w:val="en-US"/>
        </w:rPr>
        <w:t>-f</w:t>
      </w:r>
      <w:r w:rsidRPr="005A53CC">
        <w:rPr>
          <w:rFonts w:asciiTheme="majorBidi" w:hAnsiTheme="majorBidi" w:cstheme="majorBidi"/>
          <w:sz w:val="24"/>
          <w:szCs w:val="28"/>
          <w:lang w:val="en-US"/>
        </w:rPr>
        <w:t>) Present the classification results of the second case study. The black dots are results of prediction. Object 2 and 3, which are both multilayers, are very overlapped in the score plots.</w:t>
      </w:r>
    </w:p>
    <w:p w14:paraId="62AC0F96" w14:textId="77777777" w:rsidR="00AD3C92" w:rsidRPr="005A53CC" w:rsidRDefault="00AD3C92" w:rsidP="00AD3C92">
      <w:pPr>
        <w:spacing w:line="360" w:lineRule="auto"/>
        <w:jc w:val="center"/>
        <w:rPr>
          <w:rFonts w:asciiTheme="majorBidi" w:hAnsiTheme="majorBidi" w:cstheme="majorBidi"/>
          <w:b/>
          <w:bCs/>
          <w:sz w:val="24"/>
          <w:szCs w:val="28"/>
        </w:rPr>
      </w:pPr>
    </w:p>
    <w:p w14:paraId="7A96932D" w14:textId="77777777" w:rsidR="006B19AA" w:rsidRPr="005A53CC" w:rsidRDefault="006B19AA" w:rsidP="00AD3C92">
      <w:pPr>
        <w:spacing w:line="360" w:lineRule="auto"/>
        <w:jc w:val="center"/>
        <w:rPr>
          <w:rFonts w:asciiTheme="majorBidi" w:hAnsiTheme="majorBidi" w:cstheme="majorBidi"/>
          <w:b/>
          <w:bCs/>
          <w:sz w:val="24"/>
          <w:szCs w:val="28"/>
        </w:rPr>
      </w:pPr>
    </w:p>
    <w:p w14:paraId="1705C914" w14:textId="77777777" w:rsidR="004262D1" w:rsidRPr="005A53CC" w:rsidRDefault="004262D1" w:rsidP="006B19AA">
      <w:pPr>
        <w:spacing w:line="360" w:lineRule="auto"/>
        <w:jc w:val="both"/>
        <w:rPr>
          <w:rFonts w:asciiTheme="majorBidi" w:hAnsiTheme="majorBidi" w:cstheme="majorBidi"/>
          <w:sz w:val="24"/>
          <w:szCs w:val="28"/>
        </w:rPr>
      </w:pPr>
      <w:r w:rsidRPr="005A53CC">
        <w:rPr>
          <w:rFonts w:asciiTheme="majorBidi" w:hAnsiTheme="majorBidi" w:cstheme="majorBidi"/>
          <w:sz w:val="24"/>
          <w:szCs w:val="28"/>
        </w:rPr>
        <w:t xml:space="preserve">The proposed strategy in this contribution builds upon the prior findings, introducing the concept of selecting essential spectral pixels and spatial variables to reduce redundancy and enhance data analysis. Extending this foundation, by introducing a novel object detection method employing a correlation-growing algorithm. This approach effectively uncovers essential information about </w:t>
      </w:r>
      <w:r w:rsidRPr="005A53CC">
        <w:rPr>
          <w:rFonts w:asciiTheme="majorBidi" w:hAnsiTheme="majorBidi" w:cstheme="majorBidi"/>
          <w:sz w:val="24"/>
          <w:szCs w:val="28"/>
        </w:rPr>
        <w:lastRenderedPageBreak/>
        <w:t xml:space="preserve">each object, demonstrating adaptability and utility in various scenarios, including multicomponent and multilayer packaging materials. </w:t>
      </w:r>
    </w:p>
    <w:p w14:paraId="7083B48C" w14:textId="4ACFB943" w:rsidR="006B19AA" w:rsidRPr="006B19AA" w:rsidRDefault="006B19AA" w:rsidP="006B19AA">
      <w:pPr>
        <w:spacing w:line="360" w:lineRule="auto"/>
        <w:jc w:val="both"/>
        <w:rPr>
          <w:rFonts w:asciiTheme="majorBidi" w:hAnsiTheme="majorBidi" w:cstheme="majorBidi"/>
          <w:sz w:val="24"/>
          <w:szCs w:val="28"/>
        </w:rPr>
      </w:pPr>
      <w:r w:rsidRPr="005A53CC">
        <w:rPr>
          <w:rFonts w:asciiTheme="majorBidi" w:hAnsiTheme="majorBidi" w:cstheme="majorBidi"/>
          <w:sz w:val="24"/>
          <w:szCs w:val="28"/>
        </w:rPr>
        <w:t xml:space="preserve">Furthermore, while modern optical sorters excel at identifying mono-material packaging, our work introduces a pioneering method that swiftly identifies the material composition of intricate multilayered structures commonly found in flexible packaging. This breakthrough represents a significant advancement, addressing a crucial need in the recycling industry. We recognize the time constraints in real-time waste sorting operations, where conveyor belt speeds often reach 2 to 3 meters per second, leaving less than 160 milliseconds for detection and sorting decisions. In contrast to traditional approaches that rely on spectral comparisons to a database, our method is notably faster and more efficient. This efficiency enables comprehensive analysis before sorting, a valuable feature, especially in handling complex multilayered structures. This clarification highlights the innovation in </w:t>
      </w:r>
      <w:r w:rsidR="004262D1" w:rsidRPr="005A53CC">
        <w:rPr>
          <w:rFonts w:asciiTheme="majorBidi" w:hAnsiTheme="majorBidi" w:cstheme="majorBidi"/>
          <w:sz w:val="24"/>
          <w:szCs w:val="28"/>
        </w:rPr>
        <w:t>this</w:t>
      </w:r>
      <w:r w:rsidRPr="005A53CC">
        <w:rPr>
          <w:rFonts w:asciiTheme="majorBidi" w:hAnsiTheme="majorBidi" w:cstheme="majorBidi"/>
          <w:sz w:val="24"/>
          <w:szCs w:val="28"/>
        </w:rPr>
        <w:t xml:space="preserve"> work and its potential to enhance the efficiency and accuracy of plastic sorting, particularly for multilayered plastics.</w:t>
      </w:r>
    </w:p>
    <w:sectPr w:rsidR="006B19AA" w:rsidRPr="006B19AA" w:rsidSect="00923596">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AAA7F7" w14:textId="77777777" w:rsidR="005917D0" w:rsidRDefault="005917D0" w:rsidP="006B19AA">
      <w:pPr>
        <w:spacing w:line="240" w:lineRule="auto"/>
      </w:pPr>
      <w:r>
        <w:separator/>
      </w:r>
    </w:p>
  </w:endnote>
  <w:endnote w:type="continuationSeparator" w:id="0">
    <w:p w14:paraId="3FA490C5" w14:textId="77777777" w:rsidR="005917D0" w:rsidRDefault="005917D0" w:rsidP="006B19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4903373"/>
      <w:docPartObj>
        <w:docPartGallery w:val="Page Numbers (Bottom of Page)"/>
        <w:docPartUnique/>
      </w:docPartObj>
    </w:sdtPr>
    <w:sdtEndPr>
      <w:rPr>
        <w:noProof/>
      </w:rPr>
    </w:sdtEndPr>
    <w:sdtContent>
      <w:p w14:paraId="70A1A09D" w14:textId="01A2EC92" w:rsidR="006B19AA" w:rsidRDefault="006B19AA">
        <w:pPr>
          <w:pStyle w:val="Footer"/>
          <w:jc w:val="center"/>
        </w:pPr>
        <w:r>
          <w:fldChar w:fldCharType="begin"/>
        </w:r>
        <w:r>
          <w:instrText xml:space="preserve"> PAGE   \* MERGEFORMAT </w:instrText>
        </w:r>
        <w:r>
          <w:fldChar w:fldCharType="separate"/>
        </w:r>
        <w:r w:rsidR="00923596">
          <w:rPr>
            <w:noProof/>
          </w:rPr>
          <w:t>1</w:t>
        </w:r>
        <w:r>
          <w:rPr>
            <w:noProof/>
          </w:rPr>
          <w:fldChar w:fldCharType="end"/>
        </w:r>
      </w:p>
    </w:sdtContent>
  </w:sdt>
  <w:p w14:paraId="2BD5F530" w14:textId="77777777" w:rsidR="006B19AA" w:rsidRDefault="006B1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80A1B" w14:textId="77777777" w:rsidR="005917D0" w:rsidRDefault="005917D0" w:rsidP="006B19AA">
      <w:pPr>
        <w:spacing w:line="240" w:lineRule="auto"/>
      </w:pPr>
      <w:r>
        <w:separator/>
      </w:r>
    </w:p>
  </w:footnote>
  <w:footnote w:type="continuationSeparator" w:id="0">
    <w:p w14:paraId="683BAD66" w14:textId="77777777" w:rsidR="005917D0" w:rsidRDefault="005917D0" w:rsidP="006B19A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51EC9"/>
    <w:rsid w:val="00056063"/>
    <w:rsid w:val="00096259"/>
    <w:rsid w:val="000B33CE"/>
    <w:rsid w:val="00180081"/>
    <w:rsid w:val="001942D6"/>
    <w:rsid w:val="00210A7D"/>
    <w:rsid w:val="00254B5F"/>
    <w:rsid w:val="00264136"/>
    <w:rsid w:val="00351EC9"/>
    <w:rsid w:val="004262D1"/>
    <w:rsid w:val="00436996"/>
    <w:rsid w:val="00477E4E"/>
    <w:rsid w:val="005917D0"/>
    <w:rsid w:val="005A53CC"/>
    <w:rsid w:val="006A23B6"/>
    <w:rsid w:val="006B19AA"/>
    <w:rsid w:val="006C1EAA"/>
    <w:rsid w:val="0078304F"/>
    <w:rsid w:val="00923596"/>
    <w:rsid w:val="00964A62"/>
    <w:rsid w:val="00965A7A"/>
    <w:rsid w:val="00985D97"/>
    <w:rsid w:val="00A979F5"/>
    <w:rsid w:val="00AD3C92"/>
    <w:rsid w:val="00B04D06"/>
    <w:rsid w:val="00B903EC"/>
    <w:rsid w:val="00C540F9"/>
    <w:rsid w:val="00C82450"/>
    <w:rsid w:val="00C968A2"/>
    <w:rsid w:val="00D670AE"/>
    <w:rsid w:val="00FA37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38CE9"/>
  <w15:docId w15:val="{F7E6EF56-3DA8-4DC9-AC83-C3E69761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7E6"/>
    <w:pPr>
      <w:spacing w:after="0" w:line="259" w:lineRule="auto"/>
    </w:pPr>
    <w:rPr>
      <w:rFonts w:ascii="Verdana" w:eastAsiaTheme="minorEastAsia" w:hAnsi="Verdana"/>
      <w:sz w:val="20"/>
      <w:lang w:val="nl-NL"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37E6"/>
    <w:rPr>
      <w:color w:val="0000FF" w:themeColor="hyperlink"/>
      <w:u w:val="single"/>
    </w:rPr>
  </w:style>
  <w:style w:type="table" w:styleId="TableGrid">
    <w:name w:val="Table Grid"/>
    <w:basedOn w:val="TableNormal"/>
    <w:uiPriority w:val="39"/>
    <w:rsid w:val="00FA3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37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7E6"/>
    <w:rPr>
      <w:rFonts w:ascii="Tahoma" w:eastAsiaTheme="minorEastAsia" w:hAnsi="Tahoma" w:cs="Tahoma"/>
      <w:sz w:val="16"/>
      <w:szCs w:val="16"/>
      <w:lang w:val="nl-NL" w:eastAsia="zh-CN"/>
    </w:rPr>
  </w:style>
  <w:style w:type="character" w:customStyle="1" w:styleId="UnresolvedMention">
    <w:name w:val="Unresolved Mention"/>
    <w:basedOn w:val="DefaultParagraphFont"/>
    <w:uiPriority w:val="99"/>
    <w:semiHidden/>
    <w:unhideWhenUsed/>
    <w:rsid w:val="00AD3C92"/>
    <w:rPr>
      <w:color w:val="605E5C"/>
      <w:shd w:val="clear" w:color="auto" w:fill="E1DFDD"/>
    </w:rPr>
  </w:style>
  <w:style w:type="paragraph" w:styleId="Header">
    <w:name w:val="header"/>
    <w:basedOn w:val="Normal"/>
    <w:link w:val="HeaderChar"/>
    <w:uiPriority w:val="99"/>
    <w:unhideWhenUsed/>
    <w:rsid w:val="006B19AA"/>
    <w:pPr>
      <w:tabs>
        <w:tab w:val="center" w:pos="4513"/>
        <w:tab w:val="right" w:pos="9026"/>
      </w:tabs>
      <w:spacing w:line="240" w:lineRule="auto"/>
    </w:pPr>
  </w:style>
  <w:style w:type="character" w:customStyle="1" w:styleId="HeaderChar">
    <w:name w:val="Header Char"/>
    <w:basedOn w:val="DefaultParagraphFont"/>
    <w:link w:val="Header"/>
    <w:uiPriority w:val="99"/>
    <w:rsid w:val="006B19AA"/>
    <w:rPr>
      <w:rFonts w:ascii="Verdana" w:eastAsiaTheme="minorEastAsia" w:hAnsi="Verdana"/>
      <w:sz w:val="20"/>
      <w:lang w:val="nl-NL" w:eastAsia="zh-CN"/>
    </w:rPr>
  </w:style>
  <w:style w:type="paragraph" w:styleId="Footer">
    <w:name w:val="footer"/>
    <w:basedOn w:val="Normal"/>
    <w:link w:val="FooterChar"/>
    <w:uiPriority w:val="99"/>
    <w:unhideWhenUsed/>
    <w:rsid w:val="006B19AA"/>
    <w:pPr>
      <w:tabs>
        <w:tab w:val="center" w:pos="4513"/>
        <w:tab w:val="right" w:pos="9026"/>
      </w:tabs>
      <w:spacing w:line="240" w:lineRule="auto"/>
    </w:pPr>
  </w:style>
  <w:style w:type="character" w:customStyle="1" w:styleId="FooterChar">
    <w:name w:val="Footer Char"/>
    <w:basedOn w:val="DefaultParagraphFont"/>
    <w:link w:val="Footer"/>
    <w:uiPriority w:val="99"/>
    <w:rsid w:val="006B19AA"/>
    <w:rPr>
      <w:rFonts w:ascii="Verdana" w:eastAsiaTheme="minorEastAsia" w:hAnsi="Verdana"/>
      <w:sz w:val="20"/>
      <w:lang w:val="nl-NL" w:eastAsia="zh-CN"/>
    </w:rPr>
  </w:style>
  <w:style w:type="character" w:styleId="LineNumber">
    <w:name w:val="line number"/>
    <w:basedOn w:val="DefaultParagraphFont"/>
    <w:uiPriority w:val="99"/>
    <w:semiHidden/>
    <w:unhideWhenUsed/>
    <w:rsid w:val="00C54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webSettings" Target="webSettings.xml"/><Relationship Id="rId21" Type="http://schemas.openxmlformats.org/officeDocument/2006/relationships/image" Target="media/image14.emf"/><Relationship Id="rId7" Type="http://schemas.openxmlformats.org/officeDocument/2006/relationships/hyperlink" Target="mailto:chemometrics@ru.nl" TargetMode="Externa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ettings" Target="setting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styles" Target="styles.xml"/><Relationship Id="rId6" Type="http://schemas.openxmlformats.org/officeDocument/2006/relationships/hyperlink" Target="mailto:mahdiyeh.ghaffari@ru.nl" TargetMode="Externa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Mmahdiyeh</dc:creator>
  <cp:keywords/>
  <dc:description/>
  <cp:lastModifiedBy>Asha Mol S.P.</cp:lastModifiedBy>
  <cp:revision>8</cp:revision>
  <dcterms:created xsi:type="dcterms:W3CDTF">2023-05-03T09:57:00Z</dcterms:created>
  <dcterms:modified xsi:type="dcterms:W3CDTF">2023-12-05T03:27:00Z</dcterms:modified>
</cp:coreProperties>
</file>