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9081E" w14:textId="3A57F3CE" w:rsidR="00995521" w:rsidRPr="00E6296D" w:rsidRDefault="00FB262E" w:rsidP="00FB262E">
      <w:pPr>
        <w:spacing w:line="360" w:lineRule="auto"/>
        <w:jc w:val="center"/>
        <w:rPr>
          <w:rFonts w:ascii="Times New Roman" w:hAnsi="Times New Roman" w:cs="Times New Roman"/>
          <w:b/>
          <w:bCs/>
          <w:color w:val="000000" w:themeColor="text1"/>
          <w:sz w:val="28"/>
        </w:rPr>
      </w:pPr>
      <w:bookmarkStart w:id="0" w:name="_Hlk139629719"/>
      <w:bookmarkEnd w:id="0"/>
      <w:r w:rsidRPr="00E6296D">
        <w:rPr>
          <w:rFonts w:ascii="Times New Roman" w:hAnsi="Times New Roman" w:cs="Times New Roman"/>
          <w:b/>
          <w:bCs/>
          <w:color w:val="000000" w:themeColor="text1"/>
          <w:sz w:val="28"/>
        </w:rPr>
        <w:t xml:space="preserve">Supplementary </w:t>
      </w:r>
      <w:r w:rsidR="00C71AD0" w:rsidRPr="00E6296D">
        <w:rPr>
          <w:rFonts w:ascii="Times New Roman" w:hAnsi="Times New Roman" w:cs="Times New Roman"/>
          <w:b/>
          <w:bCs/>
          <w:color w:val="000000" w:themeColor="text1"/>
          <w:sz w:val="28"/>
        </w:rPr>
        <w:t>I</w:t>
      </w:r>
      <w:r w:rsidRPr="00E6296D">
        <w:rPr>
          <w:rFonts w:ascii="Times New Roman" w:hAnsi="Times New Roman" w:cs="Times New Roman"/>
          <w:b/>
          <w:bCs/>
          <w:color w:val="000000" w:themeColor="text1"/>
          <w:sz w:val="28"/>
        </w:rPr>
        <w:t>nformation</w:t>
      </w:r>
    </w:p>
    <w:p w14:paraId="2C7A3038" w14:textId="77777777" w:rsidR="00FB262E" w:rsidRPr="00E6296D" w:rsidRDefault="00FB262E" w:rsidP="00FB262E">
      <w:pPr>
        <w:spacing w:after="0" w:line="360" w:lineRule="auto"/>
        <w:jc w:val="center"/>
        <w:rPr>
          <w:rFonts w:ascii="Times New Roman" w:hAnsi="Times New Roman" w:cs="Times New Roman"/>
          <w:color w:val="000000" w:themeColor="text1"/>
          <w:sz w:val="24"/>
          <w:szCs w:val="24"/>
        </w:rPr>
      </w:pPr>
    </w:p>
    <w:p w14:paraId="07B011A9" w14:textId="77777777" w:rsidR="00FB262E" w:rsidRPr="00E6296D" w:rsidRDefault="00FB262E" w:rsidP="00FB262E">
      <w:pPr>
        <w:spacing w:after="0" w:line="360" w:lineRule="auto"/>
        <w:jc w:val="center"/>
        <w:rPr>
          <w:rFonts w:ascii="Times New Roman" w:hAnsi="Times New Roman" w:cs="Times New Roman"/>
          <w:color w:val="000000" w:themeColor="text1"/>
          <w:sz w:val="24"/>
          <w:szCs w:val="24"/>
        </w:rPr>
      </w:pPr>
    </w:p>
    <w:p w14:paraId="042AF251" w14:textId="77777777" w:rsidR="00FB262E" w:rsidRPr="00E6296D" w:rsidRDefault="00FB262E" w:rsidP="00FB262E">
      <w:pPr>
        <w:spacing w:after="0" w:line="360" w:lineRule="auto"/>
        <w:jc w:val="center"/>
        <w:rPr>
          <w:rFonts w:ascii="Times New Roman" w:hAnsi="Times New Roman" w:cs="Times New Roman"/>
          <w:color w:val="000000" w:themeColor="text1"/>
          <w:sz w:val="24"/>
          <w:szCs w:val="24"/>
        </w:rPr>
      </w:pPr>
    </w:p>
    <w:p w14:paraId="4FBB7A0E" w14:textId="77777777" w:rsidR="00FB262E" w:rsidRPr="00E6296D" w:rsidRDefault="00FB262E" w:rsidP="00FB262E">
      <w:pPr>
        <w:spacing w:after="0" w:line="360" w:lineRule="auto"/>
        <w:jc w:val="center"/>
        <w:rPr>
          <w:rFonts w:ascii="Times New Roman" w:hAnsi="Times New Roman" w:cs="Times New Roman"/>
          <w:color w:val="000000" w:themeColor="text1"/>
          <w:sz w:val="24"/>
          <w:szCs w:val="24"/>
        </w:rPr>
      </w:pPr>
    </w:p>
    <w:p w14:paraId="4403BD85" w14:textId="3E87C2CA" w:rsidR="00FB262E" w:rsidRPr="00E6296D" w:rsidRDefault="0077578A" w:rsidP="00FB262E">
      <w:pPr>
        <w:spacing w:line="360" w:lineRule="auto"/>
        <w:jc w:val="center"/>
        <w:rPr>
          <w:rFonts w:ascii="Times New Roman" w:hAnsi="Times New Roman" w:cs="Times New Roman"/>
          <w:color w:val="000000" w:themeColor="text1"/>
          <w:sz w:val="24"/>
          <w:szCs w:val="24"/>
        </w:rPr>
      </w:pPr>
      <w:r w:rsidRPr="00E6296D">
        <w:rPr>
          <w:rFonts w:ascii="Times New Roman" w:hAnsi="Times New Roman" w:cs="Times New Roman"/>
          <w:b/>
          <w:bCs/>
          <w:color w:val="000000" w:themeColor="text1"/>
          <w:sz w:val="24"/>
          <w:szCs w:val="24"/>
        </w:rPr>
        <w:t xml:space="preserve">The bactericidal and antibiofilm effects of a lysine-substituted hybrid peptide, CM-10K14K, on biofilm-forming </w:t>
      </w:r>
      <w:r w:rsidRPr="00E6296D">
        <w:rPr>
          <w:rFonts w:ascii="Times New Roman" w:hAnsi="Times New Roman" w:cs="Times New Roman"/>
          <w:b/>
          <w:bCs/>
          <w:i/>
          <w:iCs/>
          <w:color w:val="000000" w:themeColor="text1"/>
          <w:sz w:val="24"/>
          <w:szCs w:val="24"/>
        </w:rPr>
        <w:t>Staphylococcus epidermidis</w:t>
      </w:r>
      <w:r w:rsidR="00FB262E" w:rsidRPr="00E6296D">
        <w:rPr>
          <w:rFonts w:ascii="Times New Roman" w:hAnsi="Times New Roman" w:cs="Times New Roman"/>
          <w:color w:val="000000" w:themeColor="text1"/>
          <w:sz w:val="24"/>
          <w:szCs w:val="24"/>
        </w:rPr>
        <w:t xml:space="preserve"> </w:t>
      </w:r>
    </w:p>
    <w:p w14:paraId="2C6F232D" w14:textId="77777777" w:rsidR="00FB262E" w:rsidRPr="00E6296D" w:rsidRDefault="00FB262E" w:rsidP="00FB262E">
      <w:pPr>
        <w:spacing w:line="360" w:lineRule="auto"/>
        <w:jc w:val="center"/>
        <w:rPr>
          <w:rFonts w:ascii="Times New Roman" w:hAnsi="Times New Roman" w:cs="Times New Roman"/>
          <w:color w:val="000000" w:themeColor="text1"/>
          <w:sz w:val="24"/>
          <w:szCs w:val="24"/>
        </w:rPr>
      </w:pPr>
    </w:p>
    <w:p w14:paraId="1294F6D1" w14:textId="77777777" w:rsidR="00FB262E" w:rsidRPr="00E6296D" w:rsidRDefault="00FB262E" w:rsidP="00FB262E">
      <w:pPr>
        <w:spacing w:line="360" w:lineRule="auto"/>
        <w:jc w:val="center"/>
        <w:rPr>
          <w:rFonts w:ascii="Times New Roman" w:hAnsi="Times New Roman" w:cs="Times New Roman"/>
          <w:color w:val="000000" w:themeColor="text1"/>
          <w:sz w:val="24"/>
          <w:szCs w:val="24"/>
        </w:rPr>
      </w:pPr>
    </w:p>
    <w:p w14:paraId="6CD13871" w14:textId="77777777" w:rsidR="00FB262E" w:rsidRPr="00E6296D" w:rsidRDefault="00FB262E" w:rsidP="00FB262E">
      <w:pPr>
        <w:spacing w:line="360" w:lineRule="auto"/>
        <w:jc w:val="center"/>
        <w:rPr>
          <w:rFonts w:ascii="Times New Roman" w:hAnsi="Times New Roman" w:cs="Times New Roman"/>
          <w:color w:val="000000" w:themeColor="text1"/>
          <w:sz w:val="24"/>
          <w:szCs w:val="24"/>
        </w:rPr>
      </w:pPr>
    </w:p>
    <w:p w14:paraId="40FAB7C3" w14:textId="0A32FFCD" w:rsidR="00FB262E" w:rsidRPr="00E6296D" w:rsidRDefault="00FB262E" w:rsidP="00FB262E">
      <w:pPr>
        <w:spacing w:line="360" w:lineRule="auto"/>
        <w:jc w:val="center"/>
        <w:rPr>
          <w:rFonts w:ascii="Times New Roman" w:hAnsi="Times New Roman" w:cs="Times New Roman"/>
          <w:color w:val="000000" w:themeColor="text1"/>
          <w:kern w:val="36"/>
          <w:sz w:val="24"/>
          <w:szCs w:val="24"/>
          <w:vertAlign w:val="superscript"/>
        </w:rPr>
      </w:pPr>
      <w:r w:rsidRPr="00E6296D">
        <w:rPr>
          <w:rFonts w:ascii="Times New Roman" w:hAnsi="Times New Roman" w:cs="Times New Roman"/>
          <w:color w:val="000000" w:themeColor="text1"/>
          <w:kern w:val="36"/>
          <w:sz w:val="24"/>
          <w:szCs w:val="24"/>
        </w:rPr>
        <w:t>Natthaporn Klubthawee</w:t>
      </w:r>
      <w:r w:rsidRPr="00E6296D">
        <w:rPr>
          <w:rFonts w:ascii="Times New Roman" w:hAnsi="Times New Roman" w:cs="Times New Roman"/>
          <w:color w:val="000000" w:themeColor="text1"/>
          <w:kern w:val="36"/>
          <w:sz w:val="24"/>
          <w:szCs w:val="24"/>
          <w:vertAlign w:val="superscript"/>
        </w:rPr>
        <w:t>1</w:t>
      </w:r>
      <w:r w:rsidRPr="00E6296D">
        <w:rPr>
          <w:rFonts w:ascii="Times New Roman" w:hAnsi="Times New Roman" w:cs="Times New Roman"/>
          <w:color w:val="000000" w:themeColor="text1"/>
          <w:kern w:val="36"/>
          <w:sz w:val="24"/>
          <w:szCs w:val="24"/>
        </w:rPr>
        <w:t>, Mathira Wongchai</w:t>
      </w:r>
      <w:r w:rsidRPr="00E6296D">
        <w:rPr>
          <w:rFonts w:ascii="Times New Roman" w:hAnsi="Times New Roman" w:cs="Times New Roman"/>
          <w:color w:val="000000" w:themeColor="text1"/>
          <w:kern w:val="36"/>
          <w:sz w:val="24"/>
          <w:szCs w:val="24"/>
          <w:vertAlign w:val="superscript"/>
        </w:rPr>
        <w:t>2</w:t>
      </w:r>
      <w:r w:rsidRPr="00E6296D">
        <w:rPr>
          <w:rFonts w:ascii="Times New Roman" w:hAnsi="Times New Roman" w:cs="Times New Roman"/>
          <w:color w:val="000000" w:themeColor="text1"/>
          <w:sz w:val="24"/>
          <w:szCs w:val="24"/>
        </w:rPr>
        <w:t xml:space="preserve"> </w:t>
      </w:r>
      <w:r w:rsidRPr="00E6296D">
        <w:rPr>
          <w:rFonts w:ascii="Times New Roman" w:hAnsi="Times New Roman" w:cs="Times New Roman"/>
          <w:color w:val="000000" w:themeColor="text1"/>
          <w:kern w:val="36"/>
          <w:sz w:val="24"/>
          <w:szCs w:val="24"/>
        </w:rPr>
        <w:t>and Ratchaneewan Aunpad</w:t>
      </w:r>
      <w:r w:rsidRPr="00E6296D">
        <w:rPr>
          <w:rFonts w:ascii="Times New Roman" w:hAnsi="Times New Roman" w:cs="Times New Roman"/>
          <w:color w:val="000000" w:themeColor="text1"/>
          <w:kern w:val="36"/>
          <w:sz w:val="24"/>
          <w:szCs w:val="24"/>
          <w:vertAlign w:val="superscript"/>
        </w:rPr>
        <w:t>2,*</w:t>
      </w:r>
    </w:p>
    <w:p w14:paraId="1CF1E649" w14:textId="77777777" w:rsidR="00FB262E" w:rsidRPr="00E6296D" w:rsidRDefault="00FB262E" w:rsidP="00FB262E">
      <w:pPr>
        <w:spacing w:line="360" w:lineRule="auto"/>
        <w:jc w:val="center"/>
        <w:rPr>
          <w:rFonts w:ascii="Times New Roman" w:hAnsi="Times New Roman" w:cs="Times New Roman"/>
          <w:color w:val="000000" w:themeColor="text1"/>
          <w:sz w:val="24"/>
          <w:szCs w:val="24"/>
        </w:rPr>
      </w:pPr>
    </w:p>
    <w:p w14:paraId="1C48E527" w14:textId="77777777" w:rsidR="00FB262E" w:rsidRPr="00E6296D" w:rsidRDefault="00FB262E" w:rsidP="00FB262E">
      <w:pPr>
        <w:spacing w:line="360" w:lineRule="auto"/>
        <w:jc w:val="center"/>
        <w:rPr>
          <w:rFonts w:ascii="Times New Roman" w:hAnsi="Times New Roman" w:cs="Times New Roman"/>
          <w:color w:val="000000" w:themeColor="text1"/>
          <w:sz w:val="24"/>
          <w:szCs w:val="24"/>
        </w:rPr>
      </w:pPr>
    </w:p>
    <w:p w14:paraId="17A4E002" w14:textId="77777777" w:rsidR="00FB262E" w:rsidRPr="00E6296D" w:rsidRDefault="00FB262E" w:rsidP="00FB262E">
      <w:pPr>
        <w:spacing w:line="360" w:lineRule="auto"/>
        <w:jc w:val="center"/>
        <w:rPr>
          <w:rFonts w:ascii="Times New Roman" w:hAnsi="Times New Roman" w:cs="Times New Roman"/>
          <w:color w:val="000000" w:themeColor="text1"/>
          <w:sz w:val="24"/>
          <w:szCs w:val="24"/>
        </w:rPr>
      </w:pPr>
    </w:p>
    <w:p w14:paraId="6D6895B2" w14:textId="77777777" w:rsidR="00FB262E" w:rsidRPr="00E6296D" w:rsidRDefault="00FB262E" w:rsidP="00FB262E">
      <w:pPr>
        <w:spacing w:line="360" w:lineRule="auto"/>
        <w:jc w:val="thaiDistribute"/>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vertAlign w:val="superscript"/>
        </w:rPr>
        <w:t>1</w:t>
      </w:r>
      <w:r w:rsidRPr="00E6296D">
        <w:rPr>
          <w:rFonts w:ascii="Times New Roman" w:hAnsi="Times New Roman" w:cs="Times New Roman"/>
          <w:color w:val="000000" w:themeColor="text1"/>
          <w:sz w:val="24"/>
          <w:szCs w:val="24"/>
        </w:rPr>
        <w:t>Department of Medical Technology, Faculty of Allied Health Sciences, Thammasat University, Pathum Thani, 12120, Thailand.</w:t>
      </w:r>
    </w:p>
    <w:p w14:paraId="6043B00B" w14:textId="77777777" w:rsidR="00FB262E" w:rsidRPr="00E6296D" w:rsidRDefault="00FB262E" w:rsidP="00FB262E">
      <w:pPr>
        <w:spacing w:line="360" w:lineRule="auto"/>
        <w:jc w:val="thaiDistribute"/>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vertAlign w:val="superscript"/>
        </w:rPr>
        <w:t>2</w:t>
      </w:r>
      <w:r w:rsidRPr="00E6296D">
        <w:rPr>
          <w:rFonts w:ascii="Times New Roman" w:hAnsi="Times New Roman" w:cs="Times New Roman"/>
          <w:color w:val="000000" w:themeColor="text1"/>
          <w:sz w:val="24"/>
          <w:szCs w:val="24"/>
        </w:rPr>
        <w:t>Graduate Program in Biomedical Sciences, Faculty of Allied Health Sciences, Thammasat University, Pathum Thani, 12120, Thailand.</w:t>
      </w:r>
    </w:p>
    <w:p w14:paraId="3CD2A64D" w14:textId="77777777" w:rsidR="00FB262E" w:rsidRPr="00E6296D" w:rsidRDefault="00FB262E" w:rsidP="00FB262E">
      <w:pPr>
        <w:spacing w:line="360" w:lineRule="auto"/>
        <w:jc w:val="both"/>
        <w:rPr>
          <w:rFonts w:ascii="Times New Roman" w:hAnsi="Times New Roman" w:cs="Times New Roman"/>
          <w:color w:val="000000" w:themeColor="text1"/>
          <w:sz w:val="24"/>
          <w:szCs w:val="24"/>
        </w:rPr>
      </w:pPr>
    </w:p>
    <w:p w14:paraId="45768A03" w14:textId="77777777" w:rsidR="00FB262E" w:rsidRPr="00E6296D" w:rsidRDefault="00FB262E" w:rsidP="00FB262E">
      <w:pPr>
        <w:spacing w:line="360" w:lineRule="auto"/>
        <w:jc w:val="both"/>
        <w:rPr>
          <w:rFonts w:ascii="Times New Roman" w:hAnsi="Times New Roman" w:cs="Times New Roman"/>
          <w:color w:val="000000" w:themeColor="text1"/>
          <w:sz w:val="24"/>
          <w:szCs w:val="24"/>
        </w:rPr>
      </w:pPr>
    </w:p>
    <w:p w14:paraId="6D2D2787" w14:textId="77777777" w:rsidR="00FB262E" w:rsidRPr="00E6296D" w:rsidRDefault="00FB262E" w:rsidP="00FB262E">
      <w:pPr>
        <w:spacing w:line="360" w:lineRule="auto"/>
        <w:jc w:val="both"/>
        <w:rPr>
          <w:rFonts w:ascii="Times New Roman" w:hAnsi="Times New Roman" w:cs="Times New Roman"/>
          <w:color w:val="000000" w:themeColor="text1"/>
          <w:sz w:val="24"/>
          <w:szCs w:val="24"/>
        </w:rPr>
      </w:pPr>
    </w:p>
    <w:p w14:paraId="32E4B4F5" w14:textId="77777777" w:rsidR="00FB262E" w:rsidRPr="00E6296D" w:rsidRDefault="00FB262E" w:rsidP="00FB262E">
      <w:pPr>
        <w:spacing w:line="360" w:lineRule="auto"/>
        <w:jc w:val="both"/>
        <w:rPr>
          <w:rFonts w:ascii="Times New Roman" w:hAnsi="Times New Roman" w:cs="Times New Roman"/>
          <w:color w:val="000000" w:themeColor="text1"/>
          <w:sz w:val="24"/>
          <w:szCs w:val="24"/>
        </w:rPr>
      </w:pPr>
    </w:p>
    <w:p w14:paraId="6276723F" w14:textId="77777777" w:rsidR="00FB262E" w:rsidRPr="00E6296D" w:rsidRDefault="00FB262E" w:rsidP="00FB262E">
      <w:pPr>
        <w:spacing w:line="360" w:lineRule="auto"/>
        <w:jc w:val="both"/>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rPr>
        <w:t>*Corresponding author</w:t>
      </w:r>
    </w:p>
    <w:p w14:paraId="39F94BA4" w14:textId="6C8ABEFD" w:rsidR="00FB262E" w:rsidRPr="00E6296D" w:rsidRDefault="00FB262E" w:rsidP="0077578A">
      <w:pPr>
        <w:spacing w:line="360" w:lineRule="auto"/>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rPr>
        <w:t>Email: aratchan@tu.ac.th; +66829869213</w:t>
      </w:r>
    </w:p>
    <w:p w14:paraId="0404593F" w14:textId="198494C3" w:rsidR="00F07965" w:rsidRPr="00E6296D" w:rsidRDefault="00F07965" w:rsidP="00FD634E">
      <w:pPr>
        <w:spacing w:after="0" w:line="480" w:lineRule="auto"/>
        <w:rPr>
          <w:rFonts w:ascii="Times New Roman" w:hAnsi="Times New Roman"/>
          <w:b/>
          <w:bCs/>
          <w:color w:val="000000" w:themeColor="text1"/>
          <w:sz w:val="24"/>
          <w:szCs w:val="24"/>
        </w:rPr>
      </w:pPr>
      <w:r w:rsidRPr="00E6296D">
        <w:rPr>
          <w:rFonts w:ascii="Times New Roman" w:hAnsi="Times New Roman" w:cs="Times New Roman"/>
          <w:b/>
          <w:bCs/>
          <w:color w:val="000000" w:themeColor="text1"/>
          <w:sz w:val="24"/>
          <w:szCs w:val="24"/>
        </w:rPr>
        <w:lastRenderedPageBreak/>
        <w:t>1. Biofilm inhibition assay</w:t>
      </w:r>
    </w:p>
    <w:p w14:paraId="01128D5D" w14:textId="0BFE2F2B" w:rsidR="00F07965" w:rsidRPr="00E6296D" w:rsidRDefault="00F07965" w:rsidP="00FD634E">
      <w:pPr>
        <w:spacing w:after="0" w:line="480" w:lineRule="auto"/>
        <w:ind w:firstLine="720"/>
        <w:jc w:val="both"/>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rPr>
        <w:t>The biofilm biomass was assessed using crystal violet staining to determine the ability of peptides to inhibit bacterial formation of biofilm</w:t>
      </w:r>
      <w:r w:rsidR="002546BF" w:rsidRPr="00E6296D">
        <w:rPr>
          <w:rFonts w:ascii="Times New Roman" w:hAnsi="Times New Roman" w:cs="Times New Roman"/>
          <w:color w:val="000000" w:themeColor="text1"/>
          <w:sz w:val="24"/>
          <w:szCs w:val="24"/>
        </w:rPr>
        <w:t xml:space="preserve"> </w:t>
      </w:r>
      <w:r w:rsidR="002546BF" w:rsidRPr="00E6296D">
        <w:rPr>
          <w:rFonts w:ascii="Times New Roman" w:hAnsi="Times New Roman" w:cs="Times New Roman"/>
          <w:color w:val="000000" w:themeColor="text1"/>
          <w:sz w:val="24"/>
          <w:szCs w:val="24"/>
          <w:vertAlign w:val="superscript"/>
        </w:rPr>
        <w:t>1</w:t>
      </w:r>
      <w:r w:rsidRPr="00E6296D">
        <w:rPr>
          <w:rFonts w:ascii="Times New Roman" w:hAnsi="Times New Roman" w:cs="Times New Roman"/>
          <w:color w:val="000000" w:themeColor="text1"/>
          <w:sz w:val="24"/>
          <w:szCs w:val="24"/>
        </w:rPr>
        <w:t xml:space="preserve">. Overnight </w:t>
      </w:r>
      <w:r w:rsidRPr="00E6296D">
        <w:rPr>
          <w:rFonts w:ascii="Times New Roman" w:hAnsi="Times New Roman" w:cs="Times New Roman"/>
          <w:i/>
          <w:iCs/>
          <w:color w:val="000000" w:themeColor="text1"/>
          <w:sz w:val="24"/>
          <w:szCs w:val="24"/>
        </w:rPr>
        <w:t>S. epidermidis</w:t>
      </w:r>
      <w:r w:rsidRPr="00E6296D">
        <w:rPr>
          <w:rFonts w:ascii="Times New Roman" w:hAnsi="Times New Roman" w:cs="Times New Roman"/>
          <w:color w:val="000000" w:themeColor="text1"/>
          <w:sz w:val="24"/>
          <w:szCs w:val="24"/>
        </w:rPr>
        <w:t xml:space="preserve"> cultures were adjusted to an OD620 of 0.1 in TSB. An equal volume (50 µL) of bacterial suspension (~10</w:t>
      </w:r>
      <w:r w:rsidRPr="00E6296D">
        <w:rPr>
          <w:rFonts w:ascii="Times New Roman" w:hAnsi="Times New Roman" w:cs="Times New Roman"/>
          <w:color w:val="000000" w:themeColor="text1"/>
          <w:sz w:val="24"/>
          <w:szCs w:val="24"/>
          <w:vertAlign w:val="superscript"/>
        </w:rPr>
        <w:t>8</w:t>
      </w:r>
      <w:r w:rsidRPr="00E6296D">
        <w:rPr>
          <w:rFonts w:ascii="Times New Roman" w:hAnsi="Times New Roman" w:cs="Times New Roman"/>
          <w:color w:val="000000" w:themeColor="text1"/>
          <w:sz w:val="24"/>
          <w:szCs w:val="24"/>
        </w:rPr>
        <w:t xml:space="preserve"> CFU/mL) was incubated with 2-fold serially diluted peptides (0.98-250 μg/mL) at 37°C for 24 h in 96-well plates. Supernatants were discarded after incubation, and wells were gently rinsed at least twice with 0.85% NaCl to remove planktonic cells. Adherent biofilms were fixed for 30 minutes with 95% ethanol, then the fixative solution was removed. The fixed biofilms were dried thoroughly and stained with addition of 150 µL of 0.1% crystal violet (CV) to each well containing biofilm, along with its respective control media. After 15 min, CV solutions were removed and wells were gently rinsed three times with 400 μL of 0.85% NaCl without disturbing the biofilm. The plates were left to dry for 30 min before adding 200 μL of 95% ethanol to each well to solubilize the bound CV with vigorous pipetting. The biofilm mass was evaluated by observing OD at 570 nm using a Multiskan SkyHigh microplate reader</w:t>
      </w:r>
      <w:r w:rsidR="002546BF" w:rsidRPr="00E6296D">
        <w:rPr>
          <w:rFonts w:ascii="Times New Roman" w:hAnsi="Times New Roman" w:cs="Times New Roman"/>
          <w:color w:val="000000" w:themeColor="text1"/>
          <w:sz w:val="24"/>
          <w:szCs w:val="24"/>
        </w:rPr>
        <w:t xml:space="preserve"> </w:t>
      </w:r>
      <w:r w:rsidR="002546BF" w:rsidRPr="00E6296D">
        <w:rPr>
          <w:rFonts w:ascii="Times New Roman" w:hAnsi="Times New Roman" w:cs="Times New Roman"/>
          <w:color w:val="000000" w:themeColor="text1"/>
          <w:sz w:val="24"/>
          <w:szCs w:val="24"/>
          <w:vertAlign w:val="superscript"/>
        </w:rPr>
        <w:t>2</w:t>
      </w:r>
      <w:r w:rsidRPr="00E6296D">
        <w:rPr>
          <w:rFonts w:ascii="Times New Roman" w:hAnsi="Times New Roman" w:cs="Times New Roman"/>
          <w:color w:val="000000" w:themeColor="text1"/>
          <w:sz w:val="24"/>
          <w:szCs w:val="24"/>
        </w:rPr>
        <w:t>. Results were expressed as the percentage of biofilm mass compared to that of control.</w:t>
      </w:r>
    </w:p>
    <w:p w14:paraId="31578098" w14:textId="35322963" w:rsidR="00F07965" w:rsidRPr="00E6296D" w:rsidRDefault="00F07965" w:rsidP="00FD634E">
      <w:pPr>
        <w:spacing w:after="0" w:line="480" w:lineRule="auto"/>
        <w:ind w:firstLine="720"/>
        <w:jc w:val="both"/>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rPr>
        <w:t>The antibiofilm activity of designed peptides compared to that of vancomycin, the results showed that all peptides were f</w:t>
      </w:r>
      <w:bookmarkStart w:id="1" w:name="_GoBack"/>
      <w:bookmarkEnd w:id="1"/>
      <w:r w:rsidRPr="00E6296D">
        <w:rPr>
          <w:rFonts w:ascii="Times New Roman" w:hAnsi="Times New Roman" w:cs="Times New Roman"/>
          <w:color w:val="000000" w:themeColor="text1"/>
          <w:sz w:val="24"/>
          <w:szCs w:val="24"/>
        </w:rPr>
        <w:t xml:space="preserve">ound to inhibit </w:t>
      </w:r>
      <w:r w:rsidRPr="00E6296D">
        <w:rPr>
          <w:rFonts w:ascii="Times New Roman" w:hAnsi="Times New Roman" w:cs="Times New Roman"/>
          <w:i/>
          <w:iCs/>
          <w:color w:val="000000" w:themeColor="text1"/>
          <w:sz w:val="24"/>
          <w:szCs w:val="24"/>
        </w:rPr>
        <w:t>S. epidermidis</w:t>
      </w:r>
      <w:r w:rsidRPr="00E6296D">
        <w:rPr>
          <w:rFonts w:ascii="Times New Roman" w:hAnsi="Times New Roman" w:cs="Times New Roman"/>
          <w:color w:val="000000" w:themeColor="text1"/>
          <w:sz w:val="24"/>
          <w:szCs w:val="24"/>
        </w:rPr>
        <w:t xml:space="preserve"> biofilm formation in a concentration-dependent manner. After treatment with &gt; 15.63 µg/mL for 24 h, each peptide and vancomycin reduced the biomass of biofilms by more than 90% (</w:t>
      </w:r>
      <w:r w:rsidR="00CC2376" w:rsidRPr="00E6296D">
        <w:rPr>
          <w:rFonts w:ascii="Times New Roman" w:hAnsi="Times New Roman" w:cs="Times New Roman"/>
          <w:color w:val="000000" w:themeColor="text1"/>
          <w:sz w:val="24"/>
          <w:szCs w:val="24"/>
        </w:rPr>
        <w:t>Supplementary Figure 1</w:t>
      </w:r>
      <w:r w:rsidRPr="00E6296D">
        <w:rPr>
          <w:rFonts w:ascii="Times New Roman" w:hAnsi="Times New Roman" w:cs="Times New Roman"/>
          <w:color w:val="000000" w:themeColor="text1"/>
          <w:sz w:val="24"/>
          <w:szCs w:val="24"/>
        </w:rPr>
        <w:t>). Thus, 15.63 µg/mL was used to represent the biofilm-forming inhibiting concentration</w:t>
      </w:r>
      <w:r w:rsidR="002546BF" w:rsidRPr="00E6296D">
        <w:rPr>
          <w:rFonts w:ascii="Times New Roman" w:hAnsi="Times New Roman" w:cs="Times New Roman"/>
          <w:color w:val="000000" w:themeColor="text1"/>
          <w:sz w:val="24"/>
          <w:szCs w:val="24"/>
        </w:rPr>
        <w:t xml:space="preserve"> </w:t>
      </w:r>
      <w:r w:rsidR="002546BF" w:rsidRPr="00E6296D">
        <w:rPr>
          <w:rFonts w:ascii="Times New Roman" w:hAnsi="Times New Roman" w:cs="Times New Roman"/>
          <w:color w:val="000000" w:themeColor="text1"/>
          <w:sz w:val="24"/>
          <w:szCs w:val="24"/>
          <w:vertAlign w:val="superscript"/>
        </w:rPr>
        <w:t>2</w:t>
      </w:r>
      <w:r w:rsidRPr="00E6296D">
        <w:rPr>
          <w:rFonts w:ascii="Times New Roman" w:hAnsi="Times New Roman" w:cs="Times New Roman"/>
          <w:color w:val="000000" w:themeColor="text1"/>
          <w:sz w:val="24"/>
          <w:szCs w:val="24"/>
        </w:rPr>
        <w:t xml:space="preserve">. Interestingly, all derivatives, even peptides with slightly lower antibacterial activity (CM-1V10K14K, CM-1V14K and CM-A), showed significantly higher antibiofilm activities than did the parental peptide at their respective MICs (3.91-7.81 µg/mL). In contrast, vancomycin slightly induced biofilm formation at its MIC </w:t>
      </w:r>
      <w:r w:rsidRPr="00E6296D">
        <w:rPr>
          <w:rFonts w:ascii="Times New Roman" w:hAnsi="Times New Roman" w:cs="Times New Roman"/>
          <w:color w:val="000000" w:themeColor="text1"/>
          <w:sz w:val="24"/>
          <w:szCs w:val="24"/>
        </w:rPr>
        <w:lastRenderedPageBreak/>
        <w:t>and MBC (</w:t>
      </w:r>
      <w:r w:rsidR="00CC2376" w:rsidRPr="00E6296D">
        <w:rPr>
          <w:rFonts w:ascii="Times New Roman" w:hAnsi="Times New Roman" w:cs="Times New Roman"/>
          <w:color w:val="000000" w:themeColor="text1"/>
          <w:sz w:val="24"/>
          <w:szCs w:val="24"/>
        </w:rPr>
        <w:t>Supplementary Figure 1</w:t>
      </w:r>
      <w:r w:rsidRPr="00E6296D">
        <w:rPr>
          <w:rFonts w:ascii="Times New Roman" w:hAnsi="Times New Roman" w:cs="Times New Roman"/>
          <w:color w:val="000000" w:themeColor="text1"/>
          <w:sz w:val="24"/>
          <w:szCs w:val="24"/>
        </w:rPr>
        <w:t>). Among all derivatives, CM-1V10K14K, CM-10K and CM-10K14K showed the most potent biofilm inhibition, followed by CM-A, CM-1V14K and the parental peptide.</w:t>
      </w:r>
    </w:p>
    <w:p w14:paraId="257FFDED" w14:textId="175FE5D2" w:rsidR="00F07965" w:rsidRPr="00E6296D" w:rsidRDefault="00CC2376" w:rsidP="000F3FEA">
      <w:pPr>
        <w:spacing w:line="480" w:lineRule="auto"/>
        <w:rPr>
          <w:rFonts w:ascii="Times New Roman" w:hAnsi="Times New Roman" w:cs="Times New Roman"/>
          <w:b/>
          <w:bCs/>
          <w:color w:val="000000" w:themeColor="text1"/>
          <w:sz w:val="24"/>
          <w:szCs w:val="24"/>
        </w:rPr>
      </w:pPr>
      <w:r w:rsidRPr="00E6296D">
        <w:rPr>
          <w:noProof/>
          <w:color w:val="000000" w:themeColor="text1"/>
          <w:lang w:val="en-IN" w:eastAsia="en-IN" w:bidi="ar-SA"/>
        </w:rPr>
        <w:drawing>
          <wp:inline distT="0" distB="0" distL="0" distR="0" wp14:anchorId="55006634" wp14:editId="5C3C8EC9">
            <wp:extent cx="5943600" cy="2949973"/>
            <wp:effectExtent l="0" t="0" r="0" b="3175"/>
            <wp:docPr id="1254259278"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59278" name="Picture 1" descr="A graph of different colored lin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2949973"/>
                    </a:xfrm>
                    <a:prstGeom prst="rect">
                      <a:avLst/>
                    </a:prstGeom>
                    <a:noFill/>
                    <a:ln>
                      <a:noFill/>
                    </a:ln>
                  </pic:spPr>
                </pic:pic>
              </a:graphicData>
            </a:graphic>
          </wp:inline>
        </w:drawing>
      </w:r>
    </w:p>
    <w:p w14:paraId="5B501CF0" w14:textId="35F36ADB" w:rsidR="00F07965" w:rsidRPr="00E6296D" w:rsidRDefault="00CC2376" w:rsidP="005757FC">
      <w:pPr>
        <w:spacing w:line="480" w:lineRule="auto"/>
        <w:jc w:val="both"/>
        <w:rPr>
          <w:rFonts w:ascii="Times New Roman" w:hAnsi="Times New Roman" w:cs="Times New Roman"/>
          <w:b/>
          <w:bCs/>
          <w:color w:val="000000" w:themeColor="text1"/>
          <w:sz w:val="24"/>
          <w:szCs w:val="24"/>
        </w:rPr>
      </w:pPr>
      <w:r w:rsidRPr="00E6296D">
        <w:rPr>
          <w:rFonts w:ascii="Times New Roman" w:hAnsi="Times New Roman" w:cs="Times New Roman"/>
          <w:b/>
          <w:bCs/>
          <w:color w:val="000000" w:themeColor="text1"/>
          <w:sz w:val="24"/>
          <w:szCs w:val="24"/>
        </w:rPr>
        <w:t xml:space="preserve">Supplementary Figure 1. </w:t>
      </w:r>
      <w:r w:rsidRPr="00E6296D">
        <w:rPr>
          <w:rFonts w:ascii="Times New Roman" w:hAnsi="Times New Roman" w:cs="Times New Roman"/>
          <w:color w:val="000000" w:themeColor="text1"/>
          <w:sz w:val="24"/>
          <w:szCs w:val="24"/>
        </w:rPr>
        <w:t xml:space="preserve">Biofilm-inhibition of CM derivatives compared to vancomycin against </w:t>
      </w:r>
      <w:r w:rsidRPr="00E6296D">
        <w:rPr>
          <w:rFonts w:ascii="Times New Roman" w:hAnsi="Times New Roman" w:cs="Times New Roman"/>
          <w:i/>
          <w:iCs/>
          <w:color w:val="000000" w:themeColor="text1"/>
          <w:sz w:val="24"/>
          <w:szCs w:val="24"/>
        </w:rPr>
        <w:t>S. epidermidis</w:t>
      </w:r>
      <w:r w:rsidRPr="00E6296D">
        <w:rPr>
          <w:rFonts w:ascii="Times New Roman" w:hAnsi="Times New Roman" w:cs="Times New Roman"/>
          <w:color w:val="000000" w:themeColor="text1"/>
          <w:sz w:val="24"/>
          <w:szCs w:val="24"/>
        </w:rPr>
        <w:t xml:space="preserve"> ATCC 35984. The experiments were performed in triplicate and the data were expressed as the mean ± SD. </w:t>
      </w:r>
      <w:r w:rsidRPr="00E6296D">
        <w:rPr>
          <w:rFonts w:ascii="Times New Roman" w:hAnsi="Times New Roman" w:cs="Times New Roman"/>
          <w:i/>
          <w:iCs/>
          <w:color w:val="000000" w:themeColor="text1"/>
          <w:sz w:val="24"/>
          <w:szCs w:val="24"/>
        </w:rPr>
        <w:t>p</w:t>
      </w:r>
      <w:r w:rsidRPr="00E6296D">
        <w:rPr>
          <w:rFonts w:ascii="Times New Roman" w:hAnsi="Times New Roman" w:cs="Times New Roman"/>
          <w:color w:val="000000" w:themeColor="text1"/>
          <w:sz w:val="24"/>
          <w:szCs w:val="24"/>
        </w:rPr>
        <w:t>-values were determined using a two-way ANOVA with Tukey’s post hoc test. Significant differences are indicated in GP style: &gt;0.05 (ns), ≤0.05 (*), ≤0.01 (**), ≤0.001 (***), ≤0.0001 (****).</w:t>
      </w:r>
    </w:p>
    <w:p w14:paraId="759864C1" w14:textId="77777777" w:rsidR="00F07965" w:rsidRPr="00E6296D" w:rsidRDefault="00F07965" w:rsidP="000F3FEA">
      <w:pPr>
        <w:spacing w:line="480" w:lineRule="auto"/>
        <w:rPr>
          <w:rFonts w:ascii="Times New Roman" w:hAnsi="Times New Roman" w:cs="Times New Roman"/>
          <w:b/>
          <w:bCs/>
          <w:color w:val="000000" w:themeColor="text1"/>
          <w:sz w:val="24"/>
          <w:szCs w:val="24"/>
        </w:rPr>
      </w:pPr>
    </w:p>
    <w:p w14:paraId="24889897" w14:textId="77777777" w:rsidR="00F07965" w:rsidRPr="00E6296D" w:rsidRDefault="00F07965" w:rsidP="000F3FEA">
      <w:pPr>
        <w:spacing w:line="480" w:lineRule="auto"/>
        <w:rPr>
          <w:rFonts w:ascii="Times New Roman" w:hAnsi="Times New Roman" w:cs="Times New Roman"/>
          <w:b/>
          <w:bCs/>
          <w:color w:val="000000" w:themeColor="text1"/>
          <w:sz w:val="24"/>
          <w:szCs w:val="24"/>
        </w:rPr>
      </w:pPr>
    </w:p>
    <w:p w14:paraId="29FD2F94" w14:textId="77777777" w:rsidR="00F07965" w:rsidRPr="00E6296D" w:rsidRDefault="00F07965" w:rsidP="000F3FEA">
      <w:pPr>
        <w:spacing w:line="480" w:lineRule="auto"/>
        <w:rPr>
          <w:rFonts w:ascii="Times New Roman" w:hAnsi="Times New Roman" w:cs="Times New Roman"/>
          <w:b/>
          <w:bCs/>
          <w:color w:val="000000" w:themeColor="text1"/>
          <w:sz w:val="24"/>
          <w:szCs w:val="24"/>
        </w:rPr>
      </w:pPr>
    </w:p>
    <w:p w14:paraId="1938199B" w14:textId="77777777" w:rsidR="00F07965" w:rsidRPr="00E6296D" w:rsidRDefault="00F07965" w:rsidP="000F3FEA">
      <w:pPr>
        <w:spacing w:line="480" w:lineRule="auto"/>
        <w:rPr>
          <w:rFonts w:ascii="Times New Roman" w:hAnsi="Times New Roman" w:cs="Times New Roman"/>
          <w:b/>
          <w:bCs/>
          <w:color w:val="000000" w:themeColor="text1"/>
          <w:sz w:val="24"/>
          <w:szCs w:val="24"/>
        </w:rPr>
      </w:pPr>
    </w:p>
    <w:p w14:paraId="0E1C9935" w14:textId="36208AA8" w:rsidR="002D68BD" w:rsidRPr="00E6296D" w:rsidRDefault="004264D3" w:rsidP="000F3FEA">
      <w:pPr>
        <w:spacing w:line="480" w:lineRule="auto"/>
        <w:rPr>
          <w:rFonts w:ascii="Times New Roman" w:hAnsi="Times New Roman" w:cs="Times New Roman"/>
          <w:b/>
          <w:bCs/>
          <w:color w:val="000000" w:themeColor="text1"/>
          <w:sz w:val="24"/>
          <w:szCs w:val="24"/>
        </w:rPr>
      </w:pPr>
      <w:r w:rsidRPr="00E6296D">
        <w:rPr>
          <w:rFonts w:ascii="Times New Roman" w:hAnsi="Times New Roman" w:cs="Times New Roman"/>
          <w:b/>
          <w:bCs/>
          <w:color w:val="000000" w:themeColor="text1"/>
          <w:sz w:val="24"/>
          <w:szCs w:val="24"/>
        </w:rPr>
        <w:t>2</w:t>
      </w:r>
      <w:r w:rsidR="002D68BD" w:rsidRPr="00E6296D">
        <w:rPr>
          <w:rFonts w:ascii="Times New Roman" w:hAnsi="Times New Roman" w:cs="Times New Roman"/>
          <w:b/>
          <w:bCs/>
          <w:color w:val="000000" w:themeColor="text1"/>
          <w:sz w:val="24"/>
          <w:szCs w:val="24"/>
        </w:rPr>
        <w:t xml:space="preserve">. </w:t>
      </w:r>
      <w:r w:rsidR="000F3FEA" w:rsidRPr="00E6296D">
        <w:rPr>
          <w:rFonts w:ascii="Times New Roman" w:hAnsi="Times New Roman" w:cs="Times New Roman"/>
          <w:b/>
          <w:bCs/>
          <w:color w:val="000000" w:themeColor="text1"/>
          <w:sz w:val="24"/>
          <w:szCs w:val="24"/>
        </w:rPr>
        <w:t>Analysis of the bacterial DNA-binding activity of CM-10K14K using a gel retardation assay.</w:t>
      </w:r>
    </w:p>
    <w:p w14:paraId="00C8B2D5" w14:textId="725103B1" w:rsidR="002D68BD" w:rsidRPr="00E6296D" w:rsidRDefault="000F3FEA" w:rsidP="000F3FEA">
      <w:pPr>
        <w:spacing w:line="240" w:lineRule="auto"/>
        <w:jc w:val="center"/>
        <w:rPr>
          <w:rFonts w:ascii="Times New Roman" w:hAnsi="Times New Roman" w:cs="Times New Roman"/>
          <w:b/>
          <w:bCs/>
          <w:color w:val="000000" w:themeColor="text1"/>
          <w:sz w:val="24"/>
          <w:szCs w:val="24"/>
        </w:rPr>
      </w:pPr>
      <w:r w:rsidRPr="00E6296D">
        <w:rPr>
          <w:rFonts w:ascii="Times New Roman" w:hAnsi="Times New Roman" w:cs="Times New Roman"/>
          <w:b/>
          <w:bCs/>
          <w:noProof/>
          <w:color w:val="000000" w:themeColor="text1"/>
          <w:sz w:val="24"/>
          <w:szCs w:val="24"/>
          <w:lang w:val="en-IN" w:eastAsia="en-IN" w:bidi="ar-SA"/>
        </w:rPr>
        <w:drawing>
          <wp:inline distT="0" distB="0" distL="0" distR="0" wp14:anchorId="29078AFF" wp14:editId="4765D4E2">
            <wp:extent cx="5116010" cy="3069606"/>
            <wp:effectExtent l="0" t="0" r="8890" b="0"/>
            <wp:docPr id="2031077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077797" name="Picture 203107779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25065" cy="3075039"/>
                    </a:xfrm>
                    <a:prstGeom prst="rect">
                      <a:avLst/>
                    </a:prstGeom>
                  </pic:spPr>
                </pic:pic>
              </a:graphicData>
            </a:graphic>
          </wp:inline>
        </w:drawing>
      </w:r>
    </w:p>
    <w:p w14:paraId="774AD800" w14:textId="3C5A9278" w:rsidR="0091198B" w:rsidRPr="00E6296D" w:rsidRDefault="00C364EA" w:rsidP="0091198B">
      <w:pPr>
        <w:spacing w:line="360" w:lineRule="auto"/>
        <w:jc w:val="thaiDistribute"/>
        <w:rPr>
          <w:color w:val="000000" w:themeColor="text1"/>
        </w:rPr>
      </w:pPr>
      <w:r w:rsidRPr="00E6296D">
        <w:rPr>
          <w:rFonts w:ascii="Times New Roman" w:hAnsi="Times New Roman" w:cs="Times New Roman"/>
          <w:b/>
          <w:bCs/>
          <w:color w:val="000000" w:themeColor="text1"/>
          <w:sz w:val="24"/>
          <w:szCs w:val="24"/>
        </w:rPr>
        <w:t xml:space="preserve">Supplementary Figure </w:t>
      </w:r>
      <w:r w:rsidR="004264D3" w:rsidRPr="00E6296D">
        <w:rPr>
          <w:rFonts w:ascii="Times New Roman" w:hAnsi="Times New Roman" w:cs="Times New Roman"/>
          <w:b/>
          <w:bCs/>
          <w:color w:val="000000" w:themeColor="text1"/>
          <w:sz w:val="24"/>
          <w:szCs w:val="24"/>
        </w:rPr>
        <w:t>2</w:t>
      </w:r>
      <w:r w:rsidR="002D68BD" w:rsidRPr="00E6296D">
        <w:rPr>
          <w:rFonts w:ascii="Times New Roman" w:hAnsi="Times New Roman" w:cs="Times New Roman"/>
          <w:b/>
          <w:bCs/>
          <w:color w:val="000000" w:themeColor="text1"/>
          <w:sz w:val="24"/>
          <w:szCs w:val="24"/>
        </w:rPr>
        <w:t>.</w:t>
      </w:r>
      <w:r w:rsidR="0091198B" w:rsidRPr="00E6296D">
        <w:rPr>
          <w:rFonts w:ascii="Times New Roman" w:hAnsi="Times New Roman" w:cs="Times New Roman"/>
          <w:b/>
          <w:bCs/>
          <w:color w:val="000000" w:themeColor="text1"/>
          <w:sz w:val="24"/>
          <w:szCs w:val="24"/>
        </w:rPr>
        <w:t xml:space="preserve"> </w:t>
      </w:r>
      <w:r w:rsidR="00A86EF9" w:rsidRPr="00E6296D">
        <w:rPr>
          <w:rFonts w:ascii="Times New Roman" w:hAnsi="Times New Roman" w:cs="Times New Roman"/>
          <w:color w:val="000000" w:themeColor="text1"/>
          <w:sz w:val="24"/>
          <w:szCs w:val="24"/>
        </w:rPr>
        <w:t>The original gel of a gel retardation assay</w:t>
      </w:r>
      <w:r w:rsidR="0091198B" w:rsidRPr="00E6296D">
        <w:rPr>
          <w:rFonts w:ascii="Times New Roman" w:hAnsi="Times New Roman" w:cs="Times New Roman"/>
          <w:color w:val="000000" w:themeColor="text1"/>
          <w:sz w:val="24"/>
          <w:szCs w:val="24"/>
        </w:rPr>
        <w:t>.</w:t>
      </w:r>
    </w:p>
    <w:p w14:paraId="5AF38666" w14:textId="0D4D5E6E" w:rsidR="002D68BD" w:rsidRPr="00E6296D" w:rsidRDefault="002D68BD" w:rsidP="00FB262E">
      <w:pPr>
        <w:spacing w:line="240" w:lineRule="auto"/>
        <w:rPr>
          <w:rFonts w:ascii="Times New Roman" w:hAnsi="Times New Roman" w:cs="Times New Roman"/>
          <w:b/>
          <w:bCs/>
          <w:color w:val="000000" w:themeColor="text1"/>
          <w:sz w:val="24"/>
          <w:szCs w:val="24"/>
        </w:rPr>
      </w:pPr>
    </w:p>
    <w:p w14:paraId="06C6E561" w14:textId="77777777" w:rsidR="002D68BD" w:rsidRPr="00E6296D" w:rsidRDefault="002D68BD" w:rsidP="00FB262E">
      <w:pPr>
        <w:spacing w:line="240" w:lineRule="auto"/>
        <w:rPr>
          <w:rFonts w:ascii="Times New Roman" w:hAnsi="Times New Roman" w:cs="Times New Roman"/>
          <w:b/>
          <w:bCs/>
          <w:color w:val="000000" w:themeColor="text1"/>
          <w:sz w:val="24"/>
          <w:szCs w:val="24"/>
        </w:rPr>
      </w:pPr>
    </w:p>
    <w:p w14:paraId="29E930CB"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45DC95F5"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3875697C"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77AE13A3"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2CBFF3D4"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3EBD6233"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2BF0FAFB"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663871DB"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02B2A61D"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546E9B8C"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176C3675"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040F007F" w14:textId="77777777" w:rsidR="000F3FEA" w:rsidRPr="00E6296D" w:rsidRDefault="000F3FEA" w:rsidP="00FB262E">
      <w:pPr>
        <w:spacing w:line="240" w:lineRule="auto"/>
        <w:rPr>
          <w:rFonts w:ascii="Times New Roman" w:hAnsi="Times New Roman" w:cs="Times New Roman"/>
          <w:b/>
          <w:bCs/>
          <w:color w:val="000000" w:themeColor="text1"/>
          <w:sz w:val="24"/>
          <w:szCs w:val="24"/>
        </w:rPr>
      </w:pPr>
    </w:p>
    <w:p w14:paraId="6FEF6ED7" w14:textId="146871B1" w:rsidR="0077578A" w:rsidRPr="00E6296D" w:rsidRDefault="004264D3" w:rsidP="00FB262E">
      <w:pPr>
        <w:spacing w:line="240" w:lineRule="auto"/>
        <w:rPr>
          <w:rFonts w:ascii="Times New Roman" w:hAnsi="Times New Roman" w:cs="Times New Roman"/>
          <w:b/>
          <w:bCs/>
          <w:color w:val="000000" w:themeColor="text1"/>
          <w:sz w:val="24"/>
          <w:szCs w:val="24"/>
        </w:rPr>
      </w:pPr>
      <w:r w:rsidRPr="00E6296D">
        <w:rPr>
          <w:rFonts w:ascii="Times New Roman" w:hAnsi="Times New Roman" w:cs="Times New Roman"/>
          <w:b/>
          <w:bCs/>
          <w:color w:val="000000" w:themeColor="text1"/>
          <w:sz w:val="24"/>
          <w:szCs w:val="24"/>
        </w:rPr>
        <w:t>3</w:t>
      </w:r>
      <w:r w:rsidR="002D68BD" w:rsidRPr="00E6296D">
        <w:rPr>
          <w:rFonts w:ascii="Times New Roman" w:hAnsi="Times New Roman" w:cs="Times New Roman"/>
          <w:b/>
          <w:bCs/>
          <w:color w:val="000000" w:themeColor="text1"/>
          <w:sz w:val="24"/>
          <w:szCs w:val="24"/>
        </w:rPr>
        <w:t xml:space="preserve">. </w:t>
      </w:r>
      <w:r w:rsidR="00FB262E" w:rsidRPr="00E6296D">
        <w:rPr>
          <w:rFonts w:ascii="Times New Roman" w:hAnsi="Times New Roman" w:cs="Times New Roman"/>
          <w:b/>
          <w:bCs/>
          <w:color w:val="000000" w:themeColor="text1"/>
          <w:sz w:val="24"/>
          <w:szCs w:val="24"/>
        </w:rPr>
        <w:t>Determination of viable planktonic cells by colony count assay</w:t>
      </w:r>
    </w:p>
    <w:p w14:paraId="62648794" w14:textId="77777777" w:rsidR="00C32880" w:rsidRPr="00E6296D" w:rsidRDefault="00C32880" w:rsidP="00FB262E">
      <w:pPr>
        <w:spacing w:line="240" w:lineRule="auto"/>
        <w:rPr>
          <w:rFonts w:ascii="Times New Roman" w:hAnsi="Times New Roman" w:cs="Times New Roman"/>
          <w:b/>
          <w:bCs/>
          <w:color w:val="000000" w:themeColor="text1"/>
          <w:sz w:val="24"/>
          <w:szCs w:val="24"/>
          <w:cs/>
        </w:rPr>
      </w:pPr>
    </w:p>
    <w:p w14:paraId="519E1B37" w14:textId="7E521B32" w:rsidR="00FB262E" w:rsidRPr="00E6296D" w:rsidRDefault="00D57416" w:rsidP="00FB262E">
      <w:pPr>
        <w:jc w:val="center"/>
        <w:rPr>
          <w:rFonts w:ascii="Times New Roman" w:hAnsi="Times New Roman"/>
          <w:color w:val="000000" w:themeColor="text1"/>
          <w:sz w:val="24"/>
          <w:szCs w:val="24"/>
        </w:rPr>
      </w:pPr>
      <w:r w:rsidRPr="00E6296D">
        <w:rPr>
          <w:rFonts w:ascii="Times New Roman" w:hAnsi="Times New Roman"/>
          <w:noProof/>
          <w:color w:val="000000" w:themeColor="text1"/>
          <w:sz w:val="24"/>
          <w:szCs w:val="24"/>
          <w:lang w:val="en-IN" w:eastAsia="en-IN" w:bidi="ar-SA"/>
        </w:rPr>
        <w:drawing>
          <wp:inline distT="0" distB="0" distL="0" distR="0" wp14:anchorId="2EEA3A69" wp14:editId="007F2358">
            <wp:extent cx="4910667" cy="3926435"/>
            <wp:effectExtent l="0" t="0" r="4445" b="0"/>
            <wp:docPr id="1229673024"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73024" name="Picture 1" descr="A picture containing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17095" cy="3931574"/>
                    </a:xfrm>
                    <a:prstGeom prst="rect">
                      <a:avLst/>
                    </a:prstGeom>
                  </pic:spPr>
                </pic:pic>
              </a:graphicData>
            </a:graphic>
          </wp:inline>
        </w:drawing>
      </w:r>
    </w:p>
    <w:p w14:paraId="3986FCD9" w14:textId="65840470" w:rsidR="00FB262E" w:rsidRPr="00E6296D" w:rsidRDefault="00C364EA" w:rsidP="005757FC">
      <w:pPr>
        <w:spacing w:line="360" w:lineRule="auto"/>
        <w:jc w:val="both"/>
        <w:rPr>
          <w:rFonts w:ascii="Times New Roman" w:hAnsi="Times New Roman" w:cs="Times New Roman"/>
          <w:color w:val="000000" w:themeColor="text1"/>
          <w:sz w:val="24"/>
          <w:szCs w:val="24"/>
        </w:rPr>
      </w:pPr>
      <w:r w:rsidRPr="00E6296D">
        <w:rPr>
          <w:rFonts w:ascii="Times New Roman" w:hAnsi="Times New Roman" w:cs="Times New Roman"/>
          <w:b/>
          <w:bCs/>
          <w:color w:val="000000" w:themeColor="text1"/>
          <w:sz w:val="24"/>
          <w:szCs w:val="24"/>
        </w:rPr>
        <w:t>Supplementary Figure</w:t>
      </w:r>
      <w:r w:rsidR="004264D3" w:rsidRPr="00E6296D">
        <w:rPr>
          <w:rFonts w:ascii="Times New Roman" w:hAnsi="Times New Roman" w:cs="Times New Roman"/>
          <w:b/>
          <w:bCs/>
          <w:color w:val="000000" w:themeColor="text1"/>
          <w:sz w:val="24"/>
          <w:szCs w:val="24"/>
        </w:rPr>
        <w:t xml:space="preserve"> 3</w:t>
      </w:r>
      <w:r w:rsidR="00FB262E" w:rsidRPr="00E6296D">
        <w:rPr>
          <w:rFonts w:ascii="Times New Roman" w:hAnsi="Times New Roman" w:cs="Times New Roman"/>
          <w:b/>
          <w:bCs/>
          <w:color w:val="000000" w:themeColor="text1"/>
          <w:sz w:val="24"/>
          <w:szCs w:val="24"/>
        </w:rPr>
        <w:t xml:space="preserve">. </w:t>
      </w:r>
      <w:r w:rsidR="00FB262E" w:rsidRPr="00E6296D">
        <w:rPr>
          <w:rFonts w:ascii="Times New Roman" w:hAnsi="Times New Roman" w:cs="Times New Roman"/>
          <w:color w:val="000000" w:themeColor="text1"/>
          <w:sz w:val="24"/>
          <w:szCs w:val="24"/>
        </w:rPr>
        <w:t xml:space="preserve">The bactericidal effect of CM-10K14K-impregnated catheters against planktonic </w:t>
      </w:r>
      <w:r w:rsidR="00FB262E" w:rsidRPr="00E6296D">
        <w:rPr>
          <w:rFonts w:ascii="Times New Roman" w:hAnsi="Times New Roman" w:cs="Times New Roman"/>
          <w:i/>
          <w:iCs/>
          <w:color w:val="000000" w:themeColor="text1"/>
          <w:sz w:val="24"/>
          <w:szCs w:val="24"/>
        </w:rPr>
        <w:t>S. epidermidis</w:t>
      </w:r>
      <w:r w:rsidR="00FB262E" w:rsidRPr="00E6296D">
        <w:rPr>
          <w:rFonts w:ascii="Times New Roman" w:hAnsi="Times New Roman" w:cs="Times New Roman"/>
          <w:color w:val="000000" w:themeColor="text1"/>
          <w:sz w:val="24"/>
          <w:szCs w:val="24"/>
        </w:rPr>
        <w:t xml:space="preserve"> ATCC 35984 after 6 h and 24 h of incubation compared to that of vancomycin. </w:t>
      </w:r>
      <w:r w:rsidR="00FB262E" w:rsidRPr="00E6296D">
        <w:rPr>
          <w:rFonts w:ascii="Times New Roman" w:hAnsi="Times New Roman" w:cs="Times New Roman"/>
          <w:i/>
          <w:iCs/>
          <w:color w:val="000000" w:themeColor="text1"/>
          <w:sz w:val="24"/>
          <w:szCs w:val="24"/>
        </w:rPr>
        <w:t>p</w:t>
      </w:r>
      <w:r w:rsidR="00FB262E" w:rsidRPr="00E6296D">
        <w:rPr>
          <w:rFonts w:ascii="Times New Roman" w:hAnsi="Times New Roman" w:cs="Times New Roman"/>
          <w:color w:val="000000" w:themeColor="text1"/>
          <w:sz w:val="24"/>
          <w:szCs w:val="24"/>
        </w:rPr>
        <w:t>-values were determined using a two-way ANOVA with Tukey’s post hoc test. Significant differences are indicated in GP style: &gt;0.05 (ns), ≤0.05 (*), ≤0.01 (**), ≤0.001 (***), ≤0.0001 (****).</w:t>
      </w:r>
    </w:p>
    <w:p w14:paraId="0A9EF1F1" w14:textId="77777777" w:rsidR="00FB262E" w:rsidRPr="00E6296D" w:rsidRDefault="00FB262E" w:rsidP="00FB262E">
      <w:pPr>
        <w:rPr>
          <w:color w:val="000000" w:themeColor="text1"/>
        </w:rPr>
      </w:pPr>
    </w:p>
    <w:p w14:paraId="0EB46D9D" w14:textId="77777777" w:rsidR="00FB262E" w:rsidRPr="00E6296D" w:rsidRDefault="00FB262E" w:rsidP="00FB262E">
      <w:pPr>
        <w:rPr>
          <w:color w:val="000000" w:themeColor="text1"/>
        </w:rPr>
      </w:pPr>
    </w:p>
    <w:p w14:paraId="3ADDE951" w14:textId="77777777" w:rsidR="00FB262E" w:rsidRPr="00E6296D" w:rsidRDefault="00FB262E" w:rsidP="00FB262E">
      <w:pPr>
        <w:rPr>
          <w:color w:val="000000" w:themeColor="text1"/>
        </w:rPr>
      </w:pPr>
    </w:p>
    <w:p w14:paraId="3BAD8B19" w14:textId="287B9281" w:rsidR="00E754C4" w:rsidRPr="00E6296D" w:rsidRDefault="00E754C4" w:rsidP="00FB262E">
      <w:pPr>
        <w:rPr>
          <w:color w:val="000000" w:themeColor="text1"/>
        </w:rPr>
      </w:pPr>
    </w:p>
    <w:p w14:paraId="27B026CC" w14:textId="2BCD2D79" w:rsidR="00E34A58" w:rsidRPr="00E6296D" w:rsidRDefault="00E34A58" w:rsidP="00FB262E">
      <w:pPr>
        <w:rPr>
          <w:color w:val="000000" w:themeColor="text1"/>
        </w:rPr>
      </w:pPr>
    </w:p>
    <w:p w14:paraId="7956567B" w14:textId="004094E0" w:rsidR="00E34A58" w:rsidRPr="00E6296D" w:rsidRDefault="00E34A58" w:rsidP="00FB262E">
      <w:pPr>
        <w:rPr>
          <w:color w:val="000000" w:themeColor="text1"/>
        </w:rPr>
      </w:pPr>
    </w:p>
    <w:p w14:paraId="489C0BB3" w14:textId="77777777" w:rsidR="00E34A58" w:rsidRPr="00E6296D" w:rsidRDefault="00E34A58" w:rsidP="00FB262E">
      <w:pPr>
        <w:rPr>
          <w:color w:val="000000" w:themeColor="text1"/>
        </w:rPr>
      </w:pPr>
    </w:p>
    <w:p w14:paraId="6E4C94A0" w14:textId="77777777" w:rsidR="00FB262E" w:rsidRPr="00E6296D" w:rsidRDefault="00FB262E" w:rsidP="00FB262E">
      <w:pPr>
        <w:rPr>
          <w:color w:val="000000" w:themeColor="text1"/>
        </w:rPr>
      </w:pPr>
    </w:p>
    <w:p w14:paraId="56FCA3FD" w14:textId="6F53BAC6" w:rsidR="00FB262E" w:rsidRPr="00E6296D" w:rsidRDefault="000F3FEA" w:rsidP="00FC4214">
      <w:pPr>
        <w:spacing w:after="0" w:line="360" w:lineRule="auto"/>
        <w:rPr>
          <w:rFonts w:ascii="Times New Roman" w:hAnsi="Times New Roman" w:cs="Times New Roman"/>
          <w:b/>
          <w:bCs/>
          <w:color w:val="000000" w:themeColor="text1"/>
          <w:sz w:val="24"/>
          <w:szCs w:val="24"/>
        </w:rPr>
      </w:pPr>
      <w:r w:rsidRPr="00E6296D">
        <w:rPr>
          <w:rFonts w:ascii="Times New Roman" w:hAnsi="Times New Roman" w:cs="Times New Roman"/>
          <w:b/>
          <w:bCs/>
          <w:color w:val="000000" w:themeColor="text1"/>
          <w:sz w:val="24"/>
          <w:szCs w:val="24"/>
        </w:rPr>
        <w:t>3</w:t>
      </w:r>
      <w:r w:rsidR="00FB262E" w:rsidRPr="00E6296D">
        <w:rPr>
          <w:rFonts w:ascii="Times New Roman" w:hAnsi="Times New Roman" w:cs="Times New Roman"/>
          <w:b/>
          <w:bCs/>
          <w:color w:val="000000" w:themeColor="text1"/>
          <w:sz w:val="24"/>
          <w:szCs w:val="24"/>
        </w:rPr>
        <w:t>. Quantification of impregnated peptide by fluorescamine assay</w:t>
      </w:r>
    </w:p>
    <w:p w14:paraId="352BFD13" w14:textId="1E195415" w:rsidR="00FB262E" w:rsidRPr="00E6296D" w:rsidRDefault="00091ABA" w:rsidP="005757FC">
      <w:pPr>
        <w:spacing w:after="0" w:line="360" w:lineRule="auto"/>
        <w:ind w:firstLine="720"/>
        <w:jc w:val="both"/>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32"/>
        </w:rPr>
        <w:t xml:space="preserve">The release of peptide from impregnated catheter was determined by quantifying CM-10K14K after preparation. The dipped catheters with 250, 500 and 1000 µg/mL of CM-10K14K solutions were prepared following Fig.2. Each segment of dipped catheters was incubated with 200 µL of </w:t>
      </w:r>
      <w:r w:rsidR="00E242DB" w:rsidRPr="00E6296D">
        <w:rPr>
          <w:rFonts w:ascii="Times New Roman" w:hAnsi="Times New Roman" w:cs="Times New Roman"/>
          <w:color w:val="000000" w:themeColor="text1"/>
          <w:sz w:val="24"/>
          <w:szCs w:val="32"/>
        </w:rPr>
        <w:t>ultrapure</w:t>
      </w:r>
      <w:r w:rsidRPr="00E6296D">
        <w:rPr>
          <w:rFonts w:ascii="Times New Roman" w:hAnsi="Times New Roman" w:cs="Times New Roman"/>
          <w:color w:val="000000" w:themeColor="text1"/>
          <w:sz w:val="24"/>
          <w:szCs w:val="32"/>
        </w:rPr>
        <w:t xml:space="preserve"> water at room temperature for 24 hours. </w:t>
      </w:r>
      <w:r w:rsidR="002966BE" w:rsidRPr="00E6296D">
        <w:rPr>
          <w:rFonts w:ascii="Times New Roman" w:hAnsi="Times New Roman" w:cs="Times New Roman"/>
          <w:color w:val="000000" w:themeColor="text1"/>
          <w:sz w:val="24"/>
          <w:szCs w:val="32"/>
        </w:rPr>
        <w:t xml:space="preserve">The fluorescamine assay was used to detect the released CM-10K14K in </w:t>
      </w:r>
      <w:r w:rsidR="00E242DB" w:rsidRPr="00E6296D">
        <w:rPr>
          <w:rFonts w:ascii="Times New Roman" w:hAnsi="Times New Roman" w:cs="Times New Roman"/>
          <w:color w:val="000000" w:themeColor="text1"/>
          <w:sz w:val="24"/>
          <w:szCs w:val="32"/>
        </w:rPr>
        <w:t>ultrapure water</w:t>
      </w:r>
      <w:r w:rsidR="002966BE" w:rsidRPr="00E6296D">
        <w:rPr>
          <w:rFonts w:ascii="Times New Roman" w:hAnsi="Times New Roman" w:cs="Times New Roman"/>
          <w:color w:val="000000" w:themeColor="text1"/>
          <w:sz w:val="24"/>
          <w:szCs w:val="32"/>
        </w:rPr>
        <w:t xml:space="preserve"> according to the manufacturer's instructions. The peptide's primary amines react with fluorescamine to create fluorescent products that can be measured using fluorescence spectroscopy.  </w:t>
      </w:r>
      <w:r w:rsidR="00FB262E" w:rsidRPr="00E6296D">
        <w:rPr>
          <w:rFonts w:ascii="Times New Roman" w:hAnsi="Times New Roman" w:cs="Times New Roman"/>
          <w:color w:val="000000" w:themeColor="text1"/>
          <w:sz w:val="24"/>
          <w:szCs w:val="32"/>
        </w:rPr>
        <w:t xml:space="preserve">In </w:t>
      </w:r>
      <w:r w:rsidR="002966BE" w:rsidRPr="00E6296D">
        <w:rPr>
          <w:rFonts w:ascii="Times New Roman" w:hAnsi="Times New Roman" w:cs="Times New Roman"/>
          <w:color w:val="000000" w:themeColor="text1"/>
          <w:sz w:val="24"/>
          <w:szCs w:val="32"/>
        </w:rPr>
        <w:t>short</w:t>
      </w:r>
      <w:r w:rsidR="00FB262E" w:rsidRPr="00E6296D">
        <w:rPr>
          <w:rFonts w:ascii="Times New Roman" w:hAnsi="Times New Roman" w:cs="Times New Roman"/>
          <w:color w:val="000000" w:themeColor="text1"/>
          <w:sz w:val="24"/>
          <w:szCs w:val="32"/>
        </w:rPr>
        <w:t xml:space="preserve">, 3 mg of fluorescamine was dissolved in 1 mL DMSO. </w:t>
      </w:r>
      <w:r w:rsidR="002966BE" w:rsidRPr="00E6296D">
        <w:rPr>
          <w:rFonts w:ascii="Times New Roman" w:hAnsi="Times New Roman" w:cs="Times New Roman"/>
          <w:color w:val="000000" w:themeColor="text1"/>
          <w:sz w:val="24"/>
          <w:szCs w:val="32"/>
        </w:rPr>
        <w:t>Fifty</w:t>
      </w:r>
      <w:r w:rsidR="00FB262E" w:rsidRPr="00E6296D">
        <w:rPr>
          <w:rFonts w:ascii="Times New Roman" w:hAnsi="Times New Roman" w:cs="Times New Roman"/>
          <w:color w:val="000000" w:themeColor="text1"/>
          <w:sz w:val="24"/>
          <w:szCs w:val="32"/>
        </w:rPr>
        <w:t xml:space="preserve"> µL of the </w:t>
      </w:r>
      <w:r w:rsidR="002966BE" w:rsidRPr="00E6296D">
        <w:rPr>
          <w:rFonts w:ascii="Times New Roman" w:hAnsi="Times New Roman" w:cs="Times New Roman"/>
          <w:color w:val="000000" w:themeColor="text1"/>
          <w:sz w:val="24"/>
          <w:szCs w:val="32"/>
        </w:rPr>
        <w:t>fluorescamine</w:t>
      </w:r>
      <w:r w:rsidR="00FB262E" w:rsidRPr="00E6296D">
        <w:rPr>
          <w:rFonts w:ascii="Times New Roman" w:hAnsi="Times New Roman" w:cs="Times New Roman"/>
          <w:color w:val="000000" w:themeColor="text1"/>
          <w:sz w:val="24"/>
          <w:szCs w:val="32"/>
        </w:rPr>
        <w:t xml:space="preserve"> solution was mixed </w:t>
      </w:r>
      <w:r w:rsidR="002966BE" w:rsidRPr="00E6296D">
        <w:rPr>
          <w:rFonts w:ascii="Times New Roman" w:hAnsi="Times New Roman" w:cs="Times New Roman"/>
          <w:color w:val="000000" w:themeColor="text1"/>
          <w:sz w:val="24"/>
          <w:szCs w:val="32"/>
        </w:rPr>
        <w:t>with</w:t>
      </w:r>
      <w:r w:rsidR="00FB262E" w:rsidRPr="00E6296D">
        <w:rPr>
          <w:rFonts w:ascii="Times New Roman" w:hAnsi="Times New Roman" w:cs="Times New Roman"/>
          <w:color w:val="000000" w:themeColor="text1"/>
          <w:sz w:val="24"/>
          <w:szCs w:val="32"/>
        </w:rPr>
        <w:t xml:space="preserve"> 150 µL of the</w:t>
      </w:r>
      <w:r w:rsidRPr="00E6296D">
        <w:rPr>
          <w:rFonts w:ascii="Times New Roman" w:hAnsi="Times New Roman" w:cs="Angsana New" w:hint="cs"/>
          <w:color w:val="000000" w:themeColor="text1"/>
          <w:sz w:val="24"/>
          <w:szCs w:val="32"/>
          <w:cs/>
        </w:rPr>
        <w:t xml:space="preserve"> </w:t>
      </w:r>
      <w:r w:rsidRPr="00E6296D">
        <w:rPr>
          <w:rFonts w:ascii="Times New Roman" w:hAnsi="Times New Roman" w:cs="Angsana New"/>
          <w:color w:val="000000" w:themeColor="text1"/>
          <w:sz w:val="24"/>
          <w:szCs w:val="32"/>
        </w:rPr>
        <w:t xml:space="preserve">released peptide </w:t>
      </w:r>
      <w:r w:rsidR="002966BE" w:rsidRPr="00E6296D">
        <w:rPr>
          <w:rFonts w:ascii="Times New Roman" w:hAnsi="Times New Roman" w:cs="Angsana New"/>
          <w:color w:val="000000" w:themeColor="text1"/>
          <w:sz w:val="24"/>
          <w:szCs w:val="32"/>
        </w:rPr>
        <w:t xml:space="preserve">and then allowed to incubate at room temperature for 15 min in the dark. </w:t>
      </w:r>
      <w:r w:rsidR="002966BE" w:rsidRPr="00E6296D">
        <w:rPr>
          <w:rFonts w:ascii="Times New Roman" w:hAnsi="Times New Roman" w:cs="Times New Roman"/>
          <w:color w:val="000000" w:themeColor="text1"/>
          <w:sz w:val="24"/>
          <w:szCs w:val="32"/>
        </w:rPr>
        <w:t>Using a fluorescent microplate reader, the fluorescent signal (excitation: 355/40 nm, emission: 460/20 nm) was quantified.</w:t>
      </w:r>
      <w:r w:rsidR="00A30FE2" w:rsidRPr="00E6296D">
        <w:rPr>
          <w:rFonts w:ascii="Times New Roman" w:hAnsi="Times New Roman" w:cs="Angsana New"/>
          <w:color w:val="000000" w:themeColor="text1"/>
          <w:sz w:val="24"/>
          <w:szCs w:val="32"/>
        </w:rPr>
        <w:t xml:space="preserve"> </w:t>
      </w:r>
      <w:r w:rsidR="00FB262E" w:rsidRPr="00E6296D">
        <w:rPr>
          <w:rFonts w:ascii="Times New Roman" w:hAnsi="Times New Roman" w:cs="Times New Roman"/>
          <w:color w:val="000000" w:themeColor="text1"/>
          <w:sz w:val="24"/>
          <w:szCs w:val="32"/>
        </w:rPr>
        <w:t xml:space="preserve">To generate a standard curve, </w:t>
      </w:r>
      <w:r w:rsidR="002966BE" w:rsidRPr="00E6296D">
        <w:rPr>
          <w:rFonts w:ascii="Times New Roman" w:hAnsi="Times New Roman" w:cs="Times New Roman"/>
          <w:color w:val="000000" w:themeColor="text1"/>
          <w:sz w:val="24"/>
          <w:szCs w:val="32"/>
        </w:rPr>
        <w:t xml:space="preserve">the reaction </w:t>
      </w:r>
      <w:r w:rsidR="00A30FE2" w:rsidRPr="00E6296D">
        <w:rPr>
          <w:rFonts w:ascii="Times New Roman" w:hAnsi="Times New Roman" w:cs="Times New Roman"/>
          <w:color w:val="000000" w:themeColor="text1"/>
          <w:sz w:val="24"/>
          <w:szCs w:val="32"/>
        </w:rPr>
        <w:t>mixture of</w:t>
      </w:r>
      <w:r w:rsidR="002966BE" w:rsidRPr="00E6296D">
        <w:rPr>
          <w:rFonts w:ascii="Times New Roman" w:hAnsi="Times New Roman" w:cs="Times New Roman"/>
          <w:color w:val="000000" w:themeColor="text1"/>
          <w:sz w:val="24"/>
          <w:szCs w:val="32"/>
        </w:rPr>
        <w:t xml:space="preserve"> two</w:t>
      </w:r>
      <w:r w:rsidR="00FB262E" w:rsidRPr="00E6296D">
        <w:rPr>
          <w:rFonts w:ascii="Times New Roman" w:hAnsi="Times New Roman" w:cs="Times New Roman"/>
          <w:color w:val="000000" w:themeColor="text1"/>
          <w:sz w:val="24"/>
          <w:szCs w:val="32"/>
        </w:rPr>
        <w:t xml:space="preserve">-fold serial dilution of CM-10K14K </w:t>
      </w:r>
      <w:r w:rsidR="002966BE" w:rsidRPr="00E6296D">
        <w:rPr>
          <w:rFonts w:ascii="Times New Roman" w:hAnsi="Times New Roman" w:cs="Times New Roman"/>
          <w:color w:val="000000" w:themeColor="text1"/>
          <w:sz w:val="24"/>
          <w:szCs w:val="32"/>
        </w:rPr>
        <w:t>(concentration ranging from</w:t>
      </w:r>
      <w:r w:rsidR="00FB262E" w:rsidRPr="00E6296D">
        <w:rPr>
          <w:rFonts w:ascii="Times New Roman" w:hAnsi="Times New Roman" w:cs="Times New Roman"/>
          <w:color w:val="000000" w:themeColor="text1"/>
          <w:sz w:val="24"/>
          <w:szCs w:val="32"/>
        </w:rPr>
        <w:t xml:space="preserve"> 1.95 to 125 µg/mL</w:t>
      </w:r>
      <w:r w:rsidR="002966BE" w:rsidRPr="00E6296D">
        <w:rPr>
          <w:rFonts w:ascii="Times New Roman" w:hAnsi="Times New Roman" w:cs="Times New Roman"/>
          <w:color w:val="000000" w:themeColor="text1"/>
          <w:sz w:val="24"/>
          <w:szCs w:val="32"/>
        </w:rPr>
        <w:t>)</w:t>
      </w:r>
      <w:r w:rsidR="00FB262E" w:rsidRPr="00E6296D">
        <w:rPr>
          <w:rFonts w:ascii="Times New Roman" w:hAnsi="Times New Roman" w:cs="Times New Roman"/>
          <w:color w:val="000000" w:themeColor="text1"/>
          <w:sz w:val="24"/>
          <w:szCs w:val="32"/>
        </w:rPr>
        <w:t xml:space="preserve"> was </w:t>
      </w:r>
      <w:r w:rsidR="002966BE" w:rsidRPr="00E6296D">
        <w:rPr>
          <w:rFonts w:ascii="Times New Roman" w:hAnsi="Times New Roman" w:cs="Times New Roman"/>
          <w:color w:val="000000" w:themeColor="text1"/>
          <w:sz w:val="24"/>
          <w:szCs w:val="32"/>
        </w:rPr>
        <w:t>performed</w:t>
      </w:r>
      <w:r w:rsidR="00FB262E" w:rsidRPr="00E6296D">
        <w:rPr>
          <w:rFonts w:ascii="Times New Roman" w:hAnsi="Times New Roman" w:cs="Times New Roman"/>
          <w:color w:val="000000" w:themeColor="text1"/>
          <w:sz w:val="24"/>
          <w:szCs w:val="32"/>
        </w:rPr>
        <w:t xml:space="preserve"> </w:t>
      </w:r>
      <w:r w:rsidR="00C71AD0" w:rsidRPr="00E6296D">
        <w:rPr>
          <w:rFonts w:ascii="Times New Roman" w:hAnsi="Times New Roman" w:cs="Times New Roman"/>
          <w:color w:val="000000" w:themeColor="text1"/>
          <w:sz w:val="24"/>
          <w:szCs w:val="32"/>
        </w:rPr>
        <w:t>(</w:t>
      </w:r>
      <w:r w:rsidR="002966BE" w:rsidRPr="00E6296D">
        <w:rPr>
          <w:rFonts w:ascii="Times New Roman" w:hAnsi="Times New Roman" w:cs="Times New Roman"/>
          <w:color w:val="000000" w:themeColor="text1"/>
          <w:sz w:val="24"/>
          <w:szCs w:val="24"/>
        </w:rPr>
        <w:t>Supplementary Figure 3</w:t>
      </w:r>
      <w:r w:rsidR="00C71AD0" w:rsidRPr="00E6296D">
        <w:rPr>
          <w:rFonts w:ascii="Times New Roman" w:hAnsi="Times New Roman" w:cs="Times New Roman"/>
          <w:color w:val="000000" w:themeColor="text1"/>
          <w:sz w:val="24"/>
          <w:szCs w:val="32"/>
        </w:rPr>
        <w:t>)</w:t>
      </w:r>
      <w:r w:rsidR="00FB262E" w:rsidRPr="00E6296D">
        <w:rPr>
          <w:rFonts w:ascii="Times New Roman" w:hAnsi="Times New Roman" w:cs="Times New Roman"/>
          <w:color w:val="000000" w:themeColor="text1"/>
          <w:sz w:val="24"/>
          <w:szCs w:val="32"/>
        </w:rPr>
        <w:t>. The amount of CM-10K14K in the sample supernatant</w:t>
      </w:r>
      <w:r w:rsidR="0077578A" w:rsidRPr="00E6296D">
        <w:rPr>
          <w:rFonts w:ascii="Times New Roman" w:hAnsi="Times New Roman" w:cs="Times New Roman"/>
          <w:color w:val="000000" w:themeColor="text1"/>
          <w:sz w:val="24"/>
          <w:szCs w:val="32"/>
        </w:rPr>
        <w:t>s</w:t>
      </w:r>
      <w:r w:rsidR="00FB262E" w:rsidRPr="00E6296D">
        <w:rPr>
          <w:rFonts w:ascii="Times New Roman" w:hAnsi="Times New Roman" w:cs="Times New Roman"/>
          <w:color w:val="000000" w:themeColor="text1"/>
          <w:sz w:val="24"/>
          <w:szCs w:val="32"/>
        </w:rPr>
        <w:t xml:space="preserve"> </w:t>
      </w:r>
      <w:r w:rsidR="0077578A" w:rsidRPr="00E6296D">
        <w:rPr>
          <w:rFonts w:ascii="Times New Roman" w:hAnsi="Times New Roman" w:cs="Times New Roman"/>
          <w:color w:val="000000" w:themeColor="text1"/>
          <w:sz w:val="24"/>
          <w:szCs w:val="32"/>
        </w:rPr>
        <w:t xml:space="preserve">were </w:t>
      </w:r>
      <w:r w:rsidR="00FB262E" w:rsidRPr="00E6296D">
        <w:rPr>
          <w:rFonts w:ascii="Times New Roman" w:hAnsi="Times New Roman" w:cs="Times New Roman"/>
          <w:color w:val="000000" w:themeColor="text1"/>
          <w:sz w:val="24"/>
          <w:szCs w:val="32"/>
        </w:rPr>
        <w:t>compared to the standard curve. All measurements were performed in triplicate.</w:t>
      </w:r>
    </w:p>
    <w:p w14:paraId="27A3B7FE" w14:textId="77777777" w:rsidR="00A30FE2" w:rsidRPr="00E6296D" w:rsidRDefault="00A30FE2" w:rsidP="00FC4214">
      <w:pPr>
        <w:spacing w:after="0" w:line="360" w:lineRule="auto"/>
        <w:ind w:firstLine="360"/>
        <w:jc w:val="thaiDistribute"/>
        <w:rPr>
          <w:rFonts w:ascii="Times New Roman" w:hAnsi="Times New Roman" w:cs="Angsana New"/>
          <w:color w:val="000000" w:themeColor="text1"/>
          <w:sz w:val="24"/>
          <w:szCs w:val="32"/>
        </w:rPr>
      </w:pPr>
    </w:p>
    <w:p w14:paraId="73988569" w14:textId="77777777" w:rsidR="00FB262E" w:rsidRPr="00E6296D" w:rsidRDefault="00FB262E" w:rsidP="00FB262E">
      <w:pPr>
        <w:spacing w:line="276" w:lineRule="auto"/>
        <w:jc w:val="center"/>
        <w:rPr>
          <w:rFonts w:ascii="Times New Roman" w:hAnsi="Times New Roman" w:cs="Times New Roman"/>
          <w:color w:val="000000" w:themeColor="text1"/>
          <w:sz w:val="24"/>
          <w:szCs w:val="32"/>
        </w:rPr>
      </w:pPr>
      <w:r w:rsidRPr="00E6296D">
        <w:rPr>
          <w:noProof/>
          <w:color w:val="000000" w:themeColor="text1"/>
          <w:lang w:val="en-IN" w:eastAsia="en-IN" w:bidi="ar-SA"/>
        </w:rPr>
        <w:drawing>
          <wp:inline distT="0" distB="0" distL="0" distR="0" wp14:anchorId="7301246D" wp14:editId="3F43D1A6">
            <wp:extent cx="4304714" cy="2848194"/>
            <wp:effectExtent l="0" t="0" r="635" b="9525"/>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1313"/>
                    <a:stretch/>
                  </pic:blipFill>
                  <pic:spPr bwMode="auto">
                    <a:xfrm>
                      <a:off x="0" y="0"/>
                      <a:ext cx="4341728" cy="2872684"/>
                    </a:xfrm>
                    <a:prstGeom prst="rect">
                      <a:avLst/>
                    </a:prstGeom>
                    <a:noFill/>
                    <a:ln>
                      <a:noFill/>
                    </a:ln>
                    <a:extLst>
                      <a:ext uri="{53640926-AAD7-44D8-BBD7-CCE9431645EC}">
                        <a14:shadowObscured xmlns:a14="http://schemas.microsoft.com/office/drawing/2010/main"/>
                      </a:ext>
                    </a:extLst>
                  </pic:spPr>
                </pic:pic>
              </a:graphicData>
            </a:graphic>
          </wp:inline>
        </w:drawing>
      </w:r>
    </w:p>
    <w:p w14:paraId="3D43003C" w14:textId="5F5EF14F" w:rsidR="00FB262E" w:rsidRPr="00E6296D" w:rsidRDefault="00C364EA" w:rsidP="00FB262E">
      <w:pPr>
        <w:spacing w:line="276" w:lineRule="auto"/>
        <w:rPr>
          <w:rFonts w:ascii="Times New Roman" w:hAnsi="Times New Roman" w:cs="Times New Roman"/>
          <w:color w:val="000000" w:themeColor="text1"/>
          <w:sz w:val="24"/>
          <w:szCs w:val="32"/>
        </w:rPr>
      </w:pPr>
      <w:r w:rsidRPr="00E6296D">
        <w:rPr>
          <w:rFonts w:ascii="Times New Roman" w:hAnsi="Times New Roman" w:cs="Times New Roman"/>
          <w:b/>
          <w:bCs/>
          <w:color w:val="000000" w:themeColor="text1"/>
          <w:sz w:val="24"/>
          <w:szCs w:val="24"/>
        </w:rPr>
        <w:t xml:space="preserve">Supplementary Figure 3. </w:t>
      </w:r>
      <w:r w:rsidR="00FB262E" w:rsidRPr="00E6296D">
        <w:rPr>
          <w:rFonts w:ascii="Times New Roman" w:hAnsi="Times New Roman" w:cs="Times New Roman"/>
          <w:b/>
          <w:bCs/>
          <w:color w:val="000000" w:themeColor="text1"/>
          <w:sz w:val="24"/>
          <w:szCs w:val="24"/>
        </w:rPr>
        <w:t xml:space="preserve"> </w:t>
      </w:r>
      <w:r w:rsidR="00FB262E" w:rsidRPr="00E6296D">
        <w:rPr>
          <w:rFonts w:ascii="Times New Roman" w:hAnsi="Times New Roman" w:cs="Times New Roman"/>
          <w:color w:val="000000" w:themeColor="text1"/>
          <w:sz w:val="24"/>
          <w:szCs w:val="24"/>
        </w:rPr>
        <w:t xml:space="preserve">The standard curve </w:t>
      </w:r>
      <w:r w:rsidR="00FB262E" w:rsidRPr="00E6296D">
        <w:rPr>
          <w:rFonts w:ascii="Times New Roman" w:hAnsi="Times New Roman" w:cs="Times New Roman"/>
          <w:color w:val="000000" w:themeColor="text1"/>
          <w:sz w:val="24"/>
          <w:szCs w:val="32"/>
        </w:rPr>
        <w:t>of CM-10K14K by fluorescamine assay.</w:t>
      </w:r>
    </w:p>
    <w:p w14:paraId="4E6CD7A3" w14:textId="77777777" w:rsidR="00FB262E" w:rsidRPr="00E6296D" w:rsidRDefault="00FB262E" w:rsidP="00FB262E">
      <w:pPr>
        <w:spacing w:line="276" w:lineRule="auto"/>
        <w:rPr>
          <w:rFonts w:ascii="Times New Roman" w:hAnsi="Times New Roman" w:cs="Times New Roman"/>
          <w:color w:val="000000" w:themeColor="text1"/>
          <w:sz w:val="24"/>
          <w:szCs w:val="32"/>
        </w:rPr>
      </w:pPr>
    </w:p>
    <w:p w14:paraId="5EF5798B" w14:textId="77777777" w:rsidR="00C260A7" w:rsidRPr="00E6296D" w:rsidRDefault="00C260A7" w:rsidP="00034EBA">
      <w:pPr>
        <w:spacing w:line="360" w:lineRule="auto"/>
        <w:jc w:val="thaiDistribute"/>
        <w:rPr>
          <w:rFonts w:ascii="Times New Roman" w:hAnsi="Times New Roman" w:cs="Times New Roman"/>
          <w:color w:val="000000" w:themeColor="text1"/>
          <w:sz w:val="24"/>
          <w:szCs w:val="24"/>
        </w:rPr>
      </w:pPr>
    </w:p>
    <w:p w14:paraId="2AB354FA" w14:textId="77777777" w:rsidR="001E2915" w:rsidRPr="00E6296D" w:rsidRDefault="001E2915" w:rsidP="005757FC">
      <w:pPr>
        <w:spacing w:line="360" w:lineRule="auto"/>
        <w:jc w:val="both"/>
        <w:rPr>
          <w:rFonts w:ascii="Times New Roman" w:hAnsi="Times New Roman" w:cs="Times New Roman"/>
          <w:color w:val="000000" w:themeColor="text1"/>
          <w:sz w:val="24"/>
          <w:szCs w:val="32"/>
        </w:rPr>
      </w:pPr>
      <w:r w:rsidRPr="00E6296D">
        <w:rPr>
          <w:rFonts w:ascii="Times New Roman" w:hAnsi="Times New Roman" w:cs="Times New Roman"/>
          <w:b/>
          <w:bCs/>
          <w:color w:val="000000" w:themeColor="text1"/>
          <w:sz w:val="24"/>
          <w:szCs w:val="24"/>
        </w:rPr>
        <w:t xml:space="preserve">Supplementary </w:t>
      </w:r>
      <w:r w:rsidRPr="00E6296D">
        <w:rPr>
          <w:rFonts w:ascii="Times New Roman" w:hAnsi="Times New Roman" w:cs="Times New Roman"/>
          <w:b/>
          <w:bCs/>
          <w:color w:val="000000" w:themeColor="text1"/>
          <w:sz w:val="24"/>
          <w:szCs w:val="32"/>
        </w:rPr>
        <w:t xml:space="preserve">Table 1. </w:t>
      </w:r>
      <w:r w:rsidRPr="00E6296D">
        <w:rPr>
          <w:rFonts w:ascii="Times New Roman" w:hAnsi="Times New Roman" w:cs="Times New Roman"/>
          <w:color w:val="000000" w:themeColor="text1"/>
          <w:sz w:val="24"/>
          <w:szCs w:val="32"/>
        </w:rPr>
        <w:t xml:space="preserve">The potential cleavage sites of </w:t>
      </w:r>
      <w:r w:rsidRPr="00E6296D">
        <w:rPr>
          <w:rFonts w:ascii="Times New Roman" w:hAnsi="Times New Roman" w:cs="Times New Roman"/>
          <w:color w:val="000000" w:themeColor="text1"/>
          <w:sz w:val="24"/>
          <w:szCs w:val="24"/>
        </w:rPr>
        <w:t>CM and CM-10K14K</w:t>
      </w:r>
      <w:r w:rsidRPr="00E6296D">
        <w:rPr>
          <w:rFonts w:ascii="Times New Roman" w:hAnsi="Times New Roman" w:cs="Times New Roman"/>
          <w:color w:val="000000" w:themeColor="text1"/>
          <w:sz w:val="24"/>
          <w:szCs w:val="32"/>
        </w:rPr>
        <w:t xml:space="preserve"> sequence, cleaved by </w:t>
      </w:r>
      <w:r w:rsidRPr="00E6296D">
        <w:rPr>
          <w:rFonts w:ascii="Times New Roman" w:hAnsi="Times New Roman" w:cs="Times New Roman"/>
          <w:color w:val="000000" w:themeColor="text1"/>
          <w:sz w:val="24"/>
          <w:szCs w:val="24"/>
        </w:rPr>
        <w:t>proteinase K</w:t>
      </w:r>
      <w:r w:rsidRPr="00E6296D">
        <w:rPr>
          <w:rFonts w:ascii="Times New Roman" w:hAnsi="Times New Roman" w:cs="Times New Roman"/>
          <w:color w:val="000000" w:themeColor="text1"/>
          <w:sz w:val="24"/>
          <w:szCs w:val="32"/>
        </w:rPr>
        <w:t>, predicted by PeptideCutter</w:t>
      </w:r>
      <w:r w:rsidRPr="00E6296D">
        <w:rPr>
          <w:rFonts w:ascii="Times New Roman" w:hAnsi="Times New Roman" w:cs="Times New Roman"/>
          <w:b/>
          <w:bCs/>
          <w:color w:val="000000" w:themeColor="text1"/>
          <w:sz w:val="24"/>
          <w:szCs w:val="32"/>
        </w:rPr>
        <w:t xml:space="preserve"> </w:t>
      </w:r>
      <w:r w:rsidRPr="00E6296D">
        <w:rPr>
          <w:rFonts w:ascii="Times New Roman" w:hAnsi="Times New Roman" w:cs="Times New Roman"/>
          <w:color w:val="000000" w:themeColor="text1"/>
          <w:sz w:val="24"/>
          <w:szCs w:val="32"/>
        </w:rPr>
        <w:t>online program.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E6296D" w:rsidRPr="00E6296D" w14:paraId="2FDC9D42" w14:textId="77777777" w:rsidTr="000910C4">
        <w:trPr>
          <w:jc w:val="center"/>
        </w:trPr>
        <w:tc>
          <w:tcPr>
            <w:tcW w:w="4674" w:type="dxa"/>
            <w:gridSpan w:val="2"/>
            <w:tcBorders>
              <w:top w:val="single" w:sz="4" w:space="0" w:color="auto"/>
              <w:bottom w:val="single" w:sz="4" w:space="0" w:color="auto"/>
            </w:tcBorders>
            <w:shd w:val="clear" w:color="auto" w:fill="E7E6E6" w:themeFill="background2"/>
            <w:vAlign w:val="center"/>
          </w:tcPr>
          <w:p w14:paraId="3CCFBE42" w14:textId="77777777" w:rsidR="001E2915" w:rsidRPr="00E6296D" w:rsidRDefault="001E2915" w:rsidP="000910C4">
            <w:pPr>
              <w:spacing w:line="360" w:lineRule="auto"/>
              <w:jc w:val="center"/>
              <w:rPr>
                <w:rFonts w:ascii="Times New Roman" w:hAnsi="Times New Roman" w:cs="Times New Roman"/>
                <w:b/>
                <w:bCs/>
                <w:color w:val="000000" w:themeColor="text1"/>
                <w:sz w:val="24"/>
                <w:szCs w:val="24"/>
              </w:rPr>
            </w:pPr>
            <w:r w:rsidRPr="00E6296D">
              <w:rPr>
                <w:rFonts w:ascii="Times New Roman" w:hAnsi="Times New Roman" w:cs="Times New Roman"/>
                <w:b/>
                <w:bCs/>
                <w:color w:val="000000" w:themeColor="text1"/>
                <w:sz w:val="24"/>
                <w:szCs w:val="24"/>
              </w:rPr>
              <w:t>CM</w:t>
            </w:r>
          </w:p>
        </w:tc>
        <w:tc>
          <w:tcPr>
            <w:tcW w:w="4676" w:type="dxa"/>
            <w:gridSpan w:val="2"/>
            <w:tcBorders>
              <w:top w:val="single" w:sz="4" w:space="0" w:color="auto"/>
              <w:bottom w:val="single" w:sz="4" w:space="0" w:color="auto"/>
            </w:tcBorders>
            <w:shd w:val="clear" w:color="auto" w:fill="E7E6E6" w:themeFill="background2"/>
            <w:vAlign w:val="center"/>
          </w:tcPr>
          <w:p w14:paraId="08C2AFBD" w14:textId="77777777" w:rsidR="001E2915" w:rsidRPr="00E6296D" w:rsidRDefault="001E2915" w:rsidP="000910C4">
            <w:pPr>
              <w:spacing w:line="360" w:lineRule="auto"/>
              <w:jc w:val="center"/>
              <w:rPr>
                <w:rFonts w:ascii="Times New Roman" w:hAnsi="Times New Roman" w:cs="Times New Roman"/>
                <w:b/>
                <w:bCs/>
                <w:color w:val="000000" w:themeColor="text1"/>
                <w:sz w:val="24"/>
                <w:szCs w:val="32"/>
              </w:rPr>
            </w:pPr>
            <w:r w:rsidRPr="00E6296D">
              <w:rPr>
                <w:rFonts w:ascii="Times New Roman" w:hAnsi="Times New Roman" w:cs="Times New Roman"/>
                <w:b/>
                <w:bCs/>
                <w:color w:val="000000" w:themeColor="text1"/>
                <w:sz w:val="24"/>
                <w:szCs w:val="24"/>
              </w:rPr>
              <w:t>CM-10K14K</w:t>
            </w:r>
          </w:p>
        </w:tc>
      </w:tr>
      <w:tr w:rsidR="00E6296D" w:rsidRPr="00E6296D" w14:paraId="75BEB0C8" w14:textId="77777777" w:rsidTr="000910C4">
        <w:trPr>
          <w:jc w:val="center"/>
        </w:trPr>
        <w:tc>
          <w:tcPr>
            <w:tcW w:w="2337" w:type="dxa"/>
            <w:tcBorders>
              <w:top w:val="single" w:sz="4" w:space="0" w:color="auto"/>
              <w:bottom w:val="single" w:sz="4" w:space="0" w:color="auto"/>
            </w:tcBorders>
            <w:shd w:val="clear" w:color="auto" w:fill="auto"/>
            <w:vAlign w:val="center"/>
          </w:tcPr>
          <w:p w14:paraId="3D89BE46" w14:textId="77777777" w:rsidR="001E2915" w:rsidRPr="00E6296D" w:rsidRDefault="001E2915" w:rsidP="000910C4">
            <w:pPr>
              <w:spacing w:line="360" w:lineRule="auto"/>
              <w:jc w:val="center"/>
              <w:rPr>
                <w:rFonts w:ascii="Times New Roman" w:hAnsi="Times New Roman" w:cs="Times New Roman"/>
                <w:b/>
                <w:bCs/>
                <w:color w:val="000000" w:themeColor="text1"/>
                <w:sz w:val="24"/>
                <w:szCs w:val="24"/>
              </w:rPr>
            </w:pPr>
            <w:r w:rsidRPr="00E6296D">
              <w:rPr>
                <w:rFonts w:ascii="Times New Roman" w:hAnsi="Times New Roman" w:cs="Times New Roman"/>
                <w:b/>
                <w:bCs/>
                <w:color w:val="000000" w:themeColor="text1"/>
                <w:sz w:val="24"/>
                <w:szCs w:val="24"/>
              </w:rPr>
              <w:t xml:space="preserve">Position of </w:t>
            </w:r>
          </w:p>
          <w:p w14:paraId="68556057"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b/>
                <w:bCs/>
                <w:color w:val="000000" w:themeColor="text1"/>
                <w:sz w:val="24"/>
                <w:szCs w:val="24"/>
              </w:rPr>
              <w:t>cleavage site</w:t>
            </w:r>
          </w:p>
        </w:tc>
        <w:tc>
          <w:tcPr>
            <w:tcW w:w="2337" w:type="dxa"/>
            <w:tcBorders>
              <w:top w:val="single" w:sz="4" w:space="0" w:color="auto"/>
              <w:bottom w:val="single" w:sz="4" w:space="0" w:color="auto"/>
            </w:tcBorders>
            <w:shd w:val="clear" w:color="auto" w:fill="auto"/>
            <w:vAlign w:val="center"/>
          </w:tcPr>
          <w:p w14:paraId="2E5DCC70" w14:textId="77777777" w:rsidR="001E2915" w:rsidRPr="00E6296D" w:rsidRDefault="001E2915" w:rsidP="000910C4">
            <w:pPr>
              <w:spacing w:line="360" w:lineRule="auto"/>
              <w:jc w:val="center"/>
              <w:rPr>
                <w:rFonts w:ascii="Times New Roman" w:hAnsi="Times New Roman" w:cs="Times New Roman"/>
                <w:b/>
                <w:bCs/>
                <w:color w:val="000000" w:themeColor="text1"/>
                <w:sz w:val="24"/>
                <w:szCs w:val="24"/>
              </w:rPr>
            </w:pPr>
            <w:r w:rsidRPr="00E6296D">
              <w:rPr>
                <w:rFonts w:ascii="Times New Roman" w:hAnsi="Times New Roman" w:cs="Times New Roman"/>
                <w:b/>
                <w:bCs/>
                <w:color w:val="000000" w:themeColor="text1"/>
                <w:sz w:val="24"/>
                <w:szCs w:val="24"/>
              </w:rPr>
              <w:t xml:space="preserve">Resulting </w:t>
            </w:r>
          </w:p>
          <w:p w14:paraId="5F78AE91"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b/>
                <w:bCs/>
                <w:color w:val="000000" w:themeColor="text1"/>
                <w:sz w:val="24"/>
                <w:szCs w:val="24"/>
              </w:rPr>
              <w:t>peptide sequence</w:t>
            </w:r>
          </w:p>
        </w:tc>
        <w:tc>
          <w:tcPr>
            <w:tcW w:w="2338" w:type="dxa"/>
            <w:tcBorders>
              <w:top w:val="single" w:sz="4" w:space="0" w:color="auto"/>
              <w:bottom w:val="single" w:sz="4" w:space="0" w:color="auto"/>
            </w:tcBorders>
            <w:shd w:val="clear" w:color="auto" w:fill="auto"/>
            <w:vAlign w:val="center"/>
          </w:tcPr>
          <w:p w14:paraId="33CDCE43" w14:textId="77777777" w:rsidR="001E2915" w:rsidRPr="00E6296D" w:rsidRDefault="001E2915" w:rsidP="000910C4">
            <w:pPr>
              <w:spacing w:line="360" w:lineRule="auto"/>
              <w:jc w:val="center"/>
              <w:rPr>
                <w:rFonts w:ascii="Times New Roman" w:hAnsi="Times New Roman" w:cs="Times New Roman"/>
                <w:b/>
                <w:bCs/>
                <w:color w:val="000000" w:themeColor="text1"/>
                <w:sz w:val="24"/>
                <w:szCs w:val="24"/>
              </w:rPr>
            </w:pPr>
            <w:r w:rsidRPr="00E6296D">
              <w:rPr>
                <w:rFonts w:ascii="Times New Roman" w:hAnsi="Times New Roman" w:cs="Times New Roman"/>
                <w:b/>
                <w:bCs/>
                <w:color w:val="000000" w:themeColor="text1"/>
                <w:sz w:val="24"/>
                <w:szCs w:val="24"/>
              </w:rPr>
              <w:t xml:space="preserve">Position of </w:t>
            </w:r>
          </w:p>
          <w:p w14:paraId="796EB528"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b/>
                <w:bCs/>
                <w:color w:val="000000" w:themeColor="text1"/>
                <w:sz w:val="24"/>
                <w:szCs w:val="24"/>
              </w:rPr>
              <w:t>cleavage site</w:t>
            </w:r>
          </w:p>
        </w:tc>
        <w:tc>
          <w:tcPr>
            <w:tcW w:w="2338" w:type="dxa"/>
            <w:tcBorders>
              <w:top w:val="single" w:sz="4" w:space="0" w:color="auto"/>
              <w:bottom w:val="single" w:sz="4" w:space="0" w:color="auto"/>
            </w:tcBorders>
            <w:shd w:val="clear" w:color="auto" w:fill="auto"/>
            <w:vAlign w:val="center"/>
          </w:tcPr>
          <w:p w14:paraId="2728B10D" w14:textId="77777777" w:rsidR="001E2915" w:rsidRPr="00E6296D" w:rsidRDefault="001E2915" w:rsidP="000910C4">
            <w:pPr>
              <w:spacing w:line="360" w:lineRule="auto"/>
              <w:jc w:val="center"/>
              <w:rPr>
                <w:rFonts w:ascii="Times New Roman" w:hAnsi="Times New Roman" w:cs="Times New Roman"/>
                <w:b/>
                <w:bCs/>
                <w:color w:val="000000" w:themeColor="text1"/>
                <w:sz w:val="24"/>
                <w:szCs w:val="24"/>
              </w:rPr>
            </w:pPr>
            <w:r w:rsidRPr="00E6296D">
              <w:rPr>
                <w:rFonts w:ascii="Times New Roman" w:hAnsi="Times New Roman" w:cs="Times New Roman"/>
                <w:b/>
                <w:bCs/>
                <w:color w:val="000000" w:themeColor="text1"/>
                <w:sz w:val="24"/>
                <w:szCs w:val="24"/>
              </w:rPr>
              <w:t xml:space="preserve">Resulting </w:t>
            </w:r>
          </w:p>
          <w:p w14:paraId="5F1CFA64"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b/>
                <w:bCs/>
                <w:color w:val="000000" w:themeColor="text1"/>
                <w:sz w:val="24"/>
                <w:szCs w:val="24"/>
              </w:rPr>
              <w:t>peptide sequence</w:t>
            </w:r>
          </w:p>
        </w:tc>
      </w:tr>
      <w:tr w:rsidR="00E6296D" w:rsidRPr="00E6296D" w14:paraId="23D39742" w14:textId="77777777" w:rsidTr="000910C4">
        <w:trPr>
          <w:jc w:val="center"/>
        </w:trPr>
        <w:tc>
          <w:tcPr>
            <w:tcW w:w="2337" w:type="dxa"/>
            <w:tcBorders>
              <w:top w:val="single" w:sz="4" w:space="0" w:color="auto"/>
            </w:tcBorders>
            <w:shd w:val="clear" w:color="auto" w:fill="auto"/>
            <w:vAlign w:val="center"/>
          </w:tcPr>
          <w:p w14:paraId="2F90DC6C"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2</w:t>
            </w:r>
          </w:p>
        </w:tc>
        <w:tc>
          <w:tcPr>
            <w:tcW w:w="2337" w:type="dxa"/>
            <w:tcBorders>
              <w:top w:val="single" w:sz="4" w:space="0" w:color="auto"/>
            </w:tcBorders>
            <w:shd w:val="clear" w:color="auto" w:fill="auto"/>
            <w:vAlign w:val="center"/>
          </w:tcPr>
          <w:p w14:paraId="6364E723"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KW</w:t>
            </w:r>
          </w:p>
        </w:tc>
        <w:tc>
          <w:tcPr>
            <w:tcW w:w="2338" w:type="dxa"/>
            <w:tcBorders>
              <w:top w:val="single" w:sz="4" w:space="0" w:color="auto"/>
            </w:tcBorders>
            <w:shd w:val="clear" w:color="auto" w:fill="auto"/>
            <w:vAlign w:val="center"/>
          </w:tcPr>
          <w:p w14:paraId="310403A1"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2</w:t>
            </w:r>
          </w:p>
        </w:tc>
        <w:tc>
          <w:tcPr>
            <w:tcW w:w="2338" w:type="dxa"/>
            <w:tcBorders>
              <w:top w:val="single" w:sz="4" w:space="0" w:color="auto"/>
            </w:tcBorders>
            <w:shd w:val="clear" w:color="auto" w:fill="auto"/>
            <w:vAlign w:val="center"/>
          </w:tcPr>
          <w:p w14:paraId="020C1022"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KW</w:t>
            </w:r>
          </w:p>
        </w:tc>
      </w:tr>
      <w:tr w:rsidR="00E6296D" w:rsidRPr="00E6296D" w14:paraId="60F1254D" w14:textId="77777777" w:rsidTr="000910C4">
        <w:trPr>
          <w:jc w:val="center"/>
        </w:trPr>
        <w:tc>
          <w:tcPr>
            <w:tcW w:w="2337" w:type="dxa"/>
            <w:shd w:val="clear" w:color="auto" w:fill="auto"/>
            <w:vAlign w:val="center"/>
          </w:tcPr>
          <w:p w14:paraId="075E8D95"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4</w:t>
            </w:r>
          </w:p>
        </w:tc>
        <w:tc>
          <w:tcPr>
            <w:tcW w:w="2337" w:type="dxa"/>
            <w:shd w:val="clear" w:color="auto" w:fill="auto"/>
            <w:vAlign w:val="center"/>
          </w:tcPr>
          <w:p w14:paraId="516A4600"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KL</w:t>
            </w:r>
          </w:p>
        </w:tc>
        <w:tc>
          <w:tcPr>
            <w:tcW w:w="2338" w:type="dxa"/>
            <w:shd w:val="clear" w:color="auto" w:fill="auto"/>
            <w:vAlign w:val="center"/>
          </w:tcPr>
          <w:p w14:paraId="750C42AB"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4</w:t>
            </w:r>
          </w:p>
        </w:tc>
        <w:tc>
          <w:tcPr>
            <w:tcW w:w="2338" w:type="dxa"/>
            <w:shd w:val="clear" w:color="auto" w:fill="auto"/>
            <w:vAlign w:val="center"/>
          </w:tcPr>
          <w:p w14:paraId="72667DB3"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KL</w:t>
            </w:r>
          </w:p>
        </w:tc>
      </w:tr>
      <w:tr w:rsidR="00E6296D" w:rsidRPr="00E6296D" w14:paraId="2C6AE9A0" w14:textId="77777777" w:rsidTr="000910C4">
        <w:trPr>
          <w:jc w:val="center"/>
        </w:trPr>
        <w:tc>
          <w:tcPr>
            <w:tcW w:w="2337" w:type="dxa"/>
            <w:shd w:val="clear" w:color="auto" w:fill="auto"/>
            <w:vAlign w:val="center"/>
          </w:tcPr>
          <w:p w14:paraId="1E30DCC2"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5</w:t>
            </w:r>
          </w:p>
        </w:tc>
        <w:tc>
          <w:tcPr>
            <w:tcW w:w="2337" w:type="dxa"/>
            <w:shd w:val="clear" w:color="auto" w:fill="auto"/>
            <w:vAlign w:val="center"/>
          </w:tcPr>
          <w:p w14:paraId="5391B386"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F</w:t>
            </w:r>
          </w:p>
        </w:tc>
        <w:tc>
          <w:tcPr>
            <w:tcW w:w="2338" w:type="dxa"/>
            <w:shd w:val="clear" w:color="auto" w:fill="auto"/>
            <w:vAlign w:val="center"/>
          </w:tcPr>
          <w:p w14:paraId="17A10C99"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5</w:t>
            </w:r>
          </w:p>
        </w:tc>
        <w:tc>
          <w:tcPr>
            <w:tcW w:w="2338" w:type="dxa"/>
            <w:shd w:val="clear" w:color="auto" w:fill="auto"/>
            <w:vAlign w:val="center"/>
          </w:tcPr>
          <w:p w14:paraId="186D1929"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F</w:t>
            </w:r>
          </w:p>
        </w:tc>
      </w:tr>
      <w:tr w:rsidR="00E6296D" w:rsidRPr="00E6296D" w14:paraId="544468A2" w14:textId="77777777" w:rsidTr="000910C4">
        <w:trPr>
          <w:jc w:val="center"/>
        </w:trPr>
        <w:tc>
          <w:tcPr>
            <w:tcW w:w="2337" w:type="dxa"/>
            <w:shd w:val="clear" w:color="auto" w:fill="auto"/>
            <w:vAlign w:val="center"/>
          </w:tcPr>
          <w:p w14:paraId="1C916DA7"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8</w:t>
            </w:r>
          </w:p>
        </w:tc>
        <w:tc>
          <w:tcPr>
            <w:tcW w:w="2337" w:type="dxa"/>
            <w:shd w:val="clear" w:color="auto" w:fill="auto"/>
            <w:vAlign w:val="center"/>
          </w:tcPr>
          <w:p w14:paraId="122860EF"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KKI</w:t>
            </w:r>
          </w:p>
        </w:tc>
        <w:tc>
          <w:tcPr>
            <w:tcW w:w="2338" w:type="dxa"/>
            <w:shd w:val="clear" w:color="auto" w:fill="auto"/>
            <w:vAlign w:val="center"/>
          </w:tcPr>
          <w:p w14:paraId="321B6C52"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8</w:t>
            </w:r>
          </w:p>
        </w:tc>
        <w:tc>
          <w:tcPr>
            <w:tcW w:w="2338" w:type="dxa"/>
            <w:shd w:val="clear" w:color="auto" w:fill="auto"/>
            <w:vAlign w:val="center"/>
          </w:tcPr>
          <w:p w14:paraId="611741CE"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KKI</w:t>
            </w:r>
          </w:p>
        </w:tc>
      </w:tr>
      <w:tr w:rsidR="00E6296D" w:rsidRPr="00E6296D" w14:paraId="4530717F" w14:textId="77777777" w:rsidTr="000910C4">
        <w:trPr>
          <w:jc w:val="center"/>
        </w:trPr>
        <w:tc>
          <w:tcPr>
            <w:tcW w:w="2337" w:type="dxa"/>
            <w:shd w:val="clear" w:color="auto" w:fill="auto"/>
            <w:vAlign w:val="center"/>
          </w:tcPr>
          <w:p w14:paraId="5F6EDECC"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10</w:t>
            </w:r>
          </w:p>
        </w:tc>
        <w:tc>
          <w:tcPr>
            <w:tcW w:w="2337" w:type="dxa"/>
            <w:shd w:val="clear" w:color="auto" w:fill="auto"/>
            <w:vAlign w:val="center"/>
          </w:tcPr>
          <w:p w14:paraId="3B66310B"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GA</w:t>
            </w:r>
          </w:p>
        </w:tc>
        <w:tc>
          <w:tcPr>
            <w:tcW w:w="2338" w:type="dxa"/>
            <w:shd w:val="clear" w:color="auto" w:fill="auto"/>
            <w:vAlign w:val="center"/>
          </w:tcPr>
          <w:p w14:paraId="5A745347"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11</w:t>
            </w:r>
          </w:p>
        </w:tc>
        <w:tc>
          <w:tcPr>
            <w:tcW w:w="2338" w:type="dxa"/>
            <w:shd w:val="clear" w:color="auto" w:fill="auto"/>
            <w:vAlign w:val="center"/>
          </w:tcPr>
          <w:p w14:paraId="3BABB44B"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GKV</w:t>
            </w:r>
          </w:p>
        </w:tc>
      </w:tr>
      <w:tr w:rsidR="00E6296D" w:rsidRPr="00E6296D" w14:paraId="7FBB063C" w14:textId="77777777" w:rsidTr="000910C4">
        <w:trPr>
          <w:jc w:val="center"/>
        </w:trPr>
        <w:tc>
          <w:tcPr>
            <w:tcW w:w="2337" w:type="dxa"/>
            <w:shd w:val="clear" w:color="auto" w:fill="auto"/>
            <w:vAlign w:val="center"/>
          </w:tcPr>
          <w:p w14:paraId="6E7EDD37"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11</w:t>
            </w:r>
          </w:p>
        </w:tc>
        <w:tc>
          <w:tcPr>
            <w:tcW w:w="2337" w:type="dxa"/>
            <w:shd w:val="clear" w:color="auto" w:fill="auto"/>
            <w:vAlign w:val="center"/>
          </w:tcPr>
          <w:p w14:paraId="13F97D25"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V</w:t>
            </w:r>
          </w:p>
        </w:tc>
        <w:tc>
          <w:tcPr>
            <w:tcW w:w="2338" w:type="dxa"/>
            <w:shd w:val="clear" w:color="auto" w:fill="auto"/>
            <w:vAlign w:val="center"/>
          </w:tcPr>
          <w:p w14:paraId="6542B926"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12</w:t>
            </w:r>
          </w:p>
        </w:tc>
        <w:tc>
          <w:tcPr>
            <w:tcW w:w="2338" w:type="dxa"/>
            <w:shd w:val="clear" w:color="auto" w:fill="auto"/>
            <w:vAlign w:val="center"/>
          </w:tcPr>
          <w:p w14:paraId="4BC5D64C"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32"/>
              </w:rPr>
              <w:t>L</w:t>
            </w:r>
          </w:p>
        </w:tc>
      </w:tr>
      <w:tr w:rsidR="00E6296D" w:rsidRPr="00E6296D" w14:paraId="75FD1594" w14:textId="77777777" w:rsidTr="000910C4">
        <w:trPr>
          <w:jc w:val="center"/>
        </w:trPr>
        <w:tc>
          <w:tcPr>
            <w:tcW w:w="2337" w:type="dxa"/>
            <w:shd w:val="clear" w:color="auto" w:fill="auto"/>
            <w:vAlign w:val="center"/>
          </w:tcPr>
          <w:p w14:paraId="44EB29D4"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12</w:t>
            </w:r>
          </w:p>
        </w:tc>
        <w:tc>
          <w:tcPr>
            <w:tcW w:w="2337" w:type="dxa"/>
            <w:shd w:val="clear" w:color="auto" w:fill="auto"/>
            <w:vAlign w:val="center"/>
          </w:tcPr>
          <w:p w14:paraId="0CB07193"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L</w:t>
            </w:r>
          </w:p>
        </w:tc>
        <w:tc>
          <w:tcPr>
            <w:tcW w:w="2338" w:type="dxa"/>
            <w:vMerge w:val="restart"/>
            <w:shd w:val="clear" w:color="auto" w:fill="auto"/>
          </w:tcPr>
          <w:p w14:paraId="6801D9C9"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15</w:t>
            </w:r>
          </w:p>
          <w:p w14:paraId="2A0CD581"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p>
        </w:tc>
        <w:tc>
          <w:tcPr>
            <w:tcW w:w="2338" w:type="dxa"/>
            <w:vMerge w:val="restart"/>
            <w:shd w:val="clear" w:color="auto" w:fill="auto"/>
          </w:tcPr>
          <w:p w14:paraId="49677567"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32"/>
              </w:rPr>
              <w:t>KKL</w:t>
            </w:r>
          </w:p>
          <w:p w14:paraId="210FCB75"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(end of sequence)</w:t>
            </w:r>
          </w:p>
        </w:tc>
      </w:tr>
      <w:tr w:rsidR="00E6296D" w:rsidRPr="00E6296D" w14:paraId="1B95BB71" w14:textId="77777777" w:rsidTr="000910C4">
        <w:trPr>
          <w:jc w:val="center"/>
        </w:trPr>
        <w:tc>
          <w:tcPr>
            <w:tcW w:w="2337" w:type="dxa"/>
            <w:shd w:val="clear" w:color="auto" w:fill="auto"/>
            <w:vAlign w:val="center"/>
          </w:tcPr>
          <w:p w14:paraId="0931B2F3"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Fonts w:ascii="Times New Roman" w:hAnsi="Times New Roman" w:cs="Times New Roman"/>
                <w:color w:val="000000" w:themeColor="text1"/>
                <w:sz w:val="24"/>
                <w:szCs w:val="24"/>
              </w:rPr>
              <w:t>14</w:t>
            </w:r>
          </w:p>
        </w:tc>
        <w:tc>
          <w:tcPr>
            <w:tcW w:w="2337" w:type="dxa"/>
            <w:shd w:val="clear" w:color="auto" w:fill="auto"/>
            <w:vAlign w:val="center"/>
          </w:tcPr>
          <w:p w14:paraId="52AAC235"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r w:rsidRPr="00E6296D">
              <w:rPr>
                <w:rStyle w:val="HTMLTypewriter"/>
                <w:rFonts w:ascii="Times New Roman" w:eastAsiaTheme="minorHAnsi" w:hAnsi="Times New Roman" w:cs="Times New Roman"/>
                <w:color w:val="000000" w:themeColor="text1"/>
                <w:sz w:val="24"/>
                <w:szCs w:val="24"/>
              </w:rPr>
              <w:t>KV</w:t>
            </w:r>
          </w:p>
        </w:tc>
        <w:tc>
          <w:tcPr>
            <w:tcW w:w="2338" w:type="dxa"/>
            <w:vMerge/>
            <w:shd w:val="clear" w:color="auto" w:fill="auto"/>
            <w:vAlign w:val="center"/>
          </w:tcPr>
          <w:p w14:paraId="7BE9525A"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p>
        </w:tc>
        <w:tc>
          <w:tcPr>
            <w:tcW w:w="2338" w:type="dxa"/>
            <w:vMerge/>
            <w:shd w:val="clear" w:color="auto" w:fill="auto"/>
            <w:vAlign w:val="center"/>
          </w:tcPr>
          <w:p w14:paraId="41094480"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p>
        </w:tc>
      </w:tr>
      <w:tr w:rsidR="005757FC" w:rsidRPr="00E6296D" w14:paraId="6EB31B09" w14:textId="77777777" w:rsidTr="000910C4">
        <w:trPr>
          <w:jc w:val="center"/>
        </w:trPr>
        <w:tc>
          <w:tcPr>
            <w:tcW w:w="2337" w:type="dxa"/>
            <w:tcBorders>
              <w:bottom w:val="single" w:sz="4" w:space="0" w:color="auto"/>
            </w:tcBorders>
            <w:shd w:val="clear" w:color="auto" w:fill="auto"/>
          </w:tcPr>
          <w:p w14:paraId="5A44A8D4" w14:textId="77777777" w:rsidR="001E2915" w:rsidRPr="00E6296D" w:rsidRDefault="001E2915" w:rsidP="000910C4">
            <w:pPr>
              <w:spacing w:line="360" w:lineRule="auto"/>
              <w:jc w:val="center"/>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rPr>
              <w:t>15</w:t>
            </w:r>
          </w:p>
        </w:tc>
        <w:tc>
          <w:tcPr>
            <w:tcW w:w="2337" w:type="dxa"/>
            <w:tcBorders>
              <w:bottom w:val="single" w:sz="4" w:space="0" w:color="auto"/>
            </w:tcBorders>
            <w:shd w:val="clear" w:color="auto" w:fill="auto"/>
            <w:vAlign w:val="center"/>
          </w:tcPr>
          <w:p w14:paraId="170DB17F" w14:textId="77777777" w:rsidR="001E2915" w:rsidRPr="00E6296D" w:rsidRDefault="001E2915" w:rsidP="000910C4">
            <w:pPr>
              <w:spacing w:line="360" w:lineRule="auto"/>
              <w:jc w:val="center"/>
              <w:rPr>
                <w:rStyle w:val="HTMLTypewriter"/>
                <w:rFonts w:ascii="Times New Roman" w:eastAsiaTheme="minorHAnsi" w:hAnsi="Times New Roman" w:cs="Times New Roman"/>
                <w:color w:val="000000" w:themeColor="text1"/>
                <w:sz w:val="24"/>
                <w:szCs w:val="24"/>
              </w:rPr>
            </w:pPr>
            <w:r w:rsidRPr="00E6296D">
              <w:rPr>
                <w:rStyle w:val="HTMLTypewriter"/>
                <w:rFonts w:ascii="Times New Roman" w:eastAsiaTheme="minorHAnsi" w:hAnsi="Times New Roman" w:cs="Times New Roman"/>
                <w:color w:val="000000" w:themeColor="text1"/>
                <w:sz w:val="24"/>
                <w:szCs w:val="24"/>
              </w:rPr>
              <w:t>L</w:t>
            </w:r>
          </w:p>
          <w:p w14:paraId="035F1EDF" w14:textId="77777777" w:rsidR="001E2915" w:rsidRPr="00E6296D" w:rsidRDefault="001E2915" w:rsidP="000910C4">
            <w:pPr>
              <w:spacing w:line="360" w:lineRule="auto"/>
              <w:jc w:val="center"/>
              <w:rPr>
                <w:rStyle w:val="HTMLTypewriter"/>
                <w:rFonts w:ascii="Times New Roman" w:eastAsiaTheme="minorHAnsi" w:hAnsi="Times New Roman" w:cs="Times New Roman"/>
                <w:color w:val="000000" w:themeColor="text1"/>
                <w:sz w:val="24"/>
                <w:szCs w:val="24"/>
              </w:rPr>
            </w:pPr>
            <w:r w:rsidRPr="00E6296D">
              <w:rPr>
                <w:rStyle w:val="HTMLTypewriter"/>
                <w:rFonts w:ascii="Times New Roman" w:eastAsiaTheme="minorHAnsi" w:hAnsi="Times New Roman" w:cs="Times New Roman"/>
                <w:color w:val="000000" w:themeColor="text1"/>
                <w:sz w:val="24"/>
                <w:szCs w:val="24"/>
              </w:rPr>
              <w:t>(end of sequence)</w:t>
            </w:r>
          </w:p>
        </w:tc>
        <w:tc>
          <w:tcPr>
            <w:tcW w:w="2338" w:type="dxa"/>
            <w:vMerge/>
            <w:tcBorders>
              <w:bottom w:val="single" w:sz="4" w:space="0" w:color="auto"/>
            </w:tcBorders>
            <w:shd w:val="clear" w:color="auto" w:fill="auto"/>
            <w:vAlign w:val="center"/>
          </w:tcPr>
          <w:p w14:paraId="732FFA4B"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p>
        </w:tc>
        <w:tc>
          <w:tcPr>
            <w:tcW w:w="2338" w:type="dxa"/>
            <w:vMerge/>
            <w:tcBorders>
              <w:bottom w:val="single" w:sz="4" w:space="0" w:color="auto"/>
            </w:tcBorders>
            <w:shd w:val="clear" w:color="auto" w:fill="auto"/>
            <w:vAlign w:val="center"/>
          </w:tcPr>
          <w:p w14:paraId="12A212AC" w14:textId="77777777" w:rsidR="001E2915" w:rsidRPr="00E6296D" w:rsidRDefault="001E2915" w:rsidP="000910C4">
            <w:pPr>
              <w:spacing w:line="360" w:lineRule="auto"/>
              <w:jc w:val="center"/>
              <w:rPr>
                <w:rFonts w:ascii="Times New Roman" w:hAnsi="Times New Roman" w:cs="Times New Roman"/>
                <w:color w:val="000000" w:themeColor="text1"/>
                <w:sz w:val="24"/>
                <w:szCs w:val="32"/>
              </w:rPr>
            </w:pPr>
          </w:p>
        </w:tc>
      </w:tr>
    </w:tbl>
    <w:p w14:paraId="2D03A1D6" w14:textId="77777777" w:rsidR="00C64FF6" w:rsidRPr="00E6296D" w:rsidRDefault="00C64FF6" w:rsidP="001E2915">
      <w:pPr>
        <w:spacing w:line="360" w:lineRule="auto"/>
        <w:jc w:val="thaiDistribute"/>
        <w:rPr>
          <w:rFonts w:ascii="Times New Roman" w:hAnsi="Times New Roman" w:cs="Times New Roman"/>
          <w:color w:val="000000" w:themeColor="text1"/>
          <w:sz w:val="24"/>
          <w:szCs w:val="24"/>
        </w:rPr>
      </w:pPr>
    </w:p>
    <w:p w14:paraId="305CFEDF" w14:textId="77777777" w:rsidR="00EA3C3C" w:rsidRPr="00E6296D" w:rsidRDefault="00EA3C3C" w:rsidP="00EA3C3C">
      <w:pPr>
        <w:ind w:firstLine="720"/>
        <w:rPr>
          <w:rFonts w:ascii="Times New Roman" w:hAnsi="Times New Roman" w:cs="Times New Roman"/>
          <w:color w:val="000000" w:themeColor="text1"/>
          <w:sz w:val="24"/>
          <w:szCs w:val="24"/>
        </w:rPr>
      </w:pPr>
    </w:p>
    <w:p w14:paraId="0CD424B0" w14:textId="3014A6F7" w:rsidR="00EA3C3C" w:rsidRPr="00E6296D" w:rsidRDefault="00EA3C3C" w:rsidP="00EA3C3C">
      <w:pPr>
        <w:spacing w:after="0" w:line="360" w:lineRule="auto"/>
        <w:ind w:firstLine="990"/>
        <w:jc w:val="thaiDistribute"/>
        <w:rPr>
          <w:rFonts w:ascii="Times New Roman" w:hAnsi="Times New Roman"/>
          <w:color w:val="000000" w:themeColor="text1"/>
          <w:sz w:val="24"/>
          <w:szCs w:val="24"/>
        </w:rPr>
      </w:pPr>
    </w:p>
    <w:p w14:paraId="78AC80BF" w14:textId="77777777" w:rsidR="00EA3C3C" w:rsidRPr="00E6296D" w:rsidRDefault="00EA3C3C" w:rsidP="00EA3C3C">
      <w:pPr>
        <w:ind w:firstLine="720"/>
        <w:rPr>
          <w:rFonts w:ascii="Times New Roman" w:hAnsi="Times New Roman" w:cs="Times New Roman"/>
          <w:color w:val="000000" w:themeColor="text1"/>
          <w:sz w:val="24"/>
          <w:szCs w:val="24"/>
        </w:rPr>
      </w:pPr>
    </w:p>
    <w:p w14:paraId="54C83212" w14:textId="77777777" w:rsidR="00B46804" w:rsidRPr="00E6296D" w:rsidRDefault="00B46804" w:rsidP="00EA3C3C">
      <w:pPr>
        <w:ind w:firstLine="720"/>
        <w:rPr>
          <w:rFonts w:ascii="Times New Roman" w:hAnsi="Times New Roman" w:cs="Times New Roman"/>
          <w:color w:val="000000" w:themeColor="text1"/>
          <w:sz w:val="24"/>
          <w:szCs w:val="24"/>
        </w:rPr>
      </w:pPr>
    </w:p>
    <w:p w14:paraId="3C72FA9A" w14:textId="2C7B2FBC" w:rsidR="00EA3C3C" w:rsidRPr="00E6296D" w:rsidRDefault="00EA3C3C" w:rsidP="00FB262E">
      <w:pPr>
        <w:rPr>
          <w:rFonts w:ascii="Times New Roman" w:hAnsi="Times New Roman" w:cs="Times New Roman"/>
          <w:color w:val="000000" w:themeColor="text1"/>
          <w:sz w:val="24"/>
          <w:szCs w:val="24"/>
        </w:rPr>
      </w:pPr>
    </w:p>
    <w:p w14:paraId="0CE31B3D" w14:textId="7F98A1C3" w:rsidR="005757FC" w:rsidRPr="00E6296D" w:rsidRDefault="005757FC" w:rsidP="00FB262E">
      <w:pPr>
        <w:rPr>
          <w:rFonts w:ascii="Times New Roman" w:hAnsi="Times New Roman" w:cs="Times New Roman"/>
          <w:color w:val="000000" w:themeColor="text1"/>
          <w:sz w:val="24"/>
          <w:szCs w:val="24"/>
        </w:rPr>
      </w:pPr>
    </w:p>
    <w:p w14:paraId="1D82B54C" w14:textId="3A71D709" w:rsidR="005757FC" w:rsidRPr="00E6296D" w:rsidRDefault="005757FC" w:rsidP="00FB262E">
      <w:pPr>
        <w:rPr>
          <w:rFonts w:ascii="Times New Roman" w:hAnsi="Times New Roman" w:cs="Times New Roman"/>
          <w:color w:val="000000" w:themeColor="text1"/>
          <w:sz w:val="24"/>
          <w:szCs w:val="24"/>
        </w:rPr>
      </w:pPr>
    </w:p>
    <w:p w14:paraId="3C53577A" w14:textId="644FA9AD" w:rsidR="005757FC" w:rsidRPr="00E6296D" w:rsidRDefault="005757FC" w:rsidP="00FB262E">
      <w:pPr>
        <w:rPr>
          <w:rFonts w:ascii="Times New Roman" w:hAnsi="Times New Roman" w:cs="Times New Roman"/>
          <w:color w:val="000000" w:themeColor="text1"/>
          <w:sz w:val="24"/>
          <w:szCs w:val="24"/>
        </w:rPr>
      </w:pPr>
    </w:p>
    <w:p w14:paraId="5F2D4131" w14:textId="662ACB7E" w:rsidR="005757FC" w:rsidRPr="00E6296D" w:rsidRDefault="005757FC" w:rsidP="00FB262E">
      <w:pPr>
        <w:rPr>
          <w:rFonts w:ascii="Times New Roman" w:hAnsi="Times New Roman" w:cs="Times New Roman"/>
          <w:color w:val="000000" w:themeColor="text1"/>
          <w:sz w:val="24"/>
          <w:szCs w:val="24"/>
        </w:rPr>
      </w:pPr>
    </w:p>
    <w:p w14:paraId="12CD80AF" w14:textId="70CE803B" w:rsidR="005757FC" w:rsidRPr="00E6296D" w:rsidRDefault="005757FC" w:rsidP="00FB262E">
      <w:pPr>
        <w:rPr>
          <w:rFonts w:ascii="Times New Roman" w:hAnsi="Times New Roman" w:cs="Times New Roman"/>
          <w:color w:val="000000" w:themeColor="text1"/>
          <w:sz w:val="24"/>
          <w:szCs w:val="24"/>
        </w:rPr>
      </w:pPr>
    </w:p>
    <w:p w14:paraId="3D1A3C4A" w14:textId="3287A93E" w:rsidR="005757FC" w:rsidRPr="00E6296D" w:rsidRDefault="005757FC" w:rsidP="00FB262E">
      <w:pPr>
        <w:rPr>
          <w:rFonts w:ascii="Times New Roman" w:hAnsi="Times New Roman" w:cs="Times New Roman"/>
          <w:color w:val="000000" w:themeColor="text1"/>
          <w:sz w:val="24"/>
          <w:szCs w:val="24"/>
        </w:rPr>
      </w:pPr>
    </w:p>
    <w:p w14:paraId="19747882" w14:textId="77777777" w:rsidR="005757FC" w:rsidRPr="00E6296D" w:rsidRDefault="005757FC" w:rsidP="00FB262E">
      <w:pPr>
        <w:rPr>
          <w:rFonts w:asciiTheme="majorBidi" w:hAnsiTheme="majorBidi" w:cstheme="majorBidi"/>
          <w:color w:val="000000" w:themeColor="text1"/>
          <w:sz w:val="40"/>
          <w:szCs w:val="48"/>
        </w:rPr>
      </w:pPr>
    </w:p>
    <w:p w14:paraId="1DB06BE7" w14:textId="77777777" w:rsidR="00CC2376" w:rsidRPr="00E6296D" w:rsidRDefault="00E6296D" w:rsidP="00CC2376">
      <w:pPr>
        <w:pStyle w:val="EndNoteBibliographyTitle"/>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rPr>
        <w:fldChar w:fldCharType="begin"/>
      </w:r>
      <w:r w:rsidRPr="00E6296D">
        <w:rPr>
          <w:rFonts w:ascii="Times New Roman" w:hAnsi="Times New Roman" w:cs="Times New Roman"/>
          <w:color w:val="000000" w:themeColor="text1"/>
          <w:sz w:val="24"/>
          <w:szCs w:val="24"/>
        </w:rPr>
        <w:instrText xml:space="preserve"> ADDIN EN.REFLIST </w:instrText>
      </w:r>
      <w:r w:rsidRPr="00E6296D">
        <w:rPr>
          <w:rFonts w:ascii="Times New Roman" w:hAnsi="Times New Roman" w:cs="Times New Roman"/>
          <w:color w:val="000000" w:themeColor="text1"/>
          <w:sz w:val="24"/>
          <w:szCs w:val="24"/>
        </w:rPr>
        <w:fldChar w:fldCharType="separate"/>
      </w:r>
      <w:r w:rsidR="00CC2376" w:rsidRPr="00E6296D">
        <w:rPr>
          <w:rFonts w:ascii="Times New Roman" w:hAnsi="Times New Roman" w:cs="Times New Roman"/>
          <w:color w:val="000000" w:themeColor="text1"/>
          <w:sz w:val="24"/>
          <w:szCs w:val="24"/>
        </w:rPr>
        <w:t>References</w:t>
      </w:r>
    </w:p>
    <w:p w14:paraId="695BD03E" w14:textId="77777777" w:rsidR="00CC2376" w:rsidRPr="00E6296D" w:rsidRDefault="00CC2376" w:rsidP="005757FC">
      <w:pPr>
        <w:pStyle w:val="EndNoteBibliographyTitle"/>
        <w:spacing w:line="360" w:lineRule="auto"/>
        <w:jc w:val="both"/>
        <w:rPr>
          <w:rFonts w:ascii="Times New Roman" w:hAnsi="Times New Roman" w:cs="Times New Roman"/>
          <w:color w:val="000000" w:themeColor="text1"/>
          <w:sz w:val="24"/>
          <w:szCs w:val="24"/>
        </w:rPr>
      </w:pPr>
    </w:p>
    <w:p w14:paraId="170CE710" w14:textId="280CF5A5" w:rsidR="005757FC" w:rsidRPr="00E6296D" w:rsidRDefault="005757FC" w:rsidP="00FD634E">
      <w:pPr>
        <w:pStyle w:val="EndNoteBibliography"/>
        <w:spacing w:after="0" w:line="360" w:lineRule="auto"/>
        <w:ind w:left="720" w:hanging="720"/>
        <w:jc w:val="both"/>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rPr>
        <w:t xml:space="preserve">1. Kim, M. K., Kang, H. K., Ko, S. J., Hong, M. J., Bang, J. K., Seo, C. H., &amp; Park, Y. (2018). Mechanisms driving the antibacterial and antibiofilm properties of Hp1404 and its analogue peptides against multidrug-resistant </w:t>
      </w:r>
      <w:r w:rsidRPr="00E6296D">
        <w:rPr>
          <w:rFonts w:ascii="Times New Roman" w:hAnsi="Times New Roman" w:cs="Times New Roman"/>
          <w:i/>
          <w:iCs/>
          <w:color w:val="000000" w:themeColor="text1"/>
          <w:sz w:val="24"/>
          <w:szCs w:val="24"/>
        </w:rPr>
        <w:t>Pseudomonas aeruginosa.</w:t>
      </w:r>
      <w:r w:rsidRPr="00E6296D">
        <w:rPr>
          <w:rFonts w:ascii="Times New Roman" w:hAnsi="Times New Roman" w:cs="Times New Roman"/>
          <w:color w:val="000000" w:themeColor="text1"/>
          <w:sz w:val="24"/>
          <w:szCs w:val="24"/>
        </w:rPr>
        <w:t xml:space="preserve"> </w:t>
      </w:r>
      <w:r w:rsidRPr="00E6296D">
        <w:rPr>
          <w:rFonts w:ascii="Times New Roman" w:hAnsi="Times New Roman" w:cs="Times New Roman"/>
          <w:i/>
          <w:color w:val="000000" w:themeColor="text1"/>
          <w:sz w:val="24"/>
          <w:szCs w:val="24"/>
        </w:rPr>
        <w:t>Scientific Reports, 8</w:t>
      </w:r>
      <w:r w:rsidRPr="00E6296D">
        <w:rPr>
          <w:rFonts w:ascii="Times New Roman" w:hAnsi="Times New Roman" w:cs="Times New Roman"/>
          <w:color w:val="000000" w:themeColor="text1"/>
          <w:sz w:val="24"/>
          <w:szCs w:val="24"/>
        </w:rPr>
        <w:t>(1), 1763. doi:10.1038/s41598-018-19434-7</w:t>
      </w:r>
    </w:p>
    <w:p w14:paraId="30AAA886" w14:textId="54BCE75C" w:rsidR="00CC2376" w:rsidRPr="00E6296D" w:rsidRDefault="005757FC" w:rsidP="00FD634E">
      <w:pPr>
        <w:pStyle w:val="EndNoteBibliography"/>
        <w:spacing w:after="0" w:line="360" w:lineRule="auto"/>
        <w:ind w:left="720" w:hanging="720"/>
        <w:jc w:val="both"/>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rPr>
        <w:t xml:space="preserve">2. </w:t>
      </w:r>
      <w:r w:rsidR="00CC2376" w:rsidRPr="00E6296D">
        <w:rPr>
          <w:rFonts w:ascii="Times New Roman" w:hAnsi="Times New Roman" w:cs="Times New Roman"/>
          <w:color w:val="000000" w:themeColor="text1"/>
          <w:sz w:val="24"/>
          <w:szCs w:val="24"/>
        </w:rPr>
        <w:t xml:space="preserve">Cruz, C. D., Shah, S., &amp; Tammela, P. (2018). Defining conditions for biofilm inhibition and eradication assays for Gram-positive clinical reference strains. </w:t>
      </w:r>
      <w:r w:rsidR="00CC2376" w:rsidRPr="00E6296D">
        <w:rPr>
          <w:rFonts w:ascii="Times New Roman" w:hAnsi="Times New Roman" w:cs="Times New Roman"/>
          <w:i/>
          <w:color w:val="000000" w:themeColor="text1"/>
          <w:sz w:val="24"/>
          <w:szCs w:val="24"/>
        </w:rPr>
        <w:t>BMC Microbiology, 18</w:t>
      </w:r>
      <w:r w:rsidR="00CC2376" w:rsidRPr="00E6296D">
        <w:rPr>
          <w:rFonts w:ascii="Times New Roman" w:hAnsi="Times New Roman" w:cs="Times New Roman"/>
          <w:color w:val="000000" w:themeColor="text1"/>
          <w:sz w:val="24"/>
          <w:szCs w:val="24"/>
        </w:rPr>
        <w:t>(1), 173. doi:10.1186/s12866-018-1321-6</w:t>
      </w:r>
    </w:p>
    <w:p w14:paraId="38FB9A57" w14:textId="6E049C1F" w:rsidR="00E0173F" w:rsidRPr="00E6296D" w:rsidRDefault="00E6296D" w:rsidP="00FB262E">
      <w:pPr>
        <w:rPr>
          <w:rFonts w:ascii="Times New Roman" w:hAnsi="Times New Roman" w:cs="Times New Roman"/>
          <w:color w:val="000000" w:themeColor="text1"/>
          <w:sz w:val="24"/>
          <w:szCs w:val="24"/>
        </w:rPr>
      </w:pPr>
      <w:r w:rsidRPr="00E6296D">
        <w:rPr>
          <w:rFonts w:ascii="Times New Roman" w:hAnsi="Times New Roman" w:cs="Times New Roman"/>
          <w:color w:val="000000" w:themeColor="text1"/>
          <w:sz w:val="24"/>
          <w:szCs w:val="24"/>
        </w:rPr>
        <w:fldChar w:fldCharType="end"/>
      </w:r>
    </w:p>
    <w:p w14:paraId="41E63A16" w14:textId="384F3C54" w:rsidR="005757FC" w:rsidRPr="00E6296D" w:rsidRDefault="005757FC" w:rsidP="005757FC">
      <w:pPr>
        <w:rPr>
          <w:rFonts w:asciiTheme="majorBidi" w:hAnsiTheme="majorBidi" w:cstheme="majorBidi"/>
          <w:color w:val="000000" w:themeColor="text1"/>
          <w:sz w:val="40"/>
          <w:szCs w:val="48"/>
        </w:rPr>
      </w:pPr>
    </w:p>
    <w:p w14:paraId="52CA304A" w14:textId="31AB758E" w:rsidR="005757FC" w:rsidRPr="00E6296D" w:rsidRDefault="005757FC" w:rsidP="005757FC">
      <w:pPr>
        <w:rPr>
          <w:rFonts w:ascii="Times New Roman" w:hAnsi="Times New Roman" w:cs="Times New Roman"/>
          <w:color w:val="000000" w:themeColor="text1"/>
          <w:sz w:val="24"/>
          <w:szCs w:val="24"/>
        </w:rPr>
      </w:pPr>
    </w:p>
    <w:p w14:paraId="19C986EE" w14:textId="634A10BB" w:rsidR="005757FC" w:rsidRPr="00E6296D" w:rsidRDefault="005757FC" w:rsidP="005757FC">
      <w:pPr>
        <w:tabs>
          <w:tab w:val="left" w:pos="4145"/>
        </w:tabs>
        <w:rPr>
          <w:rFonts w:asciiTheme="majorBidi" w:hAnsiTheme="majorBidi" w:cstheme="majorBidi"/>
          <w:color w:val="000000" w:themeColor="text1"/>
          <w:sz w:val="40"/>
          <w:szCs w:val="48"/>
        </w:rPr>
      </w:pPr>
      <w:r w:rsidRPr="00E6296D">
        <w:rPr>
          <w:rFonts w:asciiTheme="majorBidi" w:hAnsiTheme="majorBidi" w:cstheme="majorBidi"/>
          <w:color w:val="000000" w:themeColor="text1"/>
          <w:sz w:val="40"/>
          <w:szCs w:val="48"/>
        </w:rPr>
        <w:tab/>
      </w:r>
    </w:p>
    <w:sectPr w:rsidR="005757FC" w:rsidRPr="00E629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1223ED" w14:textId="77777777" w:rsidR="004B104D" w:rsidRDefault="004B104D" w:rsidP="00FB1EE2">
      <w:pPr>
        <w:spacing w:after="0" w:line="240" w:lineRule="auto"/>
      </w:pPr>
      <w:r>
        <w:separator/>
      </w:r>
    </w:p>
  </w:endnote>
  <w:endnote w:type="continuationSeparator" w:id="0">
    <w:p w14:paraId="63F1FB7A" w14:textId="77777777" w:rsidR="004B104D" w:rsidRDefault="004B104D" w:rsidP="00FB1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AD82D" w14:textId="77777777" w:rsidR="004B104D" w:rsidRDefault="004B104D" w:rsidP="00FB1EE2">
      <w:pPr>
        <w:spacing w:after="0" w:line="240" w:lineRule="auto"/>
      </w:pPr>
      <w:r>
        <w:separator/>
      </w:r>
    </w:p>
  </w:footnote>
  <w:footnote w:type="continuationSeparator" w:id="0">
    <w:p w14:paraId="68E5AB9F" w14:textId="77777777" w:rsidR="004B104D" w:rsidRDefault="004B104D" w:rsidP="00FB1E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34EAC"/>
    <w:multiLevelType w:val="hybridMultilevel"/>
    <w:tmpl w:val="D3E4628E"/>
    <w:lvl w:ilvl="0" w:tplc="4C5CC270">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dsrdze495stcevtp5xedvixvre5s220axf&quot;&gt;CM biofilm&lt;record-ids&gt;&lt;item&gt;21&lt;/item&gt;&lt;item&gt;37&lt;/item&gt;&lt;/record-ids&gt;&lt;/item&gt;&lt;/Libraries&gt;"/>
  </w:docVars>
  <w:rsids>
    <w:rsidRoot w:val="00FB262E"/>
    <w:rsid w:val="00000798"/>
    <w:rsid w:val="00021715"/>
    <w:rsid w:val="00034EBA"/>
    <w:rsid w:val="00064AC1"/>
    <w:rsid w:val="00091ABA"/>
    <w:rsid w:val="000C0718"/>
    <w:rsid w:val="000F3FEA"/>
    <w:rsid w:val="001564DF"/>
    <w:rsid w:val="001E2915"/>
    <w:rsid w:val="002546BF"/>
    <w:rsid w:val="002966BE"/>
    <w:rsid w:val="002D68BD"/>
    <w:rsid w:val="0037668A"/>
    <w:rsid w:val="00414F54"/>
    <w:rsid w:val="004264D3"/>
    <w:rsid w:val="004856D1"/>
    <w:rsid w:val="004B104D"/>
    <w:rsid w:val="004E20C2"/>
    <w:rsid w:val="00546111"/>
    <w:rsid w:val="005757FC"/>
    <w:rsid w:val="005B0F81"/>
    <w:rsid w:val="006927B9"/>
    <w:rsid w:val="00715DD5"/>
    <w:rsid w:val="0077578A"/>
    <w:rsid w:val="007D12B8"/>
    <w:rsid w:val="007D26C8"/>
    <w:rsid w:val="00816F6D"/>
    <w:rsid w:val="00833CF0"/>
    <w:rsid w:val="008C1920"/>
    <w:rsid w:val="008E55BD"/>
    <w:rsid w:val="0091198B"/>
    <w:rsid w:val="00995521"/>
    <w:rsid w:val="009B02EE"/>
    <w:rsid w:val="009B5019"/>
    <w:rsid w:val="00A04807"/>
    <w:rsid w:val="00A30FE2"/>
    <w:rsid w:val="00A5460D"/>
    <w:rsid w:val="00A86EF9"/>
    <w:rsid w:val="00AB4D5B"/>
    <w:rsid w:val="00B418B3"/>
    <w:rsid w:val="00B46804"/>
    <w:rsid w:val="00C260A7"/>
    <w:rsid w:val="00C32880"/>
    <w:rsid w:val="00C364EA"/>
    <w:rsid w:val="00C64FF6"/>
    <w:rsid w:val="00C71AD0"/>
    <w:rsid w:val="00CA7BB9"/>
    <w:rsid w:val="00CC2376"/>
    <w:rsid w:val="00D57416"/>
    <w:rsid w:val="00DC13B9"/>
    <w:rsid w:val="00E0173F"/>
    <w:rsid w:val="00E242DB"/>
    <w:rsid w:val="00E313B0"/>
    <w:rsid w:val="00E34A58"/>
    <w:rsid w:val="00E6296D"/>
    <w:rsid w:val="00E754C4"/>
    <w:rsid w:val="00EA3C3C"/>
    <w:rsid w:val="00EE79AF"/>
    <w:rsid w:val="00F07965"/>
    <w:rsid w:val="00F81BC6"/>
    <w:rsid w:val="00FB078F"/>
    <w:rsid w:val="00FB1EE2"/>
    <w:rsid w:val="00FB262E"/>
    <w:rsid w:val="00FC4214"/>
    <w:rsid w:val="00FD634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5434E"/>
  <w15:chartTrackingRefBased/>
  <w15:docId w15:val="{5BA3C003-71FA-4F5B-BDA4-5442795D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B262E"/>
    <w:pPr>
      <w:spacing w:after="0" w:line="240" w:lineRule="auto"/>
      <w:ind w:left="720"/>
      <w:contextualSpacing/>
    </w:pPr>
    <w:rPr>
      <w:rFonts w:ascii="Times New Roman" w:eastAsia="Times New Roman" w:hAnsi="Times New Roman" w:cs="Angsana New"/>
      <w:kern w:val="0"/>
      <w:sz w:val="24"/>
      <w:szCs w:val="30"/>
      <w14:ligatures w14:val="none"/>
    </w:rPr>
  </w:style>
  <w:style w:type="character" w:customStyle="1" w:styleId="ListParagraphChar">
    <w:name w:val="List Paragraph Char"/>
    <w:basedOn w:val="DefaultParagraphFont"/>
    <w:link w:val="ListParagraph"/>
    <w:uiPriority w:val="34"/>
    <w:rsid w:val="00FB262E"/>
    <w:rPr>
      <w:rFonts w:ascii="Times New Roman" w:eastAsia="Times New Roman" w:hAnsi="Times New Roman" w:cs="Angsana New"/>
      <w:kern w:val="0"/>
      <w:sz w:val="24"/>
      <w:szCs w:val="30"/>
      <w14:ligatures w14:val="none"/>
    </w:rPr>
  </w:style>
  <w:style w:type="paragraph" w:styleId="Revision">
    <w:name w:val="Revision"/>
    <w:hidden/>
    <w:uiPriority w:val="99"/>
    <w:semiHidden/>
    <w:rsid w:val="00C71AD0"/>
    <w:pPr>
      <w:spacing w:after="0" w:line="240" w:lineRule="auto"/>
    </w:pPr>
  </w:style>
  <w:style w:type="character" w:styleId="CommentReference">
    <w:name w:val="annotation reference"/>
    <w:basedOn w:val="DefaultParagraphFont"/>
    <w:uiPriority w:val="99"/>
    <w:semiHidden/>
    <w:unhideWhenUsed/>
    <w:rsid w:val="00C71AD0"/>
    <w:rPr>
      <w:sz w:val="16"/>
      <w:szCs w:val="16"/>
    </w:rPr>
  </w:style>
  <w:style w:type="paragraph" w:styleId="CommentText">
    <w:name w:val="annotation text"/>
    <w:basedOn w:val="Normal"/>
    <w:link w:val="CommentTextChar"/>
    <w:uiPriority w:val="99"/>
    <w:unhideWhenUsed/>
    <w:rsid w:val="00C71AD0"/>
    <w:pPr>
      <w:spacing w:line="240" w:lineRule="auto"/>
    </w:pPr>
    <w:rPr>
      <w:sz w:val="20"/>
      <w:szCs w:val="25"/>
    </w:rPr>
  </w:style>
  <w:style w:type="character" w:customStyle="1" w:styleId="CommentTextChar">
    <w:name w:val="Comment Text Char"/>
    <w:basedOn w:val="DefaultParagraphFont"/>
    <w:link w:val="CommentText"/>
    <w:uiPriority w:val="99"/>
    <w:rsid w:val="00C71AD0"/>
    <w:rPr>
      <w:sz w:val="20"/>
      <w:szCs w:val="25"/>
    </w:rPr>
  </w:style>
  <w:style w:type="paragraph" w:styleId="CommentSubject">
    <w:name w:val="annotation subject"/>
    <w:basedOn w:val="CommentText"/>
    <w:next w:val="CommentText"/>
    <w:link w:val="CommentSubjectChar"/>
    <w:uiPriority w:val="99"/>
    <w:semiHidden/>
    <w:unhideWhenUsed/>
    <w:rsid w:val="00C71AD0"/>
    <w:rPr>
      <w:b/>
      <w:bCs/>
    </w:rPr>
  </w:style>
  <w:style w:type="character" w:customStyle="1" w:styleId="CommentSubjectChar">
    <w:name w:val="Comment Subject Char"/>
    <w:basedOn w:val="CommentTextChar"/>
    <w:link w:val="CommentSubject"/>
    <w:uiPriority w:val="99"/>
    <w:semiHidden/>
    <w:rsid w:val="00C71AD0"/>
    <w:rPr>
      <w:b/>
      <w:bCs/>
      <w:sz w:val="20"/>
      <w:szCs w:val="25"/>
    </w:rPr>
  </w:style>
  <w:style w:type="paragraph" w:styleId="Header">
    <w:name w:val="header"/>
    <w:basedOn w:val="Normal"/>
    <w:link w:val="HeaderChar"/>
    <w:uiPriority w:val="99"/>
    <w:unhideWhenUsed/>
    <w:rsid w:val="00FB1E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EE2"/>
  </w:style>
  <w:style w:type="paragraph" w:styleId="Footer">
    <w:name w:val="footer"/>
    <w:basedOn w:val="Normal"/>
    <w:link w:val="FooterChar"/>
    <w:uiPriority w:val="99"/>
    <w:unhideWhenUsed/>
    <w:rsid w:val="00FB1E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EE2"/>
  </w:style>
  <w:style w:type="paragraph" w:customStyle="1" w:styleId="EndNoteBibliographyTitle">
    <w:name w:val="EndNote Bibliography Title"/>
    <w:basedOn w:val="Normal"/>
    <w:link w:val="EndNoteBibliographyTitleChar"/>
    <w:rsid w:val="00EA3C3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A3C3C"/>
    <w:rPr>
      <w:rFonts w:ascii="Calibri" w:hAnsi="Calibri" w:cs="Calibri"/>
      <w:noProof/>
    </w:rPr>
  </w:style>
  <w:style w:type="paragraph" w:customStyle="1" w:styleId="EndNoteBibliography">
    <w:name w:val="EndNote Bibliography"/>
    <w:basedOn w:val="Normal"/>
    <w:link w:val="EndNoteBibliographyChar"/>
    <w:rsid w:val="00EA3C3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A3C3C"/>
    <w:rPr>
      <w:rFonts w:ascii="Calibri" w:hAnsi="Calibri" w:cs="Calibri"/>
      <w:noProof/>
    </w:rPr>
  </w:style>
  <w:style w:type="character" w:styleId="Hyperlink">
    <w:name w:val="Hyperlink"/>
    <w:basedOn w:val="DefaultParagraphFont"/>
    <w:uiPriority w:val="99"/>
    <w:unhideWhenUsed/>
    <w:rsid w:val="00EA3C3C"/>
    <w:rPr>
      <w:color w:val="0563C1" w:themeColor="hyperlink"/>
      <w:u w:val="single"/>
    </w:rPr>
  </w:style>
  <w:style w:type="character" w:customStyle="1" w:styleId="UnresolvedMention">
    <w:name w:val="Unresolved Mention"/>
    <w:basedOn w:val="DefaultParagraphFont"/>
    <w:uiPriority w:val="99"/>
    <w:semiHidden/>
    <w:unhideWhenUsed/>
    <w:rsid w:val="00EA3C3C"/>
    <w:rPr>
      <w:color w:val="605E5C"/>
      <w:shd w:val="clear" w:color="auto" w:fill="E1DFDD"/>
    </w:rPr>
  </w:style>
  <w:style w:type="table" w:styleId="TableGrid">
    <w:name w:val="Table Grid"/>
    <w:basedOn w:val="TableNormal"/>
    <w:uiPriority w:val="39"/>
    <w:rsid w:val="001E2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Typewriter">
    <w:name w:val="HTML Typewriter"/>
    <w:basedOn w:val="DefaultParagraphFont"/>
    <w:uiPriority w:val="99"/>
    <w:semiHidden/>
    <w:unhideWhenUsed/>
    <w:rsid w:val="001E291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932</Words>
  <Characters>5317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Natthaporn Klubthawee</dc:creator>
  <cp:keywords/>
  <dc:description/>
  <cp:lastModifiedBy>Nandhini S.</cp:lastModifiedBy>
  <cp:revision>7</cp:revision>
  <dcterms:created xsi:type="dcterms:W3CDTF">2023-11-29T02:49:00Z</dcterms:created>
  <dcterms:modified xsi:type="dcterms:W3CDTF">2023-12-07T03:20:00Z</dcterms:modified>
</cp:coreProperties>
</file>