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09EA" w14:textId="69B0E2B0" w:rsidR="00090EEE" w:rsidRPr="00861315" w:rsidRDefault="00090EEE" w:rsidP="00090EEE">
      <w:pPr>
        <w:snapToGrid w:val="0"/>
        <w:spacing w:line="480" w:lineRule="auto"/>
        <w:rPr>
          <w:rFonts w:ascii="Century" w:eastAsia="MS Mincho" w:hAnsi="Century" w:cs="Times New Roman"/>
          <w:b/>
          <w:bCs/>
          <w:sz w:val="22"/>
        </w:rPr>
      </w:pPr>
      <w:bookmarkStart w:id="0" w:name="_Hlk151333268"/>
      <w:bookmarkEnd w:id="0"/>
      <w:r w:rsidRPr="00861315">
        <w:rPr>
          <w:rFonts w:ascii="Century" w:eastAsia="MS Mincho" w:hAnsi="Century" w:cs="Times New Roman"/>
          <w:b/>
          <w:bCs/>
          <w:sz w:val="22"/>
        </w:rPr>
        <w:t>Supplementary information</w:t>
      </w:r>
    </w:p>
    <w:p w14:paraId="31550235" w14:textId="77777777" w:rsidR="00090EEE" w:rsidRPr="00861315" w:rsidRDefault="00090EEE" w:rsidP="00090EEE">
      <w:pPr>
        <w:snapToGrid w:val="0"/>
        <w:spacing w:line="480" w:lineRule="auto"/>
        <w:rPr>
          <w:rFonts w:ascii="Century" w:eastAsia="MS Mincho" w:hAnsi="Century" w:cs="Times New Roman"/>
          <w:b/>
          <w:bCs/>
          <w:sz w:val="22"/>
        </w:rPr>
      </w:pPr>
    </w:p>
    <w:p w14:paraId="5B1AAEB8" w14:textId="329A32DE" w:rsidR="00090EEE" w:rsidRPr="00861315" w:rsidRDefault="004827B1" w:rsidP="00090EEE">
      <w:pPr>
        <w:snapToGrid w:val="0"/>
        <w:spacing w:line="480" w:lineRule="auto"/>
        <w:rPr>
          <w:rFonts w:ascii="Century" w:eastAsia="MS Mincho" w:hAnsi="Century" w:cs="Times New Roman"/>
          <w:sz w:val="22"/>
        </w:rPr>
      </w:pPr>
      <w:r w:rsidRPr="00861315">
        <w:rPr>
          <w:rFonts w:ascii="Century" w:eastAsia="MS Mincho" w:hAnsi="Century" w:cs="Times New Roman"/>
          <w:b/>
          <w:bCs/>
          <w:sz w:val="24"/>
          <w:szCs w:val="24"/>
        </w:rPr>
        <w:t>Progression of retinitis pigmentosa on static perimetry, optical coherence tomography, and fundus autofluorescence</w:t>
      </w:r>
    </w:p>
    <w:p w14:paraId="29ADB438" w14:textId="21505B98" w:rsidR="00090EEE" w:rsidRPr="00861315" w:rsidRDefault="00694C3C" w:rsidP="00090EEE">
      <w:pPr>
        <w:snapToGrid w:val="0"/>
        <w:spacing w:line="480" w:lineRule="auto"/>
        <w:rPr>
          <w:rFonts w:ascii="Century" w:eastAsia="MS Mincho" w:hAnsi="Century" w:cs="Times New Roman"/>
          <w:color w:val="000000" w:themeColor="text1"/>
          <w:sz w:val="22"/>
        </w:rPr>
      </w:pPr>
      <w:r w:rsidRPr="00861315">
        <w:rPr>
          <w:rFonts w:ascii="Century" w:eastAsia="MS Mincho" w:hAnsi="Century" w:cs="Times New Roman"/>
          <w:color w:val="000000" w:themeColor="text1"/>
          <w:sz w:val="22"/>
        </w:rPr>
        <w:t>Yuhei Iga, Tomoko Hasegawa, Hanako Ohashi Ikeda, Yoshimichi Hirota, Manabu Miyata, Shogo Numa, Yuki Otsuka, Akitaka Tsujikawa</w:t>
      </w:r>
    </w:p>
    <w:p w14:paraId="4BC1B696" w14:textId="6EE66416" w:rsidR="00EA348B" w:rsidRPr="00861315" w:rsidRDefault="00090EEE" w:rsidP="000C04C3">
      <w:pPr>
        <w:snapToGrid w:val="0"/>
        <w:spacing w:line="480" w:lineRule="auto"/>
        <w:rPr>
          <w:rFonts w:ascii="Century" w:eastAsia="MS Mincho" w:hAnsi="Century" w:cs="Times New Roman"/>
          <w:color w:val="000000" w:themeColor="text1"/>
          <w:sz w:val="22"/>
        </w:rPr>
      </w:pPr>
      <w:r w:rsidRPr="00806FE9">
        <w:rPr>
          <w:rFonts w:ascii="Times New Roman" w:eastAsia="MS Mincho" w:hAnsi="Times New Roman" w:cs="Times New Roman"/>
          <w:color w:val="000000" w:themeColor="text1"/>
          <w:sz w:val="22"/>
        </w:rPr>
        <w:br w:type="page"/>
      </w:r>
    </w:p>
    <w:p w14:paraId="44BB5D33" w14:textId="77777777" w:rsidR="00861315" w:rsidRDefault="00861315" w:rsidP="00861315">
      <w:pPr>
        <w:jc w:val="left"/>
        <w:rPr>
          <w:rFonts w:ascii="Century" w:eastAsia="MS Mincho" w:hAnsi="Century" w:cs="Times New Roman"/>
          <w:b/>
          <w:bCs/>
          <w:color w:val="000000" w:themeColor="text1"/>
          <w:sz w:val="22"/>
        </w:rPr>
      </w:pPr>
      <w:r>
        <w:rPr>
          <w:rFonts w:ascii="Century" w:eastAsia="MS Mincho" w:hAnsi="Century" w:cs="Times New Roman"/>
          <w:b/>
          <w:bCs/>
          <w:noProof/>
          <w:color w:val="000000" w:themeColor="text1"/>
          <w:sz w:val="22"/>
        </w:rPr>
        <w:lastRenderedPageBreak/>
        <w:drawing>
          <wp:inline distT="0" distB="0" distL="0" distR="0" wp14:anchorId="20533706" wp14:editId="533E94C2">
            <wp:extent cx="4353696" cy="6280150"/>
            <wp:effectExtent l="0" t="0" r="0" b="0"/>
            <wp:docPr id="1676916238" name="図 1676916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203" cy="632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C79F2" w14:textId="589927EC" w:rsidR="00861315" w:rsidRPr="00FE2BA7" w:rsidRDefault="00E91AA3" w:rsidP="00861315">
      <w:pPr>
        <w:jc w:val="left"/>
        <w:rPr>
          <w:rFonts w:ascii="Century" w:eastAsia="Century" w:hAnsi="Century" w:cs="Century"/>
          <w:szCs w:val="21"/>
        </w:rPr>
      </w:pPr>
      <w:r w:rsidRPr="0006733E">
        <w:rPr>
          <w:rFonts w:ascii="Century" w:eastAsia="MS Mincho" w:hAnsi="Century" w:cs="Times New Roman"/>
          <w:b/>
          <w:bCs/>
          <w:sz w:val="22"/>
        </w:rPr>
        <w:t xml:space="preserve">Supplementary Figure S1. </w:t>
      </w:r>
      <w:r w:rsidR="00694C3C" w:rsidRPr="0006733E">
        <w:rPr>
          <w:rFonts w:ascii="Century" w:eastAsia="MS Mincho" w:hAnsi="Century" w:cs="Times New Roman"/>
          <w:b/>
          <w:bCs/>
          <w:sz w:val="22"/>
        </w:rPr>
        <w:t>Correlations b</w:t>
      </w:r>
      <w:r w:rsidR="00694C3C" w:rsidRPr="00FE2BA7">
        <w:rPr>
          <w:rFonts w:ascii="Century" w:eastAsia="MS Mincho" w:hAnsi="Century" w:cs="Times New Roman"/>
          <w:b/>
          <w:bCs/>
          <w:sz w:val="22"/>
        </w:rPr>
        <w:t xml:space="preserve">etween different baseline measurements in eyes </w:t>
      </w:r>
      <w:r w:rsidR="00861315" w:rsidRPr="00FE2BA7">
        <w:rPr>
          <w:rFonts w:ascii="Century" w:eastAsia="MS Mincho" w:hAnsi="Century" w:cs="Times New Roman"/>
          <w:b/>
          <w:bCs/>
          <w:sz w:val="22"/>
        </w:rPr>
        <w:t xml:space="preserve">with causative </w:t>
      </w:r>
      <w:r w:rsidR="009B4892" w:rsidRPr="00FE2BA7">
        <w:rPr>
          <w:rFonts w:ascii="Century" w:eastAsia="MS Mincho" w:hAnsi="Century" w:cs="Times New Roman"/>
          <w:b/>
          <w:bCs/>
          <w:i/>
          <w:iCs/>
          <w:sz w:val="22"/>
        </w:rPr>
        <w:t>EYS</w:t>
      </w:r>
      <w:r w:rsidR="009B4892" w:rsidRPr="00FE2BA7">
        <w:rPr>
          <w:rFonts w:ascii="Century" w:eastAsia="MS Mincho" w:hAnsi="Century" w:cs="Times New Roman"/>
          <w:b/>
          <w:bCs/>
          <w:sz w:val="22"/>
        </w:rPr>
        <w:t xml:space="preserve"> </w:t>
      </w:r>
      <w:r w:rsidR="00861315" w:rsidRPr="00FE2BA7">
        <w:rPr>
          <w:rFonts w:ascii="Century" w:eastAsia="MS Mincho" w:hAnsi="Century" w:cs="Times New Roman"/>
          <w:b/>
          <w:bCs/>
          <w:sz w:val="22"/>
        </w:rPr>
        <w:t xml:space="preserve">gene. </w:t>
      </w:r>
      <w:r w:rsidR="00861315" w:rsidRPr="00FE2BA7">
        <w:rPr>
          <w:rFonts w:ascii="Century" w:hAnsi="Century" w:cstheme="majorHAnsi"/>
          <w:b/>
        </w:rPr>
        <w:t>(</w:t>
      </w:r>
      <w:r w:rsidR="00861315" w:rsidRPr="00FE2BA7">
        <w:rPr>
          <w:rFonts w:ascii="Century" w:hAnsi="Century" w:cstheme="majorHAnsi"/>
          <w:b/>
          <w:bCs/>
        </w:rPr>
        <w:t>A)</w:t>
      </w:r>
      <w:r w:rsidR="00861315" w:rsidRPr="00FE2BA7">
        <w:rPr>
          <w:rFonts w:ascii="Century" w:hAnsi="Century" w:cstheme="majorHAnsi"/>
          <w:b/>
        </w:rPr>
        <w:t xml:space="preserve"> </w:t>
      </w:r>
      <w:r w:rsidR="00861315" w:rsidRPr="00FE2BA7">
        <w:rPr>
          <w:rFonts w:ascii="Century" w:hAnsi="Century" w:cstheme="majorHAnsi"/>
        </w:rPr>
        <w:t>Residual ellipsoid zone (EZ) area and the hyper</w:t>
      </w:r>
      <w:r w:rsidR="00B43260" w:rsidRPr="00FE2BA7">
        <w:rPr>
          <w:rFonts w:ascii="Century" w:hAnsi="Century" w:cstheme="majorHAnsi"/>
        </w:rPr>
        <w:t>-</w:t>
      </w:r>
      <w:r w:rsidR="00861315" w:rsidRPr="00FE2BA7">
        <w:rPr>
          <w:rFonts w:ascii="Century" w:hAnsi="Century" w:cstheme="majorHAnsi"/>
        </w:rPr>
        <w:t xml:space="preserve">autofluorescent ring (hyper-AF ring) area </w:t>
      </w:r>
      <w:r w:rsidR="009B4892" w:rsidRPr="00FE2BA7">
        <w:rPr>
          <w:rFonts w:ascii="Century" w:hAnsi="Century" w:cstheme="majorHAnsi"/>
        </w:rPr>
        <w:t xml:space="preserve">exhibit </w:t>
      </w:r>
      <w:r w:rsidR="00861315" w:rsidRPr="00FE2BA7">
        <w:rPr>
          <w:rFonts w:ascii="Century" w:hAnsi="Century" w:cstheme="majorHAnsi"/>
        </w:rPr>
        <w:t>a positive correlation (</w:t>
      </w:r>
      <w:r w:rsidR="00861315" w:rsidRPr="00FE2BA7">
        <w:rPr>
          <w:rFonts w:ascii="Century" w:eastAsia="Century" w:hAnsi="Century" w:cs="Century"/>
          <w:i/>
          <w:iCs/>
          <w:szCs w:val="21"/>
        </w:rPr>
        <w:t xml:space="preserve">P </w:t>
      </w:r>
      <w:r w:rsidR="00861315" w:rsidRPr="00FE2BA7">
        <w:rPr>
          <w:rFonts w:ascii="Century" w:eastAsia="Century" w:hAnsi="Century" w:cs="Century"/>
          <w:szCs w:val="21"/>
        </w:rPr>
        <w:t xml:space="preserve">&lt; 0.0001, r = 0.98, Pearson's linear approximation). </w:t>
      </w:r>
      <w:r w:rsidR="00861315" w:rsidRPr="00FE2BA7">
        <w:rPr>
          <w:rFonts w:ascii="Century" w:hAnsi="Century" w:cstheme="majorHAnsi"/>
          <w:b/>
        </w:rPr>
        <w:t>(</w:t>
      </w:r>
      <w:r w:rsidR="00861315" w:rsidRPr="00FE2BA7">
        <w:rPr>
          <w:rFonts w:ascii="Century" w:hAnsi="Century" w:cstheme="majorHAnsi"/>
          <w:b/>
          <w:bCs/>
        </w:rPr>
        <w:t>B)</w:t>
      </w:r>
      <w:r w:rsidR="00861315" w:rsidRPr="00FE2BA7">
        <w:rPr>
          <w:rFonts w:ascii="Century" w:hAnsi="Century" w:cstheme="majorHAnsi"/>
          <w:b/>
        </w:rPr>
        <w:t xml:space="preserve"> </w:t>
      </w:r>
      <w:r w:rsidR="00861315" w:rsidRPr="00FE2BA7">
        <w:rPr>
          <w:rFonts w:ascii="Century" w:hAnsi="Century" w:cstheme="majorHAnsi"/>
        </w:rPr>
        <w:t xml:space="preserve">Residual EZ area </w:t>
      </w:r>
      <w:r w:rsidR="009B4892" w:rsidRPr="00FE2BA7">
        <w:rPr>
          <w:rFonts w:ascii="Century" w:hAnsi="Century" w:cstheme="majorHAnsi"/>
        </w:rPr>
        <w:t xml:space="preserve">displays </w:t>
      </w:r>
      <w:r w:rsidR="00861315" w:rsidRPr="00FE2BA7">
        <w:rPr>
          <w:rFonts w:ascii="Century" w:hAnsi="Century" w:cstheme="majorHAnsi"/>
        </w:rPr>
        <w:t>a positive correlation with mean deviation (MD) value (</w:t>
      </w:r>
      <w:r w:rsidR="00861315" w:rsidRPr="00FE2BA7">
        <w:rPr>
          <w:rFonts w:ascii="Century" w:eastAsia="Century" w:hAnsi="Century" w:cs="Century"/>
          <w:i/>
          <w:iCs/>
          <w:szCs w:val="21"/>
        </w:rPr>
        <w:t xml:space="preserve">P </w:t>
      </w:r>
      <w:r w:rsidR="00861315" w:rsidRPr="00FE2BA7">
        <w:rPr>
          <w:rFonts w:ascii="Century" w:eastAsia="Century" w:hAnsi="Century" w:cs="Century"/>
          <w:szCs w:val="21"/>
        </w:rPr>
        <w:t>= 0.0015, r = 0.69).</w:t>
      </w:r>
      <w:r w:rsidR="00861315" w:rsidRPr="00FE2BA7">
        <w:rPr>
          <w:rFonts w:ascii="Century" w:hAnsi="Century" w:cstheme="majorHAnsi"/>
        </w:rPr>
        <w:t xml:space="preserve"> </w:t>
      </w:r>
      <w:r w:rsidR="00861315" w:rsidRPr="00FE2BA7">
        <w:rPr>
          <w:rFonts w:ascii="Century" w:hAnsi="Century" w:cstheme="majorHAnsi"/>
          <w:b/>
        </w:rPr>
        <w:t xml:space="preserve">(C) </w:t>
      </w:r>
      <w:r w:rsidR="00861315" w:rsidRPr="00FE2BA7">
        <w:rPr>
          <w:rFonts w:ascii="Century" w:hAnsi="Century" w:cstheme="majorHAnsi"/>
        </w:rPr>
        <w:t>Hyper-AF ring area shows a positive correlation with MD value (</w:t>
      </w:r>
      <w:r w:rsidR="00861315" w:rsidRPr="00FE2BA7">
        <w:rPr>
          <w:rFonts w:ascii="Century" w:eastAsia="Century" w:hAnsi="Century" w:cs="Century"/>
          <w:i/>
          <w:iCs/>
          <w:szCs w:val="21"/>
        </w:rPr>
        <w:t>P</w:t>
      </w:r>
      <w:r w:rsidR="00861315" w:rsidRPr="00FE2BA7">
        <w:rPr>
          <w:rFonts w:ascii="Century" w:eastAsia="Century" w:hAnsi="Century" w:cs="Century"/>
          <w:szCs w:val="21"/>
        </w:rPr>
        <w:t xml:space="preserve"> = 0.0013</w:t>
      </w:r>
      <w:r w:rsidR="00B31956">
        <w:rPr>
          <w:rFonts w:ascii="Century" w:eastAsia="MS Mincho" w:hAnsi="Century" w:cs="MS Mincho" w:hint="eastAsia"/>
          <w:szCs w:val="21"/>
        </w:rPr>
        <w:t>,</w:t>
      </w:r>
      <w:r w:rsidR="00B31956">
        <w:rPr>
          <w:rFonts w:ascii="Century" w:eastAsia="MS Mincho" w:hAnsi="Century" w:cs="MS Mincho"/>
          <w:szCs w:val="21"/>
        </w:rPr>
        <w:t xml:space="preserve"> </w:t>
      </w:r>
      <w:r w:rsidR="00861315" w:rsidRPr="00FE2BA7">
        <w:rPr>
          <w:rFonts w:ascii="Century" w:eastAsia="Century" w:hAnsi="Century" w:cs="Century"/>
          <w:szCs w:val="21"/>
        </w:rPr>
        <w:t xml:space="preserve">r = 0.70). The dotted lines </w:t>
      </w:r>
      <w:r w:rsidR="009B4892" w:rsidRPr="00FE2BA7">
        <w:rPr>
          <w:rFonts w:ascii="Century" w:eastAsia="Century" w:hAnsi="Century" w:cs="Century"/>
          <w:szCs w:val="21"/>
        </w:rPr>
        <w:t xml:space="preserve">represent </w:t>
      </w:r>
      <w:r w:rsidR="00861315" w:rsidRPr="00FE2BA7">
        <w:rPr>
          <w:rFonts w:ascii="Century" w:eastAsia="Century" w:hAnsi="Century" w:cs="Century"/>
          <w:szCs w:val="21"/>
        </w:rPr>
        <w:t xml:space="preserve">the </w:t>
      </w:r>
      <w:r w:rsidR="00861315" w:rsidRPr="00FE2BA7">
        <w:rPr>
          <w:rFonts w:ascii="Century" w:hAnsi="Century" w:cstheme="majorHAnsi"/>
        </w:rPr>
        <w:t>approximate straight line using linear regression analysis with the least-squares method.</w:t>
      </w:r>
    </w:p>
    <w:p w14:paraId="4FE4B939" w14:textId="3EC3D111" w:rsidR="00090EEE" w:rsidRPr="002C39B0" w:rsidRDefault="008A05BE" w:rsidP="00090EEE">
      <w:pPr>
        <w:snapToGrid w:val="0"/>
        <w:spacing w:line="480" w:lineRule="auto"/>
        <w:rPr>
          <w:rFonts w:ascii="Century" w:eastAsia="MS Mincho" w:hAnsi="Century" w:cs="Times New Roman"/>
          <w:b/>
          <w:bCs/>
          <w:sz w:val="22"/>
        </w:rPr>
      </w:pPr>
      <w:r w:rsidRPr="002C39B0">
        <w:rPr>
          <w:rFonts w:ascii="Century" w:eastAsia="MS Mincho" w:hAnsi="Century" w:cs="Times New Roman"/>
          <w:b/>
          <w:bCs/>
          <w:noProof/>
          <w:sz w:val="22"/>
        </w:rPr>
        <w:lastRenderedPageBreak/>
        <w:drawing>
          <wp:inline distT="0" distB="0" distL="0" distR="0" wp14:anchorId="64A4E951" wp14:editId="4B551969">
            <wp:extent cx="4705350" cy="6780941"/>
            <wp:effectExtent l="0" t="0" r="0" b="0"/>
            <wp:docPr id="66820492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351" cy="682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EB250" w14:textId="224E5D01" w:rsidR="00282C56" w:rsidRPr="002C39B0" w:rsidRDefault="004B3DD8" w:rsidP="00861315">
      <w:pPr>
        <w:rPr>
          <w:rFonts w:ascii="Century" w:eastAsia="Century" w:hAnsi="Century" w:cs="Century"/>
          <w:szCs w:val="21"/>
        </w:rPr>
      </w:pPr>
      <w:r w:rsidRPr="002C39B0">
        <w:rPr>
          <w:rFonts w:ascii="Century" w:eastAsia="MS Mincho" w:hAnsi="Century" w:cs="Times New Roman"/>
          <w:b/>
          <w:bCs/>
          <w:sz w:val="22"/>
        </w:rPr>
        <w:t>Supplementary Figure S2.</w:t>
      </w:r>
      <w:r w:rsidRPr="002C39B0">
        <w:rPr>
          <w:rFonts w:ascii="Century" w:eastAsia="MS Mincho" w:hAnsi="Century" w:cs="Times New Roman"/>
          <w:sz w:val="22"/>
        </w:rPr>
        <w:t xml:space="preserve"> </w:t>
      </w:r>
      <w:r w:rsidR="008A05BE" w:rsidRPr="002C39B0">
        <w:rPr>
          <w:rFonts w:ascii="Century" w:eastAsia="MS Mincho" w:hAnsi="Century" w:cs="Times New Roman"/>
          <w:b/>
          <w:bCs/>
          <w:sz w:val="22"/>
        </w:rPr>
        <w:t>Correlations between the annual change rate and baseline measurements in eyes with cau</w:t>
      </w:r>
      <w:r w:rsidR="008A05BE" w:rsidRPr="00FE2BA7">
        <w:rPr>
          <w:rFonts w:ascii="Century" w:eastAsia="MS Mincho" w:hAnsi="Century" w:cs="Times New Roman"/>
          <w:b/>
          <w:bCs/>
          <w:sz w:val="22"/>
        </w:rPr>
        <w:t xml:space="preserve">sative </w:t>
      </w:r>
      <w:r w:rsidR="009B4892" w:rsidRPr="00FE2BA7">
        <w:rPr>
          <w:rFonts w:ascii="Century" w:eastAsia="MS Mincho" w:hAnsi="Century" w:cs="Times New Roman"/>
          <w:b/>
          <w:bCs/>
          <w:i/>
          <w:iCs/>
          <w:sz w:val="22"/>
        </w:rPr>
        <w:t>EYS</w:t>
      </w:r>
      <w:r w:rsidR="009B4892" w:rsidRPr="00FE2BA7">
        <w:rPr>
          <w:rFonts w:ascii="Century" w:eastAsia="MS Mincho" w:hAnsi="Century" w:cs="Times New Roman"/>
          <w:b/>
          <w:bCs/>
          <w:sz w:val="22"/>
        </w:rPr>
        <w:t xml:space="preserve"> </w:t>
      </w:r>
      <w:r w:rsidR="008A05BE" w:rsidRPr="00FE2BA7">
        <w:rPr>
          <w:rFonts w:ascii="Century" w:eastAsia="MS Mincho" w:hAnsi="Century" w:cs="Times New Roman"/>
          <w:b/>
          <w:bCs/>
          <w:sz w:val="22"/>
        </w:rPr>
        <w:t>gene.</w:t>
      </w:r>
      <w:r w:rsidR="008A05BE" w:rsidRPr="00FE2BA7">
        <w:rPr>
          <w:rFonts w:ascii="Century" w:eastAsia="MS Mincho" w:hAnsi="Century" w:cs="Times New Roman"/>
          <w:sz w:val="22"/>
        </w:rPr>
        <w:t xml:space="preserve"> </w:t>
      </w:r>
      <w:bookmarkStart w:id="1" w:name="_Hlk150989858"/>
      <w:r w:rsidR="00861315" w:rsidRPr="00FE2BA7">
        <w:rPr>
          <w:rFonts w:ascii="Century" w:hAnsi="Century" w:cstheme="majorHAnsi"/>
          <w:b/>
        </w:rPr>
        <w:t>(</w:t>
      </w:r>
      <w:r w:rsidR="00861315" w:rsidRPr="00FE2BA7">
        <w:rPr>
          <w:rFonts w:ascii="Century" w:hAnsi="Century" w:cstheme="majorHAnsi"/>
          <w:b/>
          <w:bCs/>
        </w:rPr>
        <w:t>A)</w:t>
      </w:r>
      <w:r w:rsidR="00861315" w:rsidRPr="00FE2BA7">
        <w:rPr>
          <w:rFonts w:ascii="Century" w:hAnsi="Century" w:cstheme="majorHAnsi"/>
          <w:b/>
        </w:rPr>
        <w:t xml:space="preserve"> </w:t>
      </w:r>
      <w:r w:rsidR="009B4892" w:rsidRPr="00FE2BA7">
        <w:rPr>
          <w:rFonts w:ascii="Century" w:hAnsi="Century" w:cstheme="majorHAnsi"/>
        </w:rPr>
        <w:t>A l</w:t>
      </w:r>
      <w:r w:rsidR="00861315" w:rsidRPr="00FE2BA7">
        <w:rPr>
          <w:rFonts w:ascii="Century" w:hAnsi="Century" w:cstheme="majorHAnsi"/>
        </w:rPr>
        <w:t xml:space="preserve">arger baseline residual ellipsoid zone (EZ) area </w:t>
      </w:r>
      <w:r w:rsidR="008A05BE" w:rsidRPr="00FE2BA7">
        <w:rPr>
          <w:rFonts w:ascii="Century" w:hAnsi="Century" w:cstheme="majorHAnsi"/>
        </w:rPr>
        <w:t xml:space="preserve">showed a tendency to be </w:t>
      </w:r>
      <w:r w:rsidR="00861315" w:rsidRPr="00FE2BA7">
        <w:rPr>
          <w:rFonts w:ascii="Century" w:hAnsi="Century" w:cstheme="majorHAnsi"/>
        </w:rPr>
        <w:t>correlated with a faster annual reduction of the residual EZ area (</w:t>
      </w:r>
      <w:r w:rsidR="00861315" w:rsidRPr="00FE2BA7">
        <w:rPr>
          <w:rFonts w:ascii="Century" w:eastAsia="Century" w:hAnsi="Century" w:cs="Century"/>
          <w:i/>
          <w:iCs/>
          <w:szCs w:val="21"/>
        </w:rPr>
        <w:t xml:space="preserve">P </w:t>
      </w:r>
      <w:r w:rsidR="00861315" w:rsidRPr="00FE2BA7">
        <w:rPr>
          <w:rFonts w:ascii="Century" w:eastAsia="Century" w:hAnsi="Century" w:cs="Century"/>
          <w:szCs w:val="21"/>
        </w:rPr>
        <w:t>= 0.</w:t>
      </w:r>
      <w:r w:rsidR="008A05BE" w:rsidRPr="00FE2BA7">
        <w:rPr>
          <w:rFonts w:ascii="Century" w:eastAsia="Century" w:hAnsi="Century" w:cs="Century"/>
          <w:szCs w:val="21"/>
        </w:rPr>
        <w:t>16</w:t>
      </w:r>
      <w:r w:rsidR="00861315" w:rsidRPr="00FE2BA7">
        <w:rPr>
          <w:rFonts w:ascii="Century" w:eastAsia="Century" w:hAnsi="Century" w:cs="Century"/>
          <w:szCs w:val="21"/>
        </w:rPr>
        <w:t xml:space="preserve">, r = </w:t>
      </w:r>
      <w:r w:rsidR="00861315" w:rsidRPr="00FE2BA7">
        <w:rPr>
          <w:rFonts w:ascii="Century" w:eastAsia="MS Mincho" w:hAnsi="Century" w:cs="MS Mincho"/>
          <w:szCs w:val="21"/>
        </w:rPr>
        <w:t>-</w:t>
      </w:r>
      <w:r w:rsidR="00861315" w:rsidRPr="00FE2BA7">
        <w:rPr>
          <w:rFonts w:ascii="Century" w:eastAsia="Century" w:hAnsi="Century" w:cs="Century"/>
          <w:szCs w:val="21"/>
        </w:rPr>
        <w:t>0.3</w:t>
      </w:r>
      <w:r w:rsidR="008A05BE" w:rsidRPr="00FE2BA7">
        <w:rPr>
          <w:rFonts w:ascii="Century" w:eastAsia="Century" w:hAnsi="Century" w:cs="Century"/>
          <w:szCs w:val="21"/>
        </w:rPr>
        <w:t>5</w:t>
      </w:r>
      <w:r w:rsidR="00861315" w:rsidRPr="00FE2BA7">
        <w:rPr>
          <w:rFonts w:ascii="Century" w:eastAsia="Century" w:hAnsi="Century" w:cs="Century"/>
          <w:szCs w:val="21"/>
        </w:rPr>
        <w:t xml:space="preserve">, Pearson’s linear approximation). </w:t>
      </w:r>
      <w:r w:rsidR="00861315" w:rsidRPr="00FE2BA7">
        <w:rPr>
          <w:rFonts w:ascii="Century" w:hAnsi="Century" w:cstheme="majorHAnsi"/>
          <w:b/>
        </w:rPr>
        <w:t xml:space="preserve">(B) </w:t>
      </w:r>
      <w:r w:rsidR="00861315" w:rsidRPr="00FE2BA7">
        <w:rPr>
          <w:rFonts w:ascii="Century" w:eastAsia="Century" w:hAnsi="Century" w:cs="Century"/>
          <w:szCs w:val="21"/>
        </w:rPr>
        <w:t>Larger baseline hyper</w:t>
      </w:r>
      <w:r w:rsidR="00B43260" w:rsidRPr="00FE2BA7">
        <w:rPr>
          <w:rFonts w:ascii="Century" w:eastAsia="Century" w:hAnsi="Century" w:cs="Century"/>
          <w:szCs w:val="21"/>
        </w:rPr>
        <w:t>-</w:t>
      </w:r>
      <w:r w:rsidR="00861315" w:rsidRPr="00FE2BA7">
        <w:rPr>
          <w:rFonts w:ascii="Century" w:eastAsia="Century" w:hAnsi="Century" w:cs="Century"/>
          <w:szCs w:val="21"/>
        </w:rPr>
        <w:t xml:space="preserve">autofluorescent ring (hyper-AF ring) area </w:t>
      </w:r>
      <w:r w:rsidR="009B4892" w:rsidRPr="00FE2BA7">
        <w:rPr>
          <w:rFonts w:ascii="Century" w:eastAsia="Century" w:hAnsi="Century" w:cs="Century"/>
          <w:szCs w:val="21"/>
        </w:rPr>
        <w:t xml:space="preserve">exhibited </w:t>
      </w:r>
      <w:r w:rsidR="008A05BE" w:rsidRPr="00FE2BA7">
        <w:rPr>
          <w:rFonts w:ascii="Century" w:eastAsia="Century" w:hAnsi="Century" w:cs="Century"/>
          <w:szCs w:val="21"/>
        </w:rPr>
        <w:t xml:space="preserve">a tendency to be </w:t>
      </w:r>
      <w:r w:rsidR="00861315" w:rsidRPr="00FE2BA7">
        <w:rPr>
          <w:rFonts w:ascii="Century" w:eastAsia="Century" w:hAnsi="Century" w:cs="Century"/>
          <w:szCs w:val="21"/>
        </w:rPr>
        <w:t xml:space="preserve">correlated with </w:t>
      </w:r>
      <w:r w:rsidR="009B4892" w:rsidRPr="00FE2BA7">
        <w:rPr>
          <w:rFonts w:ascii="Century" w:eastAsia="Century" w:hAnsi="Century" w:cs="Century"/>
          <w:szCs w:val="21"/>
        </w:rPr>
        <w:t xml:space="preserve">a </w:t>
      </w:r>
      <w:r w:rsidR="00861315" w:rsidRPr="00FE2BA7">
        <w:rPr>
          <w:rFonts w:ascii="Century" w:eastAsia="Century" w:hAnsi="Century" w:cs="Century"/>
          <w:szCs w:val="21"/>
        </w:rPr>
        <w:t>faster annual reduction (</w:t>
      </w:r>
      <w:r w:rsidR="00861315" w:rsidRPr="00FE2BA7">
        <w:rPr>
          <w:rFonts w:ascii="Century" w:eastAsia="Century" w:hAnsi="Century" w:cs="Century"/>
          <w:i/>
          <w:iCs/>
          <w:szCs w:val="21"/>
        </w:rPr>
        <w:t>P</w:t>
      </w:r>
      <w:r w:rsidR="00861315" w:rsidRPr="00FE2BA7">
        <w:rPr>
          <w:rFonts w:ascii="Century" w:eastAsia="Century" w:hAnsi="Century" w:cs="Century"/>
          <w:szCs w:val="21"/>
        </w:rPr>
        <w:t xml:space="preserve"> </w:t>
      </w:r>
      <w:r w:rsidR="008A05BE" w:rsidRPr="00FE2BA7">
        <w:rPr>
          <w:rFonts w:ascii="Century" w:eastAsia="Century" w:hAnsi="Century" w:cs="Century"/>
          <w:szCs w:val="21"/>
        </w:rPr>
        <w:t>= 0.14</w:t>
      </w:r>
      <w:r w:rsidR="00861315" w:rsidRPr="00FE2BA7">
        <w:rPr>
          <w:rFonts w:ascii="Century" w:eastAsia="MS Mincho" w:hAnsi="Century" w:cs="MS Mincho"/>
          <w:szCs w:val="21"/>
        </w:rPr>
        <w:t xml:space="preserve">, </w:t>
      </w:r>
      <w:r w:rsidR="00861315" w:rsidRPr="00FE2BA7">
        <w:rPr>
          <w:rFonts w:ascii="Century" w:eastAsia="Century" w:hAnsi="Century" w:cs="Century"/>
          <w:szCs w:val="21"/>
        </w:rPr>
        <w:t>r = -0.</w:t>
      </w:r>
      <w:r w:rsidR="008A05BE" w:rsidRPr="00FE2BA7">
        <w:rPr>
          <w:rFonts w:ascii="Century" w:eastAsia="Century" w:hAnsi="Century" w:cs="Century"/>
          <w:szCs w:val="21"/>
        </w:rPr>
        <w:t>36</w:t>
      </w:r>
      <w:r w:rsidR="00861315" w:rsidRPr="00FE2BA7">
        <w:rPr>
          <w:rFonts w:ascii="Century" w:eastAsia="Century" w:hAnsi="Century" w:cs="Century"/>
          <w:szCs w:val="21"/>
        </w:rPr>
        <w:t xml:space="preserve">). </w:t>
      </w:r>
      <w:r w:rsidR="00861315" w:rsidRPr="00FE2BA7">
        <w:rPr>
          <w:rFonts w:ascii="Century" w:hAnsi="Century" w:cstheme="majorHAnsi"/>
          <w:b/>
        </w:rPr>
        <w:t xml:space="preserve">(C) </w:t>
      </w:r>
      <w:r w:rsidR="00861315" w:rsidRPr="00FE2BA7">
        <w:rPr>
          <w:rFonts w:ascii="Century" w:eastAsia="Century" w:hAnsi="Century" w:cs="Century"/>
          <w:szCs w:val="21"/>
        </w:rPr>
        <w:t xml:space="preserve">The </w:t>
      </w:r>
      <w:r w:rsidR="00861315" w:rsidRPr="00FE2BA7">
        <w:rPr>
          <w:rFonts w:ascii="Century" w:eastAsia="Century" w:hAnsi="Century" w:cs="Century"/>
          <w:szCs w:val="21"/>
        </w:rPr>
        <w:lastRenderedPageBreak/>
        <w:t xml:space="preserve">baseline residual EZ length does not </w:t>
      </w:r>
      <w:r w:rsidR="009B4892" w:rsidRPr="00FE2BA7">
        <w:rPr>
          <w:rFonts w:ascii="Century" w:eastAsia="Century" w:hAnsi="Century" w:cs="Century"/>
          <w:szCs w:val="21"/>
        </w:rPr>
        <w:t xml:space="preserve">display </w:t>
      </w:r>
      <w:r w:rsidR="00861315" w:rsidRPr="00FE2BA7">
        <w:rPr>
          <w:rFonts w:ascii="Century" w:eastAsia="Century" w:hAnsi="Century" w:cs="Century"/>
          <w:szCs w:val="21"/>
        </w:rPr>
        <w:t>a significant correlation with the annual reduction rate of EZ length (</w:t>
      </w:r>
      <w:r w:rsidR="00861315" w:rsidRPr="00FE2BA7">
        <w:rPr>
          <w:rFonts w:ascii="Century" w:eastAsia="MS Mincho" w:hAnsi="Century" w:cs="MS Mincho"/>
          <w:i/>
          <w:iCs/>
          <w:szCs w:val="21"/>
        </w:rPr>
        <w:t xml:space="preserve">P </w:t>
      </w:r>
      <w:r w:rsidR="00861315" w:rsidRPr="00FE2BA7">
        <w:rPr>
          <w:rFonts w:ascii="Century" w:eastAsia="MS Mincho" w:hAnsi="Century" w:cs="MS Mincho"/>
          <w:szCs w:val="21"/>
        </w:rPr>
        <w:t>= 0.4</w:t>
      </w:r>
      <w:r w:rsidR="008A05BE" w:rsidRPr="00FE2BA7">
        <w:rPr>
          <w:rFonts w:ascii="Century" w:eastAsia="MS Mincho" w:hAnsi="Century" w:cs="MS Mincho"/>
          <w:szCs w:val="21"/>
        </w:rPr>
        <w:t>6</w:t>
      </w:r>
      <w:r w:rsidR="00861315" w:rsidRPr="00FE2BA7">
        <w:rPr>
          <w:rFonts w:ascii="Century" w:eastAsia="MS Mincho" w:hAnsi="Century" w:cs="MS Mincho"/>
          <w:szCs w:val="21"/>
        </w:rPr>
        <w:t>, r = -0.1</w:t>
      </w:r>
      <w:r w:rsidR="008A05BE" w:rsidRPr="00FE2BA7">
        <w:rPr>
          <w:rFonts w:ascii="Century" w:eastAsia="MS Mincho" w:hAnsi="Century" w:cs="MS Mincho"/>
          <w:szCs w:val="21"/>
        </w:rPr>
        <w:t>9</w:t>
      </w:r>
      <w:r w:rsidR="00861315" w:rsidRPr="00FE2BA7">
        <w:rPr>
          <w:rFonts w:ascii="Century" w:eastAsia="MS Mincho" w:hAnsi="Century" w:cs="MS Mincho"/>
          <w:szCs w:val="21"/>
        </w:rPr>
        <w:t>)</w:t>
      </w:r>
      <w:r w:rsidR="00861315" w:rsidRPr="00FE2BA7">
        <w:rPr>
          <w:rFonts w:ascii="Century" w:eastAsia="Century" w:hAnsi="Century" w:cs="Century"/>
          <w:szCs w:val="21"/>
        </w:rPr>
        <w:t xml:space="preserve">. </w:t>
      </w:r>
      <w:r w:rsidR="00861315" w:rsidRPr="00FE2BA7">
        <w:rPr>
          <w:rFonts w:ascii="Century" w:hAnsi="Century" w:cstheme="majorHAnsi"/>
          <w:b/>
        </w:rPr>
        <w:t xml:space="preserve">(D) </w:t>
      </w:r>
      <w:r w:rsidR="00861315" w:rsidRPr="00FE2BA7">
        <w:rPr>
          <w:rFonts w:ascii="Century" w:eastAsia="Century" w:hAnsi="Century" w:cs="Century"/>
          <w:szCs w:val="21"/>
        </w:rPr>
        <w:t xml:space="preserve">The baseline hyper-AF ring radius does not </w:t>
      </w:r>
      <w:r w:rsidR="009B4892" w:rsidRPr="00FE2BA7">
        <w:rPr>
          <w:rFonts w:ascii="Century" w:eastAsia="Century" w:hAnsi="Century" w:cs="Century"/>
          <w:szCs w:val="21"/>
        </w:rPr>
        <w:t xml:space="preserve">exhibit </w:t>
      </w:r>
      <w:r w:rsidR="00861315" w:rsidRPr="00FE2BA7">
        <w:rPr>
          <w:rFonts w:ascii="Century" w:eastAsia="Century" w:hAnsi="Century" w:cs="Century"/>
          <w:szCs w:val="21"/>
        </w:rPr>
        <w:t>a significant correlation with the annual reduction rate of the hyper-AF ring radius (</w:t>
      </w:r>
      <w:r w:rsidR="00861315" w:rsidRPr="00FE2BA7">
        <w:rPr>
          <w:rFonts w:ascii="Century" w:eastAsia="MS Mincho" w:hAnsi="Century" w:cs="MS Mincho"/>
          <w:i/>
          <w:iCs/>
          <w:szCs w:val="21"/>
        </w:rPr>
        <w:t>P</w:t>
      </w:r>
      <w:r w:rsidR="00861315" w:rsidRPr="00FE2BA7">
        <w:rPr>
          <w:rFonts w:ascii="Century" w:eastAsia="MS Mincho" w:hAnsi="Century" w:cs="MS Mincho"/>
          <w:szCs w:val="21"/>
        </w:rPr>
        <w:t xml:space="preserve"> = 0.</w:t>
      </w:r>
      <w:r w:rsidR="008A05BE" w:rsidRPr="00FE2BA7">
        <w:rPr>
          <w:rFonts w:ascii="Century" w:eastAsia="MS Mincho" w:hAnsi="Century" w:cs="MS Mincho"/>
          <w:szCs w:val="21"/>
        </w:rPr>
        <w:t>77</w:t>
      </w:r>
      <w:r w:rsidR="00861315" w:rsidRPr="00FE2BA7">
        <w:rPr>
          <w:rFonts w:ascii="Century" w:eastAsia="MS Mincho" w:hAnsi="Century" w:cs="MS Mincho"/>
          <w:szCs w:val="21"/>
        </w:rPr>
        <w:t>, r = -</w:t>
      </w:r>
      <w:r w:rsidR="008A05BE" w:rsidRPr="00FE2BA7">
        <w:rPr>
          <w:rFonts w:ascii="Century" w:eastAsia="MS Mincho" w:hAnsi="Century" w:cs="MS Mincho"/>
          <w:szCs w:val="21"/>
        </w:rPr>
        <w:t>0.07</w:t>
      </w:r>
      <w:r w:rsidR="00861315" w:rsidRPr="00FE2BA7">
        <w:rPr>
          <w:rFonts w:ascii="Century" w:eastAsia="MS Mincho" w:hAnsi="Century" w:cs="MS Mincho"/>
          <w:szCs w:val="21"/>
        </w:rPr>
        <w:t xml:space="preserve">). </w:t>
      </w:r>
      <w:r w:rsidR="00861315" w:rsidRPr="00FE2BA7">
        <w:rPr>
          <w:rFonts w:ascii="Century" w:hAnsi="Century" w:cstheme="majorHAnsi"/>
          <w:b/>
        </w:rPr>
        <w:t xml:space="preserve">(E) </w:t>
      </w:r>
      <w:r w:rsidR="009B4892" w:rsidRPr="00FE2BA7">
        <w:rPr>
          <w:rFonts w:ascii="Century" w:eastAsia="Century" w:hAnsi="Century" w:cs="Century"/>
          <w:szCs w:val="21"/>
        </w:rPr>
        <w:t>N</w:t>
      </w:r>
      <w:r w:rsidR="00861315" w:rsidRPr="00FE2BA7">
        <w:rPr>
          <w:rFonts w:ascii="Century" w:eastAsia="Century" w:hAnsi="Century" w:cs="Century"/>
          <w:szCs w:val="21"/>
        </w:rPr>
        <w:t>o significant correlation between the baseline MD and MD slope (</w:t>
      </w:r>
      <w:r w:rsidR="00861315" w:rsidRPr="00FE2BA7">
        <w:rPr>
          <w:rFonts w:ascii="Century" w:eastAsia="Century" w:hAnsi="Century" w:cs="Century"/>
          <w:i/>
          <w:iCs/>
          <w:szCs w:val="21"/>
        </w:rPr>
        <w:t>P</w:t>
      </w:r>
      <w:r w:rsidR="00861315" w:rsidRPr="00FE2BA7">
        <w:rPr>
          <w:rFonts w:ascii="Century" w:eastAsia="Century" w:hAnsi="Century" w:cs="Century"/>
          <w:szCs w:val="21"/>
        </w:rPr>
        <w:t xml:space="preserve"> = 0.</w:t>
      </w:r>
      <w:r w:rsidR="008A05BE" w:rsidRPr="00FE2BA7">
        <w:rPr>
          <w:rFonts w:ascii="Century" w:eastAsia="Century" w:hAnsi="Century" w:cs="Century"/>
          <w:szCs w:val="21"/>
        </w:rPr>
        <w:t>83</w:t>
      </w:r>
      <w:r w:rsidR="00861315" w:rsidRPr="00FE2BA7">
        <w:rPr>
          <w:rFonts w:ascii="Century" w:eastAsia="Century" w:hAnsi="Century" w:cs="Century"/>
          <w:szCs w:val="21"/>
        </w:rPr>
        <w:t>, r = -</w:t>
      </w:r>
      <w:r w:rsidR="008A05BE" w:rsidRPr="00FE2BA7">
        <w:rPr>
          <w:rFonts w:ascii="Century" w:eastAsia="Century" w:hAnsi="Century" w:cs="Century"/>
          <w:szCs w:val="21"/>
        </w:rPr>
        <w:t>0.06</w:t>
      </w:r>
      <w:r w:rsidR="00861315" w:rsidRPr="00FE2BA7">
        <w:rPr>
          <w:rFonts w:ascii="Century" w:eastAsia="Century" w:hAnsi="Century" w:cs="Century"/>
          <w:szCs w:val="21"/>
        </w:rPr>
        <w:t>).</w:t>
      </w:r>
      <w:r w:rsidR="00861315" w:rsidRPr="002C39B0">
        <w:rPr>
          <w:rFonts w:ascii="Century" w:eastAsia="Century" w:hAnsi="Century" w:cs="Century"/>
          <w:szCs w:val="21"/>
        </w:rPr>
        <w:t xml:space="preserve"> </w:t>
      </w:r>
      <w:r w:rsidR="00282C56" w:rsidRPr="002C39B0">
        <w:rPr>
          <w:rFonts w:ascii="Century" w:eastAsia="Century" w:hAnsi="Century" w:cs="Century"/>
          <w:szCs w:val="21"/>
        </w:rPr>
        <w:br w:type="page"/>
      </w:r>
    </w:p>
    <w:bookmarkEnd w:id="1"/>
    <w:p w14:paraId="010178C1" w14:textId="448AF179" w:rsidR="00090EEE" w:rsidRPr="002C39B0" w:rsidRDefault="00E9730C" w:rsidP="00861315">
      <w:pPr>
        <w:snapToGrid w:val="0"/>
        <w:spacing w:line="480" w:lineRule="auto"/>
        <w:rPr>
          <w:rFonts w:ascii="Century" w:eastAsia="MS Mincho" w:hAnsi="Century" w:cs="Times New Roman"/>
          <w:sz w:val="22"/>
        </w:rPr>
      </w:pPr>
      <w:r w:rsidRPr="002C39B0">
        <w:rPr>
          <w:rFonts w:ascii="Century" w:eastAsia="MS Mincho" w:hAnsi="Century" w:cs="Times New Roman"/>
          <w:noProof/>
          <w:sz w:val="22"/>
        </w:rPr>
        <w:lastRenderedPageBreak/>
        <w:drawing>
          <wp:inline distT="0" distB="0" distL="0" distR="0" wp14:anchorId="70E1B5DB" wp14:editId="0558965D">
            <wp:extent cx="4627838" cy="6337300"/>
            <wp:effectExtent l="0" t="0" r="0" b="0"/>
            <wp:docPr id="52963835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99" cy="638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73934" w14:textId="69928202" w:rsidR="008A05BE" w:rsidRPr="00FE2BA7" w:rsidRDefault="004B3DD8" w:rsidP="008A05BE">
      <w:pPr>
        <w:rPr>
          <w:rFonts w:ascii="Century" w:eastAsia="Century" w:hAnsi="Century" w:cs="Century"/>
          <w:szCs w:val="21"/>
        </w:rPr>
      </w:pPr>
      <w:r w:rsidRPr="002C39B0">
        <w:rPr>
          <w:rFonts w:ascii="Century" w:eastAsia="MS Mincho" w:hAnsi="Century" w:cs="Times New Roman"/>
          <w:b/>
          <w:bCs/>
          <w:sz w:val="22"/>
        </w:rPr>
        <w:t>Supplementary Figure S</w:t>
      </w:r>
      <w:r w:rsidRPr="00FE2BA7">
        <w:rPr>
          <w:rFonts w:ascii="Century" w:eastAsia="MS Mincho" w:hAnsi="Century" w:cs="Times New Roman"/>
          <w:b/>
          <w:bCs/>
          <w:sz w:val="22"/>
        </w:rPr>
        <w:t xml:space="preserve">3. </w:t>
      </w:r>
      <w:r w:rsidR="008A05BE" w:rsidRPr="00FE2BA7">
        <w:rPr>
          <w:rFonts w:ascii="Century" w:hAnsi="Century" w:cstheme="majorHAnsi"/>
          <w:b/>
          <w:bCs/>
        </w:rPr>
        <w:t>Correlations between annual change rates evaluated by different parameters</w:t>
      </w:r>
      <w:r w:rsidR="008A05BE" w:rsidRPr="00FE2BA7">
        <w:rPr>
          <w:rFonts w:ascii="Century" w:eastAsia="MS Mincho" w:hAnsi="Century" w:cs="Times New Roman"/>
          <w:b/>
          <w:bCs/>
          <w:sz w:val="22"/>
        </w:rPr>
        <w:t xml:space="preserve"> in eyes with </w:t>
      </w:r>
      <w:r w:rsidR="00B45DA6" w:rsidRPr="00FE2BA7">
        <w:rPr>
          <w:rFonts w:ascii="Century" w:eastAsia="MS Mincho" w:hAnsi="Century" w:cs="Times New Roman"/>
          <w:b/>
          <w:bCs/>
          <w:sz w:val="22"/>
        </w:rPr>
        <w:t xml:space="preserve">the </w:t>
      </w:r>
      <w:r w:rsidR="008A05BE" w:rsidRPr="00FE2BA7">
        <w:rPr>
          <w:rFonts w:ascii="Century" w:eastAsia="MS Mincho" w:hAnsi="Century" w:cs="Times New Roman"/>
          <w:b/>
          <w:bCs/>
          <w:sz w:val="22"/>
        </w:rPr>
        <w:t xml:space="preserve">causative </w:t>
      </w:r>
      <w:r w:rsidR="00B45DA6" w:rsidRPr="00FE2BA7">
        <w:rPr>
          <w:rFonts w:ascii="Century" w:eastAsia="MS Mincho" w:hAnsi="Century" w:cs="Times New Roman"/>
          <w:b/>
          <w:bCs/>
          <w:i/>
          <w:iCs/>
          <w:sz w:val="22"/>
        </w:rPr>
        <w:t>EYS</w:t>
      </w:r>
      <w:r w:rsidR="00B45DA6" w:rsidRPr="00FE2BA7">
        <w:rPr>
          <w:rFonts w:ascii="Century" w:eastAsia="MS Mincho" w:hAnsi="Century" w:cs="Times New Roman"/>
          <w:b/>
          <w:bCs/>
          <w:sz w:val="22"/>
        </w:rPr>
        <w:t xml:space="preserve"> </w:t>
      </w:r>
      <w:r w:rsidR="008A05BE" w:rsidRPr="00FE2BA7">
        <w:rPr>
          <w:rFonts w:ascii="Century" w:eastAsia="MS Mincho" w:hAnsi="Century" w:cs="Times New Roman"/>
          <w:b/>
          <w:bCs/>
          <w:sz w:val="22"/>
        </w:rPr>
        <w:t>gene.</w:t>
      </w:r>
      <w:r w:rsidR="008A05BE" w:rsidRPr="00FE2BA7">
        <w:rPr>
          <w:rFonts w:ascii="Century" w:hAnsi="Century" w:cstheme="majorHAnsi"/>
        </w:rPr>
        <w:t xml:space="preserve"> </w:t>
      </w:r>
      <w:r w:rsidR="008A05BE" w:rsidRPr="00FE2BA7">
        <w:rPr>
          <w:rFonts w:ascii="Century" w:hAnsi="Century" w:cstheme="majorHAnsi"/>
          <w:b/>
        </w:rPr>
        <w:t xml:space="preserve">(A) </w:t>
      </w:r>
      <w:r w:rsidR="008A05BE" w:rsidRPr="00FE2BA7">
        <w:rPr>
          <w:rFonts w:ascii="Century" w:hAnsi="Century" w:cstheme="majorHAnsi"/>
        </w:rPr>
        <w:t>The annual decrease rates of the residual EZ and hyper-AF areas are positively correlated (</w:t>
      </w:r>
      <w:r w:rsidR="008A05BE" w:rsidRPr="00FE2BA7">
        <w:rPr>
          <w:rFonts w:ascii="Century" w:eastAsia="Century" w:hAnsi="Century" w:cs="Century"/>
          <w:i/>
          <w:iCs/>
          <w:szCs w:val="21"/>
        </w:rPr>
        <w:t xml:space="preserve">P </w:t>
      </w:r>
      <w:r w:rsidR="00E9730C" w:rsidRPr="00FE2BA7">
        <w:rPr>
          <w:rFonts w:ascii="Century" w:eastAsia="Century" w:hAnsi="Century" w:cs="Century"/>
          <w:szCs w:val="21"/>
        </w:rPr>
        <w:t>=</w:t>
      </w:r>
      <w:r w:rsidR="008A05BE" w:rsidRPr="00FE2BA7">
        <w:rPr>
          <w:rFonts w:ascii="Century" w:eastAsia="Century" w:hAnsi="Century" w:cs="Century"/>
          <w:szCs w:val="21"/>
        </w:rPr>
        <w:t xml:space="preserve"> 0.000</w:t>
      </w:r>
      <w:r w:rsidR="00E9730C" w:rsidRPr="00FE2BA7">
        <w:rPr>
          <w:rFonts w:ascii="Century" w:hAnsi="Century" w:cs="Century"/>
          <w:szCs w:val="21"/>
        </w:rPr>
        <w:t>2</w:t>
      </w:r>
      <w:r w:rsidR="008A05BE" w:rsidRPr="00FE2BA7">
        <w:rPr>
          <w:rFonts w:ascii="Century" w:eastAsia="Century" w:hAnsi="Century" w:cs="Century"/>
          <w:szCs w:val="21"/>
        </w:rPr>
        <w:t>, r = 0.7</w:t>
      </w:r>
      <w:r w:rsidR="00E9730C" w:rsidRPr="00FE2BA7">
        <w:rPr>
          <w:rFonts w:ascii="Century" w:hAnsi="Century" w:cs="Century"/>
          <w:szCs w:val="21"/>
        </w:rPr>
        <w:t>8</w:t>
      </w:r>
      <w:r w:rsidR="008A05BE" w:rsidRPr="00FE2BA7">
        <w:rPr>
          <w:rFonts w:ascii="Century" w:eastAsia="Century" w:hAnsi="Century" w:cs="Century"/>
          <w:szCs w:val="21"/>
        </w:rPr>
        <w:t xml:space="preserve">). </w:t>
      </w:r>
      <w:r w:rsidR="008A05BE" w:rsidRPr="00FE2BA7">
        <w:rPr>
          <w:rFonts w:ascii="Century" w:hAnsi="Century" w:cstheme="majorHAnsi"/>
          <w:b/>
        </w:rPr>
        <w:t xml:space="preserve">(B) </w:t>
      </w:r>
      <w:r w:rsidR="008A05BE" w:rsidRPr="00FE2BA7">
        <w:rPr>
          <w:rFonts w:ascii="Century" w:eastAsia="Century" w:hAnsi="Century" w:cs="Century"/>
          <w:szCs w:val="21"/>
        </w:rPr>
        <w:t xml:space="preserve">The annual change rate of the residual EZ area does not </w:t>
      </w:r>
      <w:r w:rsidR="00B45DA6" w:rsidRPr="00FE2BA7">
        <w:rPr>
          <w:rFonts w:ascii="Century" w:eastAsia="Century" w:hAnsi="Century" w:cs="Century"/>
          <w:szCs w:val="21"/>
        </w:rPr>
        <w:t xml:space="preserve">display </w:t>
      </w:r>
      <w:r w:rsidR="008A05BE" w:rsidRPr="00FE2BA7">
        <w:rPr>
          <w:rFonts w:ascii="Century" w:eastAsia="Century" w:hAnsi="Century" w:cs="Century"/>
          <w:szCs w:val="21"/>
        </w:rPr>
        <w:t>a significant correlation with the MD slope (</w:t>
      </w:r>
      <w:r w:rsidR="008A05BE" w:rsidRPr="00FE2BA7">
        <w:rPr>
          <w:rFonts w:ascii="Century" w:eastAsia="Century" w:hAnsi="Century" w:cs="Century"/>
          <w:i/>
          <w:iCs/>
          <w:szCs w:val="21"/>
        </w:rPr>
        <w:t>P</w:t>
      </w:r>
      <w:r w:rsidR="008A05BE" w:rsidRPr="00FE2BA7">
        <w:rPr>
          <w:rFonts w:ascii="Century" w:eastAsia="Century" w:hAnsi="Century" w:cs="Century"/>
          <w:szCs w:val="21"/>
        </w:rPr>
        <w:t xml:space="preserve"> = 0.49, r = 0.0</w:t>
      </w:r>
      <w:r w:rsidR="00E9730C" w:rsidRPr="00FE2BA7">
        <w:rPr>
          <w:rFonts w:ascii="Century" w:hAnsi="Century" w:cs="Century"/>
          <w:szCs w:val="21"/>
        </w:rPr>
        <w:t>3</w:t>
      </w:r>
      <w:r w:rsidR="008A05BE" w:rsidRPr="00FE2BA7">
        <w:rPr>
          <w:rFonts w:ascii="Century" w:eastAsia="Century" w:hAnsi="Century" w:cs="Century"/>
          <w:szCs w:val="21"/>
        </w:rPr>
        <w:t xml:space="preserve">). </w:t>
      </w:r>
      <w:r w:rsidR="008A05BE" w:rsidRPr="00FE2BA7">
        <w:rPr>
          <w:rFonts w:ascii="Century" w:hAnsi="Century" w:cstheme="majorHAnsi"/>
          <w:b/>
        </w:rPr>
        <w:t xml:space="preserve">(C) </w:t>
      </w:r>
      <w:r w:rsidR="008A05BE" w:rsidRPr="00FE2BA7">
        <w:rPr>
          <w:rFonts w:ascii="Century" w:eastAsia="Century" w:hAnsi="Century" w:cs="Century"/>
          <w:szCs w:val="21"/>
        </w:rPr>
        <w:t xml:space="preserve">Faster </w:t>
      </w:r>
      <w:r w:rsidR="008A05BE" w:rsidRPr="00FE2BA7">
        <w:rPr>
          <w:rFonts w:ascii="Century" w:eastAsia="MS Mincho" w:hAnsi="Century" w:cs="MS Mincho"/>
          <w:szCs w:val="21"/>
        </w:rPr>
        <w:t xml:space="preserve">annual reduction rates of the </w:t>
      </w:r>
      <w:r w:rsidR="008A05BE" w:rsidRPr="00FE2BA7">
        <w:rPr>
          <w:rFonts w:ascii="Century" w:eastAsia="Century" w:hAnsi="Century" w:cs="Century"/>
          <w:szCs w:val="21"/>
        </w:rPr>
        <w:t xml:space="preserve">hyper-AF ring area are significantly correlated with a </w:t>
      </w:r>
      <w:r w:rsidR="00B45DA6" w:rsidRPr="00FE2BA7">
        <w:rPr>
          <w:rFonts w:ascii="Century" w:eastAsia="Century" w:hAnsi="Century" w:cs="Century"/>
          <w:szCs w:val="21"/>
        </w:rPr>
        <w:t xml:space="preserve">steeper </w:t>
      </w:r>
      <w:r w:rsidR="008A05BE" w:rsidRPr="00FE2BA7">
        <w:rPr>
          <w:rFonts w:ascii="Century" w:eastAsia="Century" w:hAnsi="Century" w:cs="Century"/>
          <w:szCs w:val="21"/>
        </w:rPr>
        <w:t>MD slope (</w:t>
      </w:r>
      <w:r w:rsidR="008A05BE" w:rsidRPr="00FE2BA7">
        <w:rPr>
          <w:rFonts w:ascii="Century" w:eastAsia="Century" w:hAnsi="Century" w:cs="Century"/>
          <w:i/>
          <w:iCs/>
          <w:szCs w:val="21"/>
        </w:rPr>
        <w:t>P</w:t>
      </w:r>
      <w:r w:rsidR="008A05BE" w:rsidRPr="00FE2BA7">
        <w:rPr>
          <w:rFonts w:ascii="Century" w:eastAsia="Century" w:hAnsi="Century" w:cs="Century"/>
          <w:szCs w:val="21"/>
        </w:rPr>
        <w:t xml:space="preserve"> = 0.0</w:t>
      </w:r>
      <w:r w:rsidR="00E9730C" w:rsidRPr="00FE2BA7">
        <w:rPr>
          <w:rFonts w:ascii="Century" w:hAnsi="Century" w:cs="Century"/>
          <w:szCs w:val="21"/>
        </w:rPr>
        <w:t>45</w:t>
      </w:r>
      <w:r w:rsidR="008A05BE" w:rsidRPr="00FE2BA7">
        <w:rPr>
          <w:rFonts w:ascii="Century" w:eastAsia="Century" w:hAnsi="Century" w:cs="Century"/>
          <w:szCs w:val="21"/>
        </w:rPr>
        <w:t>, r = 0.</w:t>
      </w:r>
      <w:r w:rsidR="00E9730C" w:rsidRPr="00FE2BA7">
        <w:rPr>
          <w:rFonts w:ascii="Century" w:eastAsia="Century" w:hAnsi="Century" w:cs="Century"/>
          <w:szCs w:val="21"/>
        </w:rPr>
        <w:t>48</w:t>
      </w:r>
      <w:r w:rsidR="008A05BE" w:rsidRPr="00FE2BA7">
        <w:rPr>
          <w:rFonts w:ascii="Century" w:eastAsia="Century" w:hAnsi="Century" w:cs="Century"/>
          <w:szCs w:val="21"/>
        </w:rPr>
        <w:t xml:space="preserve">). The dotted lines in </w:t>
      </w:r>
      <w:r w:rsidR="008A05BE" w:rsidRPr="00FE2BA7">
        <w:rPr>
          <w:rFonts w:ascii="Century" w:hAnsi="Century" w:cstheme="majorHAnsi"/>
          <w:b/>
        </w:rPr>
        <w:t xml:space="preserve">(A) </w:t>
      </w:r>
      <w:r w:rsidR="008A05BE" w:rsidRPr="00FE2BA7">
        <w:rPr>
          <w:rFonts w:ascii="Century" w:eastAsia="Century" w:hAnsi="Century" w:cs="Century"/>
          <w:szCs w:val="21"/>
        </w:rPr>
        <w:t xml:space="preserve">and </w:t>
      </w:r>
      <w:r w:rsidR="008A05BE" w:rsidRPr="00FE2BA7">
        <w:rPr>
          <w:rFonts w:ascii="Century" w:hAnsi="Century" w:cstheme="majorHAnsi"/>
          <w:b/>
        </w:rPr>
        <w:t xml:space="preserve">(C) </w:t>
      </w:r>
      <w:r w:rsidR="00B45DA6" w:rsidRPr="00FE2BA7">
        <w:rPr>
          <w:rFonts w:ascii="Century" w:eastAsia="Century" w:hAnsi="Century" w:cs="Century"/>
          <w:szCs w:val="21"/>
        </w:rPr>
        <w:t xml:space="preserve">denote </w:t>
      </w:r>
      <w:r w:rsidR="008A05BE" w:rsidRPr="00FE2BA7">
        <w:rPr>
          <w:rFonts w:ascii="Century" w:eastAsia="Century" w:hAnsi="Century" w:cs="Century"/>
          <w:szCs w:val="21"/>
        </w:rPr>
        <w:t xml:space="preserve">the </w:t>
      </w:r>
      <w:r w:rsidR="008A05BE" w:rsidRPr="00FE2BA7">
        <w:rPr>
          <w:rFonts w:ascii="Century" w:hAnsi="Century" w:cstheme="majorHAnsi"/>
        </w:rPr>
        <w:t>approximate straight line using linear regression analysis with the least-squares method.</w:t>
      </w:r>
    </w:p>
    <w:sectPr w:rsidR="008A05BE" w:rsidRPr="00FE2BA7" w:rsidSect="00F6180C">
      <w:headerReference w:type="default" r:id="rId10"/>
      <w:pgSz w:w="11906" w:h="16838"/>
      <w:pgMar w:top="1985" w:right="1701" w:bottom="1701" w:left="1701" w:header="851" w:footer="992" w:gutter="0"/>
      <w:lnNumType w:countBy="0" w:restart="continuous"/>
      <w:cols w:space="425"/>
      <w:docGrid w:type="lines" w:linePitch="360"/>
      <w:sectPrChange w:id="2" w:author="Navaneetha Krishnan M." w:date="2023-12-08T01:04:00Z">
        <w:sectPr w:rsidR="008A05BE" w:rsidRPr="00FE2BA7" w:rsidSect="00F6180C">
          <w:pgMar w:top="1985" w:right="1701" w:bottom="1701" w:left="1701" w:header="851" w:footer="992" w:gutter="0"/>
          <w:lnNumType w:countBy="1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9B77" w14:textId="77777777" w:rsidR="003952AE" w:rsidRDefault="003952AE">
      <w:r>
        <w:separator/>
      </w:r>
    </w:p>
  </w:endnote>
  <w:endnote w:type="continuationSeparator" w:id="0">
    <w:p w14:paraId="765DA2E5" w14:textId="77777777" w:rsidR="003952AE" w:rsidRDefault="0039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3DEE7" w14:textId="77777777" w:rsidR="003952AE" w:rsidRDefault="003952AE">
      <w:r>
        <w:separator/>
      </w:r>
    </w:p>
  </w:footnote>
  <w:footnote w:type="continuationSeparator" w:id="0">
    <w:p w14:paraId="77D32EE6" w14:textId="77777777" w:rsidR="003952AE" w:rsidRDefault="00395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8714332"/>
      <w:docPartObj>
        <w:docPartGallery w:val="Page Numbers (Top of Page)"/>
        <w:docPartUnique/>
      </w:docPartObj>
    </w:sdtPr>
    <w:sdtEndPr/>
    <w:sdtContent>
      <w:p w14:paraId="2147B4A3" w14:textId="77777777" w:rsidR="00A55430" w:rsidRDefault="00090EEE">
        <w:pPr>
          <w:pStyle w:val="Head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044FB">
          <w:rPr>
            <w:noProof/>
            <w:lang w:val="ja-JP"/>
          </w:rPr>
          <w:t>10</w:t>
        </w:r>
        <w:r>
          <w:fldChar w:fldCharType="end"/>
        </w:r>
      </w:p>
    </w:sdtContent>
  </w:sdt>
  <w:p w14:paraId="56E99E77" w14:textId="77777777" w:rsidR="00A55430" w:rsidRDefault="00A55430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vaneetha Krishnan M.">
    <w15:presenceInfo w15:providerId="None" w15:userId="Navaneetha Krishnan M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DateAndTime/>
  <w:bordersDoNotSurroundHeader/>
  <w:bordersDoNotSurroundFooter/>
  <w:proofState w:spelling="clean" w:grammar="clean"/>
  <w:revisionView w:markup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xMTcxMTWzNDQ0MrNQ0lEKTi0uzszPAykwrgUAoNQNlywAAAA="/>
  </w:docVars>
  <w:rsids>
    <w:rsidRoot w:val="00090EEE"/>
    <w:rsid w:val="00033E2F"/>
    <w:rsid w:val="0006733E"/>
    <w:rsid w:val="00067C4B"/>
    <w:rsid w:val="00090EEE"/>
    <w:rsid w:val="000941D1"/>
    <w:rsid w:val="000976F2"/>
    <w:rsid w:val="000A1DB3"/>
    <w:rsid w:val="000C04C3"/>
    <w:rsid w:val="000D4FCC"/>
    <w:rsid w:val="000E3AEF"/>
    <w:rsid w:val="000E5B9D"/>
    <w:rsid w:val="00172A37"/>
    <w:rsid w:val="001B28E2"/>
    <w:rsid w:val="001B6EF3"/>
    <w:rsid w:val="001B7D9B"/>
    <w:rsid w:val="001E1608"/>
    <w:rsid w:val="002063EC"/>
    <w:rsid w:val="00206E4C"/>
    <w:rsid w:val="00214DB4"/>
    <w:rsid w:val="0023325D"/>
    <w:rsid w:val="00233B13"/>
    <w:rsid w:val="00275826"/>
    <w:rsid w:val="00282C56"/>
    <w:rsid w:val="0029389B"/>
    <w:rsid w:val="002B18AF"/>
    <w:rsid w:val="002C0DCB"/>
    <w:rsid w:val="002C39B0"/>
    <w:rsid w:val="002F2F6C"/>
    <w:rsid w:val="0032035D"/>
    <w:rsid w:val="003952AE"/>
    <w:rsid w:val="00457FD5"/>
    <w:rsid w:val="00462D07"/>
    <w:rsid w:val="00471B8D"/>
    <w:rsid w:val="004827B1"/>
    <w:rsid w:val="00494A34"/>
    <w:rsid w:val="004B24BB"/>
    <w:rsid w:val="004B3DD8"/>
    <w:rsid w:val="00517275"/>
    <w:rsid w:val="00540C64"/>
    <w:rsid w:val="00590876"/>
    <w:rsid w:val="00593749"/>
    <w:rsid w:val="005B52A8"/>
    <w:rsid w:val="005B68F2"/>
    <w:rsid w:val="005F70F8"/>
    <w:rsid w:val="006507ED"/>
    <w:rsid w:val="00674974"/>
    <w:rsid w:val="00675479"/>
    <w:rsid w:val="00685C68"/>
    <w:rsid w:val="00694C3C"/>
    <w:rsid w:val="0069693B"/>
    <w:rsid w:val="006B4434"/>
    <w:rsid w:val="006E6694"/>
    <w:rsid w:val="00710F65"/>
    <w:rsid w:val="007168D6"/>
    <w:rsid w:val="00726AC9"/>
    <w:rsid w:val="00774CBC"/>
    <w:rsid w:val="007A2487"/>
    <w:rsid w:val="00806FE9"/>
    <w:rsid w:val="00861315"/>
    <w:rsid w:val="008700B7"/>
    <w:rsid w:val="008715B1"/>
    <w:rsid w:val="008A05BE"/>
    <w:rsid w:val="008C080D"/>
    <w:rsid w:val="0091588A"/>
    <w:rsid w:val="009171DB"/>
    <w:rsid w:val="009B4892"/>
    <w:rsid w:val="009F2C3F"/>
    <w:rsid w:val="00A21BF9"/>
    <w:rsid w:val="00A549EC"/>
    <w:rsid w:val="00A54F5A"/>
    <w:rsid w:val="00A55430"/>
    <w:rsid w:val="00A74894"/>
    <w:rsid w:val="00AE6BF4"/>
    <w:rsid w:val="00B02E6A"/>
    <w:rsid w:val="00B2764F"/>
    <w:rsid w:val="00B31956"/>
    <w:rsid w:val="00B43260"/>
    <w:rsid w:val="00B45DA6"/>
    <w:rsid w:val="00B46CD2"/>
    <w:rsid w:val="00B47EEC"/>
    <w:rsid w:val="00BD2016"/>
    <w:rsid w:val="00C10997"/>
    <w:rsid w:val="00C33A7E"/>
    <w:rsid w:val="00C70AE8"/>
    <w:rsid w:val="00C838B4"/>
    <w:rsid w:val="00CB7239"/>
    <w:rsid w:val="00D30A2D"/>
    <w:rsid w:val="00D87C70"/>
    <w:rsid w:val="00DC3D5E"/>
    <w:rsid w:val="00DD4EEC"/>
    <w:rsid w:val="00E20DCB"/>
    <w:rsid w:val="00E40E98"/>
    <w:rsid w:val="00E56F63"/>
    <w:rsid w:val="00E91AA3"/>
    <w:rsid w:val="00E9730C"/>
    <w:rsid w:val="00EA348B"/>
    <w:rsid w:val="00EB2328"/>
    <w:rsid w:val="00EC6322"/>
    <w:rsid w:val="00EF608C"/>
    <w:rsid w:val="00F07353"/>
    <w:rsid w:val="00F1069D"/>
    <w:rsid w:val="00F6180C"/>
    <w:rsid w:val="00FB4B47"/>
    <w:rsid w:val="00FE2BA7"/>
    <w:rsid w:val="00FE7372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E4122"/>
  <w15:chartTrackingRefBased/>
  <w15:docId w15:val="{8BBEFBE3-02E4-4311-8FA4-E5887EEF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E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EE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90EEE"/>
  </w:style>
  <w:style w:type="character" w:styleId="LineNumber">
    <w:name w:val="line number"/>
    <w:basedOn w:val="DefaultParagraphFont"/>
    <w:uiPriority w:val="99"/>
    <w:semiHidden/>
    <w:unhideWhenUsed/>
    <w:rsid w:val="00090EEE"/>
  </w:style>
  <w:style w:type="character" w:styleId="CommentReference">
    <w:name w:val="annotation reference"/>
    <w:basedOn w:val="DefaultParagraphFont"/>
    <w:uiPriority w:val="99"/>
    <w:semiHidden/>
    <w:unhideWhenUsed/>
    <w:rsid w:val="00090E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90EE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90EEE"/>
  </w:style>
  <w:style w:type="paragraph" w:styleId="Footer">
    <w:name w:val="footer"/>
    <w:basedOn w:val="Normal"/>
    <w:link w:val="FooterChar"/>
    <w:uiPriority w:val="99"/>
    <w:unhideWhenUsed/>
    <w:rsid w:val="000C04C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C04C3"/>
  </w:style>
  <w:style w:type="paragraph" w:styleId="Revision">
    <w:name w:val="Revision"/>
    <w:hidden/>
    <w:uiPriority w:val="99"/>
    <w:semiHidden/>
    <w:rsid w:val="000C04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1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CB827-0404-446B-ABAE-7D14AA26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智子 長谷川</dc:creator>
  <cp:keywords/>
  <dc:description/>
  <cp:lastModifiedBy>Navaneetha Krishnan M.</cp:lastModifiedBy>
  <cp:revision>4</cp:revision>
  <cp:lastPrinted>2022-06-27T07:51:00Z</cp:lastPrinted>
  <dcterms:created xsi:type="dcterms:W3CDTF">2023-11-20T05:51:00Z</dcterms:created>
  <dcterms:modified xsi:type="dcterms:W3CDTF">2023-12-07T19:34:00Z</dcterms:modified>
</cp:coreProperties>
</file>