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B3A95" w14:textId="73F883E8" w:rsidR="00A02FB6" w:rsidRPr="001A715A" w:rsidRDefault="001A715A" w:rsidP="001A715A">
      <w:pPr>
        <w:widowControl/>
        <w:spacing w:after="160"/>
        <w:jc w:val="center"/>
        <w:rPr>
          <w:rFonts w:ascii="Times New Roman" w:hAnsi="Times New Roman" w:cs="Times New Roman"/>
          <w:b/>
          <w:kern w:val="0"/>
          <w:sz w:val="24"/>
        </w:rPr>
      </w:pPr>
      <w:r w:rsidRPr="001A715A">
        <w:rPr>
          <w:rFonts w:ascii="Times New Roman" w:hAnsi="Times New Roman" w:cs="Times New Roman" w:hint="eastAsia"/>
          <w:b/>
          <w:kern w:val="0"/>
          <w:sz w:val="24"/>
        </w:rPr>
        <w:t>S</w:t>
      </w:r>
      <w:r w:rsidRPr="001A715A">
        <w:rPr>
          <w:rFonts w:ascii="Times New Roman" w:hAnsi="Times New Roman" w:cs="Times New Roman"/>
          <w:b/>
          <w:kern w:val="0"/>
          <w:sz w:val="24"/>
        </w:rPr>
        <w:t>upplementary materials</w:t>
      </w:r>
    </w:p>
    <w:p w14:paraId="34101D26" w14:textId="77777777" w:rsidR="001A715A" w:rsidRDefault="001A715A" w:rsidP="001A715A">
      <w:pPr>
        <w:widowControl/>
        <w:spacing w:after="160"/>
        <w:rPr>
          <w:rFonts w:ascii="Times New Roman" w:eastAsiaTheme="minorHAnsi" w:hAnsi="Times New Roman" w:cs="Times New Roman"/>
          <w:sz w:val="20"/>
          <w:lang w:eastAsia="en-US"/>
        </w:rPr>
      </w:pPr>
    </w:p>
    <w:p w14:paraId="1FE96082" w14:textId="60E10881" w:rsidR="001A715A" w:rsidRDefault="001A715A" w:rsidP="001A715A">
      <w:pPr>
        <w:widowControl/>
        <w:spacing w:after="160"/>
        <w:rPr>
          <w:rFonts w:ascii="Times New Roman" w:hAnsi="Times New Roman" w:cs="Times New Roman"/>
          <w:bCs/>
          <w:kern w:val="0"/>
          <w:sz w:val="22"/>
          <w:szCs w:val="22"/>
        </w:rPr>
      </w:pPr>
      <w:r>
        <w:rPr>
          <w:rFonts w:ascii="Times New Roman" w:eastAsiaTheme="minorHAnsi" w:hAnsi="Times New Roman" w:cs="Times New Roman"/>
          <w:sz w:val="20"/>
          <w:lang w:eastAsia="en-US"/>
        </w:rPr>
        <w:t>Supplementary Figure 1</w:t>
      </w:r>
      <w:r w:rsidRPr="00AC4EA1">
        <w:rPr>
          <w:rFonts w:ascii="Times New Roman" w:eastAsiaTheme="minorHAnsi" w:hAnsi="Times New Roman" w:cs="Times New Roman"/>
          <w:sz w:val="20"/>
          <w:lang w:eastAsia="en-US"/>
        </w:rPr>
        <w:t>.</w:t>
      </w:r>
    </w:p>
    <w:p w14:paraId="4E2420D2" w14:textId="71E1E845" w:rsidR="001A715A" w:rsidRDefault="001A715A" w:rsidP="001A715A">
      <w:pPr>
        <w:widowControl/>
        <w:spacing w:after="160"/>
        <w:rPr>
          <w:rFonts w:ascii="Times New Roman" w:hAnsi="Times New Roman" w:cs="Times New Roman"/>
          <w:bCs/>
          <w:kern w:val="0"/>
          <w:sz w:val="22"/>
          <w:szCs w:val="22"/>
        </w:rPr>
      </w:pPr>
      <w:r>
        <w:rPr>
          <w:rFonts w:ascii="Times New Roman" w:hAnsi="Times New Roman" w:cs="Times New Roman"/>
          <w:noProof/>
        </w:rPr>
        <w:drawing>
          <wp:inline distT="0" distB="0" distL="0" distR="0" wp14:anchorId="7A15EF11" wp14:editId="0802F187">
            <wp:extent cx="5270500" cy="21097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2109718"/>
                    </a:xfrm>
                    <a:prstGeom prst="rect">
                      <a:avLst/>
                    </a:prstGeom>
                  </pic:spPr>
                </pic:pic>
              </a:graphicData>
            </a:graphic>
          </wp:inline>
        </w:drawing>
      </w:r>
    </w:p>
    <w:p w14:paraId="459A693C" w14:textId="4EEC3D10" w:rsidR="001A715A" w:rsidRDefault="001A715A" w:rsidP="001A715A">
      <w:pPr>
        <w:widowControl/>
        <w:spacing w:after="160"/>
        <w:rPr>
          <w:rFonts w:ascii="Times New Roman" w:eastAsiaTheme="minorHAnsi" w:hAnsi="Times New Roman" w:cs="Times New Roman"/>
          <w:sz w:val="20"/>
          <w:lang w:eastAsia="en-US"/>
        </w:rPr>
      </w:pPr>
      <w:r>
        <w:rPr>
          <w:rFonts w:ascii="Times New Roman" w:eastAsiaTheme="minorHAnsi" w:hAnsi="Times New Roman" w:cs="Times New Roman"/>
          <w:sz w:val="20"/>
          <w:lang w:eastAsia="en-US"/>
        </w:rPr>
        <w:t>Supplementary Figure 1</w:t>
      </w:r>
      <w:r w:rsidRPr="00AC4EA1">
        <w:rPr>
          <w:rFonts w:ascii="Times New Roman" w:eastAsiaTheme="minorHAnsi" w:hAnsi="Times New Roman" w:cs="Times New Roman"/>
          <w:sz w:val="20"/>
          <w:lang w:eastAsia="en-US"/>
        </w:rPr>
        <w:t>.</w:t>
      </w:r>
      <w:r>
        <w:rPr>
          <w:rFonts w:ascii="Times New Roman" w:hAnsi="Times New Roman" w:cs="Times New Roman"/>
          <w:bCs/>
          <w:kern w:val="0"/>
          <w:sz w:val="22"/>
          <w:szCs w:val="22"/>
        </w:rPr>
        <w:t xml:space="preserve"> </w:t>
      </w:r>
      <w:r w:rsidRPr="00AC4EA1">
        <w:rPr>
          <w:rFonts w:ascii="Times New Roman" w:eastAsiaTheme="minorHAnsi" w:hAnsi="Times New Roman" w:cs="Times New Roman"/>
          <w:sz w:val="20"/>
          <w:lang w:eastAsia="en-US"/>
        </w:rPr>
        <w:t xml:space="preserve">Sorted F values in </w:t>
      </w:r>
      <w:r>
        <w:rPr>
          <w:rFonts w:ascii="Times New Roman" w:eastAsiaTheme="minorHAnsi" w:hAnsi="Times New Roman" w:cs="Times New Roman"/>
          <w:sz w:val="20"/>
          <w:lang w:eastAsia="en-US"/>
        </w:rPr>
        <w:t xml:space="preserve">the </w:t>
      </w:r>
      <w:r w:rsidRPr="00AC4EA1">
        <w:rPr>
          <w:rFonts w:ascii="Times New Roman" w:eastAsiaTheme="minorHAnsi" w:hAnsi="Times New Roman" w:cs="Times New Roman"/>
          <w:sz w:val="20"/>
          <w:lang w:eastAsia="en-US"/>
        </w:rPr>
        <w:t>functional activity variance map</w:t>
      </w:r>
      <w:r>
        <w:rPr>
          <w:rFonts w:ascii="Times New Roman" w:eastAsiaTheme="minorHAnsi" w:hAnsi="Times New Roman" w:cs="Times New Roman"/>
          <w:sz w:val="20"/>
          <w:lang w:eastAsia="en-US"/>
        </w:rPr>
        <w:t xml:space="preserve"> (left)</w:t>
      </w:r>
      <w:r w:rsidRPr="00AC4EA1">
        <w:rPr>
          <w:rFonts w:ascii="Times New Roman" w:eastAsiaTheme="minorHAnsi" w:hAnsi="Times New Roman" w:cs="Times New Roman"/>
          <w:sz w:val="20"/>
          <w:lang w:eastAsia="en-US"/>
        </w:rPr>
        <w:t xml:space="preserve"> and sorted SD values in grey matter density variance map</w:t>
      </w:r>
      <w:r>
        <w:rPr>
          <w:rFonts w:ascii="Times New Roman" w:eastAsiaTheme="minorHAnsi" w:hAnsi="Times New Roman" w:cs="Times New Roman"/>
          <w:sz w:val="20"/>
          <w:lang w:eastAsia="en-US"/>
        </w:rPr>
        <w:t xml:space="preserve"> (right)</w:t>
      </w:r>
      <w:r w:rsidRPr="00AC4EA1">
        <w:rPr>
          <w:rFonts w:ascii="Times New Roman" w:eastAsiaTheme="minorHAnsi" w:hAnsi="Times New Roman" w:cs="Times New Roman"/>
          <w:sz w:val="20"/>
          <w:lang w:eastAsia="en-US"/>
        </w:rPr>
        <w:t xml:space="preserve">, </w:t>
      </w:r>
      <w:r>
        <w:rPr>
          <w:rFonts w:ascii="Times New Roman" w:eastAsiaTheme="minorHAnsi" w:hAnsi="Times New Roman" w:cs="Times New Roman"/>
          <w:sz w:val="20"/>
          <w:lang w:eastAsia="en-US"/>
        </w:rPr>
        <w:t>with the</w:t>
      </w:r>
      <w:r w:rsidRPr="00AC4EA1">
        <w:rPr>
          <w:rFonts w:ascii="Times New Roman" w:eastAsiaTheme="minorHAnsi" w:hAnsi="Times New Roman" w:cs="Times New Roman"/>
          <w:sz w:val="20"/>
          <w:lang w:eastAsia="en-US"/>
        </w:rPr>
        <w:t xml:space="preserve"> corresponding change point in each map, which </w:t>
      </w:r>
      <w:r>
        <w:rPr>
          <w:rFonts w:ascii="Times New Roman" w:eastAsiaTheme="minorHAnsi" w:hAnsi="Times New Roman" w:cs="Times New Roman"/>
          <w:sz w:val="20"/>
          <w:lang w:eastAsia="en-US"/>
        </w:rPr>
        <w:t>was</w:t>
      </w:r>
      <w:r w:rsidRPr="00AC4EA1">
        <w:rPr>
          <w:rFonts w:ascii="Times New Roman" w:eastAsiaTheme="minorHAnsi" w:hAnsi="Times New Roman" w:cs="Times New Roman"/>
          <w:sz w:val="20"/>
          <w:lang w:eastAsia="en-US"/>
        </w:rPr>
        <w:t xml:space="preserve"> used as the cluster-forming threshold f</w:t>
      </w:r>
      <w:r>
        <w:rPr>
          <w:rFonts w:ascii="Times New Roman" w:eastAsiaTheme="minorHAnsi" w:hAnsi="Times New Roman" w:cs="Times New Roman"/>
          <w:sz w:val="20"/>
          <w:lang w:eastAsia="en-US"/>
        </w:rPr>
        <w:t>or the respective variance map.</w:t>
      </w:r>
    </w:p>
    <w:p w14:paraId="57EF728A" w14:textId="180A0F46" w:rsidR="001A715A" w:rsidRDefault="001A715A" w:rsidP="001A715A">
      <w:pPr>
        <w:widowControl/>
        <w:spacing w:after="160"/>
        <w:rPr>
          <w:rFonts w:ascii="Times New Roman" w:eastAsiaTheme="minorHAnsi" w:hAnsi="Times New Roman" w:cs="Times New Roman"/>
          <w:sz w:val="20"/>
          <w:lang w:eastAsia="en-US"/>
        </w:rPr>
      </w:pPr>
    </w:p>
    <w:p w14:paraId="54F89C90" w14:textId="5DCF900C" w:rsidR="001A715A" w:rsidRPr="001A715A" w:rsidRDefault="001A715A" w:rsidP="001A715A">
      <w:pPr>
        <w:widowControl/>
        <w:spacing w:after="160"/>
        <w:rPr>
          <w:rFonts w:ascii="Times New Roman" w:eastAsiaTheme="minorHAnsi" w:hAnsi="Times New Roman" w:cs="Times New Roman"/>
          <w:sz w:val="20"/>
          <w:lang w:eastAsia="en-US"/>
        </w:rPr>
      </w:pPr>
      <w:r w:rsidRPr="001A715A">
        <w:rPr>
          <w:rFonts w:ascii="Times New Roman" w:eastAsiaTheme="minorHAnsi" w:hAnsi="Times New Roman" w:cs="Times New Roman"/>
          <w:sz w:val="20"/>
          <w:lang w:eastAsia="en-US"/>
        </w:rPr>
        <w:t>Supplementary Figure 2.</w:t>
      </w:r>
    </w:p>
    <w:p w14:paraId="02988785" w14:textId="3C42F648" w:rsidR="001A715A" w:rsidRDefault="001A715A" w:rsidP="001A715A">
      <w:pPr>
        <w:widowControl/>
        <w:spacing w:after="160"/>
        <w:rPr>
          <w:rFonts w:ascii="Times New Roman" w:hAnsi="Times New Roman" w:cs="Times New Roman" w:hint="eastAsia"/>
          <w:bCs/>
          <w:kern w:val="0"/>
          <w:sz w:val="22"/>
          <w:szCs w:val="22"/>
        </w:rPr>
      </w:pPr>
      <w:r>
        <w:rPr>
          <w:rFonts w:ascii="Times New Roman" w:eastAsiaTheme="minorHAnsi" w:hAnsi="Times New Roman" w:cs="Times New Roman"/>
          <w:noProof/>
        </w:rPr>
        <w:drawing>
          <wp:inline distT="0" distB="0" distL="0" distR="0" wp14:anchorId="70B1DB70" wp14:editId="058AE369">
            <wp:extent cx="5270500" cy="20840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0500" cy="2084026"/>
                    </a:xfrm>
                    <a:prstGeom prst="rect">
                      <a:avLst/>
                    </a:prstGeom>
                  </pic:spPr>
                </pic:pic>
              </a:graphicData>
            </a:graphic>
          </wp:inline>
        </w:drawing>
      </w:r>
    </w:p>
    <w:p w14:paraId="6FEEF867" w14:textId="12DEED3F" w:rsidR="001A715A" w:rsidRDefault="001A715A" w:rsidP="001A715A">
      <w:pPr>
        <w:widowControl/>
        <w:spacing w:after="160"/>
        <w:rPr>
          <w:rFonts w:ascii="Times New Roman" w:eastAsiaTheme="minorHAnsi" w:hAnsi="Times New Roman" w:cs="Times New Roman"/>
          <w:sz w:val="20"/>
          <w:szCs w:val="20"/>
          <w:lang w:eastAsia="en-US"/>
        </w:rPr>
      </w:pPr>
      <w:r w:rsidRPr="00B1624F">
        <w:rPr>
          <w:rFonts w:ascii="Times New Roman" w:eastAsiaTheme="minorHAnsi" w:hAnsi="Times New Roman" w:cs="Times New Roman"/>
          <w:sz w:val="20"/>
          <w:szCs w:val="20"/>
          <w:lang w:eastAsia="en-US"/>
        </w:rPr>
        <w:t>Supplementary Figure 2. Correlations between variability of functional activity, or grey matter volume and language skills. Grey matter volume of RANG was positively correlated with reading decoding ability (ORRT scores) (r = 0.25, p = 0.015) and vocabulary comprehension ability (PVT scores) (r = 0.22, p = 0.031) after controlling for brain size variance</w:t>
      </w:r>
      <w:r>
        <w:rPr>
          <w:rFonts w:ascii="Times New Roman" w:eastAsiaTheme="minorHAnsi" w:hAnsi="Times New Roman" w:cs="Times New Roman"/>
          <w:sz w:val="20"/>
          <w:szCs w:val="20"/>
          <w:lang w:eastAsia="en-US"/>
        </w:rPr>
        <w:t>.</w:t>
      </w:r>
    </w:p>
    <w:p w14:paraId="0D4050EC" w14:textId="776D28B3" w:rsidR="001A715A" w:rsidRPr="001A715A" w:rsidRDefault="001A715A" w:rsidP="001A715A">
      <w:pPr>
        <w:widowControl/>
        <w:spacing w:after="160"/>
        <w:rPr>
          <w:rFonts w:ascii="Times New Roman" w:eastAsiaTheme="minorHAnsi" w:hAnsi="Times New Roman" w:cs="Times New Roman"/>
          <w:sz w:val="20"/>
          <w:lang w:eastAsia="en-US"/>
        </w:rPr>
      </w:pPr>
    </w:p>
    <w:p w14:paraId="31BF595C" w14:textId="7F843586" w:rsidR="001A715A" w:rsidRDefault="001A715A" w:rsidP="001A715A">
      <w:pPr>
        <w:widowControl/>
        <w:spacing w:after="160"/>
        <w:rPr>
          <w:rFonts w:ascii="Times New Roman" w:eastAsiaTheme="minorHAnsi" w:hAnsi="Times New Roman" w:cs="Times New Roman"/>
          <w:sz w:val="20"/>
          <w:lang w:eastAsia="en-US"/>
        </w:rPr>
      </w:pPr>
      <w:r w:rsidRPr="001A715A">
        <w:rPr>
          <w:rFonts w:ascii="Times New Roman" w:eastAsiaTheme="minorHAnsi" w:hAnsi="Times New Roman" w:cs="Times New Roman" w:hint="eastAsia"/>
          <w:sz w:val="20"/>
          <w:lang w:eastAsia="en-US"/>
        </w:rPr>
        <w:t>S</w:t>
      </w:r>
      <w:r w:rsidRPr="001A715A">
        <w:rPr>
          <w:rFonts w:ascii="Times New Roman" w:eastAsiaTheme="minorHAnsi" w:hAnsi="Times New Roman" w:cs="Times New Roman"/>
          <w:sz w:val="20"/>
          <w:lang w:eastAsia="en-US"/>
        </w:rPr>
        <w:t xml:space="preserve">upplementary Figure 3. </w:t>
      </w:r>
    </w:p>
    <w:p w14:paraId="0E063F68" w14:textId="514A0670" w:rsidR="001A715A" w:rsidRDefault="001A715A" w:rsidP="001A715A">
      <w:pPr>
        <w:widowControl/>
        <w:spacing w:after="160"/>
        <w:rPr>
          <w:rFonts w:ascii="Times New Roman" w:eastAsiaTheme="minorHAnsi" w:hAnsi="Times New Roman" w:cs="Times New Roman"/>
          <w:sz w:val="20"/>
          <w:lang w:eastAsia="en-US"/>
        </w:rPr>
      </w:pPr>
      <w:r>
        <w:rPr>
          <w:rFonts w:ascii="Times New Roman" w:eastAsiaTheme="minorHAnsi" w:hAnsi="Times New Roman" w:cs="Times New Roman"/>
          <w:noProof/>
          <w:color w:val="FF0000"/>
        </w:rPr>
        <w:lastRenderedPageBreak/>
        <w:drawing>
          <wp:inline distT="0" distB="0" distL="0" distR="0" wp14:anchorId="1E63DE75" wp14:editId="5C7A0CCD">
            <wp:extent cx="5270500" cy="15503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3.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1550319"/>
                    </a:xfrm>
                    <a:prstGeom prst="rect">
                      <a:avLst/>
                    </a:prstGeom>
                  </pic:spPr>
                </pic:pic>
              </a:graphicData>
            </a:graphic>
          </wp:inline>
        </w:drawing>
      </w:r>
    </w:p>
    <w:p w14:paraId="1FE5DB18" w14:textId="06EA7635" w:rsidR="001A715A" w:rsidRPr="001A715A" w:rsidRDefault="001A715A" w:rsidP="001A715A">
      <w:pPr>
        <w:rPr>
          <w:rFonts w:ascii="Times New Roman" w:eastAsia="Times New Roman" w:hAnsi="Times New Roman" w:cs="Times New Roman" w:hint="eastAsia"/>
          <w:color w:val="000000" w:themeColor="text1"/>
          <w:sz w:val="20"/>
          <w:szCs w:val="20"/>
        </w:rPr>
      </w:pPr>
      <w:r w:rsidRPr="00F862A3">
        <w:rPr>
          <w:rFonts w:ascii="Times New Roman" w:eastAsia="Times New Roman" w:hAnsi="Times New Roman" w:cs="Times New Roman"/>
          <w:color w:val="000000" w:themeColor="text1"/>
          <w:sz w:val="20"/>
          <w:szCs w:val="20"/>
        </w:rPr>
        <w:t xml:space="preserve">Supplementary Figure 3. Individual differences of the task-evoked and resting-state functional networks composed of thirteen regions of variance (ROVs). </w:t>
      </w:r>
      <w:proofErr w:type="spellStart"/>
      <w:r w:rsidRPr="00F862A3">
        <w:rPr>
          <w:rFonts w:ascii="Times New Roman" w:eastAsia="Times New Roman" w:hAnsi="Times New Roman" w:cs="Times New Roman"/>
          <w:color w:val="000000" w:themeColor="text1"/>
          <w:sz w:val="20"/>
          <w:szCs w:val="20"/>
        </w:rPr>
        <w:t>TsBFC-dCor</w:t>
      </w:r>
      <w:proofErr w:type="spellEnd"/>
      <w:r w:rsidRPr="00F862A3">
        <w:rPr>
          <w:rFonts w:ascii="Times New Roman" w:eastAsia="Times New Roman" w:hAnsi="Times New Roman" w:cs="Times New Roman"/>
          <w:color w:val="000000" w:themeColor="text1"/>
          <w:sz w:val="20"/>
          <w:szCs w:val="20"/>
        </w:rPr>
        <w:t xml:space="preserve"> (right) refers to the across-individual standard deviations (SDs) in the task-evoked functional network, and </w:t>
      </w:r>
      <w:proofErr w:type="spellStart"/>
      <w:r w:rsidRPr="00F862A3">
        <w:rPr>
          <w:rFonts w:ascii="Times New Roman" w:eastAsia="Times New Roman" w:hAnsi="Times New Roman" w:cs="Times New Roman"/>
          <w:color w:val="000000" w:themeColor="text1"/>
          <w:sz w:val="20"/>
          <w:szCs w:val="20"/>
        </w:rPr>
        <w:t>RsRFC-dCor</w:t>
      </w:r>
      <w:proofErr w:type="spellEnd"/>
      <w:r w:rsidRPr="00F862A3">
        <w:rPr>
          <w:rFonts w:ascii="Times New Roman" w:eastAsia="Times New Roman" w:hAnsi="Times New Roman" w:cs="Times New Roman"/>
          <w:color w:val="000000" w:themeColor="text1"/>
          <w:sz w:val="20"/>
          <w:szCs w:val="20"/>
        </w:rPr>
        <w:t xml:space="preserve"> (middle) refers to the SDs in the resting-state functional network. The left box plot indicated the across-individual SDs of 78 functional connectivity in resting state (orange) is significantly higher than in task state (white).</w:t>
      </w:r>
    </w:p>
    <w:sectPr w:rsidR="001A715A" w:rsidRPr="001A715A" w:rsidSect="001F0DE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5A"/>
    <w:rsid w:val="00050916"/>
    <w:rsid w:val="00061559"/>
    <w:rsid w:val="00117471"/>
    <w:rsid w:val="00142F21"/>
    <w:rsid w:val="00160DB7"/>
    <w:rsid w:val="001A715A"/>
    <w:rsid w:val="001F0DEF"/>
    <w:rsid w:val="001F7388"/>
    <w:rsid w:val="00272BC2"/>
    <w:rsid w:val="002E090D"/>
    <w:rsid w:val="003174F9"/>
    <w:rsid w:val="003E3CCC"/>
    <w:rsid w:val="00442ADD"/>
    <w:rsid w:val="00463315"/>
    <w:rsid w:val="00487D63"/>
    <w:rsid w:val="00497507"/>
    <w:rsid w:val="004C2E5E"/>
    <w:rsid w:val="004D2F29"/>
    <w:rsid w:val="00571935"/>
    <w:rsid w:val="00581E48"/>
    <w:rsid w:val="00587B17"/>
    <w:rsid w:val="005C7512"/>
    <w:rsid w:val="006336B4"/>
    <w:rsid w:val="00651DF2"/>
    <w:rsid w:val="00736A7A"/>
    <w:rsid w:val="007C6057"/>
    <w:rsid w:val="00864C22"/>
    <w:rsid w:val="008967E9"/>
    <w:rsid w:val="008A112E"/>
    <w:rsid w:val="008B04A8"/>
    <w:rsid w:val="008B4661"/>
    <w:rsid w:val="00906ACB"/>
    <w:rsid w:val="0099128B"/>
    <w:rsid w:val="00A02FB6"/>
    <w:rsid w:val="00AB3CD8"/>
    <w:rsid w:val="00B53C54"/>
    <w:rsid w:val="00BB7A84"/>
    <w:rsid w:val="00BF6F99"/>
    <w:rsid w:val="00C4400A"/>
    <w:rsid w:val="00C95D1E"/>
    <w:rsid w:val="00D05AD4"/>
    <w:rsid w:val="00D971A8"/>
    <w:rsid w:val="00DE29E9"/>
    <w:rsid w:val="00F24A13"/>
    <w:rsid w:val="00F3315E"/>
    <w:rsid w:val="00F53AC5"/>
    <w:rsid w:val="00FC1D2E"/>
    <w:rsid w:val="00FC5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F9202C"/>
  <w15:chartTrackingRefBased/>
  <w15:docId w15:val="{B94B8BD0-1835-9940-A5C4-BA9755F8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insn</dc:creator>
  <cp:keywords/>
  <dc:description/>
  <cp:lastModifiedBy>insn</cp:lastModifiedBy>
  <cp:revision>1</cp:revision>
  <dcterms:created xsi:type="dcterms:W3CDTF">2021-12-10T01:32:00Z</dcterms:created>
  <dcterms:modified xsi:type="dcterms:W3CDTF">2021-12-10T01:38:00Z</dcterms:modified>
</cp:coreProperties>
</file>