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BF339" w14:textId="77777777" w:rsidR="000A0A2B" w:rsidRDefault="00000000" w:rsidP="000A0A2B">
      <w:pPr>
        <w:pStyle w:val="MDPI14history"/>
        <w:spacing w:line="480" w:lineRule="auto"/>
        <w:rPr>
          <w:rFonts w:ascii="Times New Roman" w:eastAsia="Times New Roman" w:hAnsi="Times New Roman" w:cs="Times New Roman"/>
          <w:b/>
          <w:sz w:val="21"/>
        </w:rPr>
      </w:pPr>
      <w:r w:rsidRPr="009916E7">
        <w:rPr>
          <w:rFonts w:ascii="Times New Roman" w:eastAsia="Times New Roman" w:hAnsi="Times New Roman" w:cs="Times New Roman"/>
          <w:b/>
          <w:noProof/>
          <w:sz w:val="21"/>
          <w:lang w:val="en-US"/>
        </w:rPr>
        <w:drawing>
          <wp:inline distT="0" distB="0" distL="0" distR="0" wp14:anchorId="4C5B6B66" wp14:editId="6A33FBAC">
            <wp:extent cx="5396230" cy="4241800"/>
            <wp:effectExtent l="0" t="0" r="1270" b="0"/>
            <wp:docPr id="123957711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57711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24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E7E96" w14:textId="413405C5" w:rsidR="000A0A2B" w:rsidRDefault="00000000" w:rsidP="000A0A2B">
      <w:pPr>
        <w:pStyle w:val="MDPI14history"/>
        <w:spacing w:line="480" w:lineRule="auto"/>
        <w:rPr>
          <w:rFonts w:ascii="Times New Roman" w:eastAsia="Times New Roman" w:hAnsi="Times New Roman" w:cs="Times New Roman"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 xml:space="preserve">Supplemental Figure </w:t>
      </w:r>
      <w:r w:rsidR="0028521D">
        <w:rPr>
          <w:rFonts w:ascii="Times New Roman" w:eastAsia="Times New Roman" w:hAnsi="Times New Roman" w:cs="Times New Roman"/>
          <w:b/>
          <w:sz w:val="21"/>
        </w:rPr>
        <w:t>2</w:t>
      </w:r>
      <w:r>
        <w:rPr>
          <w:rFonts w:ascii="Times New Roman" w:eastAsia="Times New Roman" w:hAnsi="Times New Roman" w:cs="Times New Roman"/>
          <w:b/>
          <w:sz w:val="21"/>
        </w:rPr>
        <w:t>.</w:t>
      </w:r>
      <w:r>
        <w:rPr>
          <w:rFonts w:ascii="Times New Roman" w:eastAsia="Times New Roman" w:hAnsi="Times New Roman" w:cs="Times New Roman"/>
          <w:sz w:val="21"/>
        </w:rPr>
        <w:t xml:space="preserve"> </w:t>
      </w:r>
      <w:r>
        <w:rPr>
          <w:rFonts w:ascii="Times New Roman" w:eastAsia="Times New Roman" w:hAnsi="Times New Roman" w:cs="Times New Roman"/>
          <w:b/>
          <w:sz w:val="21"/>
        </w:rPr>
        <w:t xml:space="preserve">Effects of gefitinib on ucMGP </w:t>
      </w:r>
      <w:r w:rsidR="00E56CCA">
        <w:rPr>
          <w:rFonts w:ascii="Times New Roman" w:eastAsia="Times New Roman" w:hAnsi="Times New Roman" w:cs="Times New Roman"/>
          <w:b/>
          <w:sz w:val="21"/>
        </w:rPr>
        <w:t>protein expression</w:t>
      </w:r>
      <w:r w:rsidR="00EE5D9C">
        <w:rPr>
          <w:rFonts w:ascii="Times New Roman" w:eastAsia="Times New Roman" w:hAnsi="Times New Roman" w:cs="Times New Roman"/>
          <w:b/>
          <w:sz w:val="21"/>
        </w:rPr>
        <w:t xml:space="preserve"> and </w:t>
      </w:r>
      <w:r>
        <w:rPr>
          <w:rFonts w:ascii="Times New Roman" w:eastAsia="Times New Roman" w:hAnsi="Times New Roman" w:cs="Times New Roman"/>
          <w:b/>
          <w:sz w:val="21"/>
        </w:rPr>
        <w:t>GGCX</w:t>
      </w:r>
      <w:r w:rsidR="00E56CCA">
        <w:rPr>
          <w:rFonts w:ascii="Times New Roman" w:eastAsia="Times New Roman" w:hAnsi="Times New Roman" w:cs="Times New Roman"/>
          <w:b/>
          <w:sz w:val="21"/>
        </w:rPr>
        <w:t>,  VKORC1,</w:t>
      </w:r>
      <w:r w:rsidR="00EE5D9C">
        <w:rPr>
          <w:rFonts w:ascii="Times New Roman" w:eastAsia="Times New Roman" w:hAnsi="Times New Roman" w:cs="Times New Roman"/>
          <w:b/>
          <w:sz w:val="21"/>
        </w:rPr>
        <w:t xml:space="preserve"> and</w:t>
      </w:r>
      <w:r w:rsidR="00E56CCA">
        <w:rPr>
          <w:rFonts w:ascii="Times New Roman" w:eastAsia="Times New Roman" w:hAnsi="Times New Roman" w:cs="Times New Roman"/>
          <w:b/>
          <w:sz w:val="21"/>
        </w:rPr>
        <w:t xml:space="preserve"> VKORC1L1 mRNA </w:t>
      </w:r>
      <w:r>
        <w:rPr>
          <w:rFonts w:ascii="Times New Roman" w:eastAsia="Times New Roman" w:hAnsi="Times New Roman" w:cs="Times New Roman"/>
          <w:b/>
          <w:sz w:val="21"/>
        </w:rPr>
        <w:t xml:space="preserve">expression in HaCaT cells. </w:t>
      </w:r>
      <w:r>
        <w:rPr>
          <w:rFonts w:ascii="Times New Roman" w:eastAsia="Times New Roman" w:hAnsi="Times New Roman" w:cs="Times New Roman"/>
          <w:sz w:val="21"/>
        </w:rPr>
        <w:t>HaCaT cells were cultured with 0.</w:t>
      </w:r>
      <w:r w:rsidR="00C77A79">
        <w:rPr>
          <w:rFonts w:ascii="Times New Roman" w:eastAsia="Times New Roman" w:hAnsi="Times New Roman" w:cs="Times New Roman"/>
          <w:sz w:val="21"/>
        </w:rPr>
        <w:t>0</w:t>
      </w:r>
      <w:r>
        <w:rPr>
          <w:rFonts w:ascii="Times New Roman" w:eastAsia="Times New Roman" w:hAnsi="Times New Roman" w:cs="Times New Roman"/>
          <w:sz w:val="21"/>
        </w:rPr>
        <w:t>1</w:t>
      </w:r>
      <w:r w:rsidR="00C77A79">
        <w:rPr>
          <w:rFonts w:ascii="Times New Roman" w:eastAsia="Times New Roman" w:hAnsi="Times New Roman" w:cs="Times New Roman"/>
          <w:sz w:val="21"/>
        </w:rPr>
        <w:t xml:space="preserve">, 0.1 </w:t>
      </w:r>
      <w:r>
        <w:rPr>
          <w:rFonts w:ascii="Times New Roman" w:eastAsia="Times New Roman" w:hAnsi="Times New Roman" w:cs="Times New Roman"/>
          <w:sz w:val="21"/>
        </w:rPr>
        <w:t xml:space="preserve">or 1 µM gefitinib for 24 h. The quantification of ucMGP </w:t>
      </w:r>
      <w:r w:rsidR="001B73AA">
        <w:rPr>
          <w:rFonts w:ascii="Times New Roman" w:eastAsia="Times New Roman" w:hAnsi="Times New Roman" w:cs="Times New Roman"/>
          <w:sz w:val="21"/>
        </w:rPr>
        <w:t>level</w:t>
      </w:r>
      <w:r w:rsidR="00777895">
        <w:rPr>
          <w:rFonts w:ascii="Times New Roman" w:eastAsia="Times New Roman" w:hAnsi="Times New Roman" w:cs="Times New Roman"/>
          <w:sz w:val="21"/>
        </w:rPr>
        <w:t>s</w:t>
      </w:r>
      <w:r w:rsidR="001B73AA">
        <w:rPr>
          <w:rFonts w:ascii="Times New Roman" w:eastAsia="Times New Roman" w:hAnsi="Times New Roman" w:cs="Times New Roman"/>
          <w:sz w:val="21"/>
        </w:rPr>
        <w:t xml:space="preserve"> </w:t>
      </w:r>
      <w:r>
        <w:rPr>
          <w:rFonts w:ascii="Times New Roman" w:eastAsia="Times New Roman" w:hAnsi="Times New Roman" w:cs="Times New Roman"/>
          <w:sz w:val="21"/>
        </w:rPr>
        <w:t>in HaCaT cells was performed using ELISA (</w:t>
      </w:r>
      <w:r w:rsidR="007439A5">
        <w:rPr>
          <w:rFonts w:ascii="Times New Roman" w:eastAsia="Times New Roman" w:hAnsi="Times New Roman" w:cs="Times New Roman"/>
          <w:sz w:val="21"/>
        </w:rPr>
        <w:t>a</w:t>
      </w:r>
      <w:r>
        <w:rPr>
          <w:rFonts w:ascii="Times New Roman" w:eastAsia="Times New Roman" w:hAnsi="Times New Roman" w:cs="Times New Roman"/>
          <w:sz w:val="21"/>
        </w:rPr>
        <w:t xml:space="preserve">). </w:t>
      </w:r>
      <w:r w:rsidR="00C7214E" w:rsidRPr="00C7214E">
        <w:rPr>
          <w:rFonts w:ascii="Times New Roman" w:eastAsia="Times New Roman" w:hAnsi="Times New Roman" w:cs="Times New Roman"/>
          <w:sz w:val="21"/>
        </w:rPr>
        <w:t>HaCaT cells were seeded and harvested using the method described in Section 2.4. ucMGP levels in HaCaT cells were measured using a human ucMGP ELISA kit (Cusabio Biotech Co., Wuhan, China) according to the manufacturer’s instructions. Values were adjusted based on protein content, which was determined from the same plates.</w:t>
      </w:r>
      <w:r>
        <w:rPr>
          <w:rFonts w:ascii="Times New Roman" w:eastAsia="Times New Roman" w:hAnsi="Times New Roman" w:cs="Times New Roman"/>
          <w:sz w:val="21"/>
        </w:rPr>
        <w:t>The relative mRNA expression of GGCX</w:t>
      </w:r>
      <w:r w:rsidR="00E56CCA">
        <w:rPr>
          <w:rFonts w:ascii="Times New Roman" w:eastAsia="Times New Roman" w:hAnsi="Times New Roman" w:cs="Times New Roman"/>
          <w:sz w:val="21"/>
        </w:rPr>
        <w:t xml:space="preserve"> (b), VKORC1 (c),</w:t>
      </w:r>
      <w:r w:rsidR="00EE5D9C">
        <w:rPr>
          <w:rFonts w:ascii="Times New Roman" w:eastAsia="Times New Roman" w:hAnsi="Times New Roman" w:cs="Times New Roman"/>
          <w:sz w:val="21"/>
        </w:rPr>
        <w:t xml:space="preserve"> and</w:t>
      </w:r>
      <w:r w:rsidR="00E56CCA">
        <w:rPr>
          <w:rFonts w:ascii="Times New Roman" w:eastAsia="Times New Roman" w:hAnsi="Times New Roman" w:cs="Times New Roman"/>
          <w:sz w:val="21"/>
        </w:rPr>
        <w:t xml:space="preserve"> VKORC1L1 (d) </w:t>
      </w:r>
      <w:r w:rsidR="00EE5D9C">
        <w:rPr>
          <w:rFonts w:ascii="Times New Roman" w:eastAsia="Times New Roman" w:hAnsi="Times New Roman" w:cs="Times New Roman"/>
          <w:sz w:val="21"/>
        </w:rPr>
        <w:t xml:space="preserve">was </w:t>
      </w:r>
      <w:r>
        <w:rPr>
          <w:rFonts w:ascii="Times New Roman" w:eastAsia="Times New Roman" w:hAnsi="Times New Roman" w:cs="Times New Roman"/>
          <w:sz w:val="21"/>
        </w:rPr>
        <w:t>normali</w:t>
      </w:r>
      <w:r w:rsidR="004E4206">
        <w:rPr>
          <w:rFonts w:ascii="Times New Roman" w:eastAsia="Times New Roman" w:hAnsi="Times New Roman" w:cs="Times New Roman"/>
          <w:sz w:val="21"/>
        </w:rPr>
        <w:t>z</w:t>
      </w:r>
      <w:r>
        <w:rPr>
          <w:rFonts w:ascii="Times New Roman" w:eastAsia="Times New Roman" w:hAnsi="Times New Roman" w:cs="Times New Roman"/>
          <w:sz w:val="21"/>
        </w:rPr>
        <w:t>ed to that of GUSB, and the values represent means ± standard deviation (n = 3). * p &lt; 0.05, compared to the control. ucMGP, uncarboxylated matrix Gla protein; GUSB,</w:t>
      </w:r>
      <w:r>
        <w:rPr>
          <w:rFonts w:ascii="Times New Roman" w:eastAsia="Times New Roman" w:hAnsi="Times New Roman" w:cs="Times New Roman"/>
          <w:i/>
          <w:sz w:val="21"/>
        </w:rPr>
        <w:t xml:space="preserve"> </w:t>
      </w:r>
      <w:r>
        <w:rPr>
          <w:rFonts w:ascii="Times New Roman" w:eastAsia="Times New Roman" w:hAnsi="Times New Roman" w:cs="Times New Roman"/>
          <w:sz w:val="21"/>
        </w:rPr>
        <w:t>β-glucuronidase; GGCX, γ-glutamyl carboxylase</w:t>
      </w:r>
      <w:r w:rsidR="00E56CCA">
        <w:rPr>
          <w:rFonts w:ascii="Times New Roman" w:eastAsia="Times New Roman" w:hAnsi="Times New Roman" w:cs="Times New Roman"/>
          <w:sz w:val="21"/>
        </w:rPr>
        <w:t xml:space="preserve">; VKORC1, </w:t>
      </w:r>
      <w:r w:rsidR="00E56CCA" w:rsidRPr="00E56CCA">
        <w:rPr>
          <w:rFonts w:ascii="Times New Roman" w:eastAsia="Times New Roman" w:hAnsi="Times New Roman" w:cs="Times New Roman"/>
          <w:sz w:val="21"/>
        </w:rPr>
        <w:t>vitamin K epoxide reductase complex subunit 1</w:t>
      </w:r>
      <w:r>
        <w:rPr>
          <w:rFonts w:ascii="Times New Roman" w:eastAsia="Times New Roman" w:hAnsi="Times New Roman" w:cs="Times New Roman"/>
          <w:sz w:val="21"/>
        </w:rPr>
        <w:t>;</w:t>
      </w:r>
      <w:r w:rsidR="00E56CCA">
        <w:rPr>
          <w:rFonts w:ascii="Times New Roman" w:eastAsia="Times New Roman" w:hAnsi="Times New Roman" w:cs="Times New Roman"/>
          <w:sz w:val="21"/>
        </w:rPr>
        <w:t xml:space="preserve"> VKORC1L1, </w:t>
      </w:r>
      <w:r w:rsidR="00E56CCA" w:rsidRPr="00E56CCA">
        <w:rPr>
          <w:rFonts w:ascii="Times New Roman" w:eastAsia="Times New Roman" w:hAnsi="Times New Roman" w:cs="Times New Roman"/>
          <w:sz w:val="21"/>
        </w:rPr>
        <w:t xml:space="preserve">vitamin K </w:t>
      </w:r>
      <w:r w:rsidR="00E56CCA" w:rsidRPr="00E56CCA">
        <w:rPr>
          <w:rFonts w:ascii="Times New Roman" w:eastAsia="Times New Roman" w:hAnsi="Times New Roman" w:cs="Times New Roman"/>
          <w:sz w:val="21"/>
        </w:rPr>
        <w:lastRenderedPageBreak/>
        <w:t>epoxide reductase complex subunit 1-like 1</w:t>
      </w:r>
      <w:r w:rsidR="00E56CCA">
        <w:rPr>
          <w:rFonts w:ascii="Times New Roman" w:eastAsia="Times New Roman" w:hAnsi="Times New Roman" w:cs="Times New Roman"/>
          <w:sz w:val="21"/>
        </w:rPr>
        <w:t xml:space="preserve">; </w:t>
      </w:r>
      <w:r>
        <w:rPr>
          <w:rFonts w:ascii="Times New Roman" w:eastAsia="Times New Roman" w:hAnsi="Times New Roman" w:cs="Times New Roman"/>
          <w:sz w:val="21"/>
        </w:rPr>
        <w:t xml:space="preserve">ELISA, enzyme-linked immunosorbent assay; n.s., not significant </w:t>
      </w:r>
    </w:p>
    <w:p w14:paraId="61CB3920" w14:textId="77777777" w:rsidR="003F320A" w:rsidRPr="000A0A2B" w:rsidRDefault="003F320A">
      <w:pPr>
        <w:rPr>
          <w:lang w:val=""/>
        </w:rPr>
      </w:pPr>
    </w:p>
    <w:sectPr w:rsidR="003F320A" w:rsidRPr="000A0A2B" w:rsidSect="000814E9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A2B"/>
    <w:rsid w:val="00002188"/>
    <w:rsid w:val="00003F66"/>
    <w:rsid w:val="0003160F"/>
    <w:rsid w:val="00050758"/>
    <w:rsid w:val="00065B8A"/>
    <w:rsid w:val="00065F47"/>
    <w:rsid w:val="000774A2"/>
    <w:rsid w:val="000814E9"/>
    <w:rsid w:val="00084C56"/>
    <w:rsid w:val="000A0A2B"/>
    <w:rsid w:val="000A3C64"/>
    <w:rsid w:val="000D17E1"/>
    <w:rsid w:val="000D50F7"/>
    <w:rsid w:val="000F58E1"/>
    <w:rsid w:val="00103510"/>
    <w:rsid w:val="00150C0A"/>
    <w:rsid w:val="00156596"/>
    <w:rsid w:val="00161E69"/>
    <w:rsid w:val="001753DC"/>
    <w:rsid w:val="0018056F"/>
    <w:rsid w:val="001B73AA"/>
    <w:rsid w:val="001F04B4"/>
    <w:rsid w:val="00222029"/>
    <w:rsid w:val="0024224D"/>
    <w:rsid w:val="002429BA"/>
    <w:rsid w:val="002475D3"/>
    <w:rsid w:val="0028521D"/>
    <w:rsid w:val="002A4477"/>
    <w:rsid w:val="002D12C6"/>
    <w:rsid w:val="002E2455"/>
    <w:rsid w:val="002F1599"/>
    <w:rsid w:val="00304AED"/>
    <w:rsid w:val="003209D3"/>
    <w:rsid w:val="0032262C"/>
    <w:rsid w:val="00340532"/>
    <w:rsid w:val="003732F9"/>
    <w:rsid w:val="003F320A"/>
    <w:rsid w:val="0044219A"/>
    <w:rsid w:val="004469F7"/>
    <w:rsid w:val="00453CF0"/>
    <w:rsid w:val="00475F40"/>
    <w:rsid w:val="004C66D6"/>
    <w:rsid w:val="004E0A3A"/>
    <w:rsid w:val="004E4206"/>
    <w:rsid w:val="005452AC"/>
    <w:rsid w:val="00560136"/>
    <w:rsid w:val="0056511B"/>
    <w:rsid w:val="00570A5E"/>
    <w:rsid w:val="005753AD"/>
    <w:rsid w:val="005A43F0"/>
    <w:rsid w:val="005A67D9"/>
    <w:rsid w:val="005B6B49"/>
    <w:rsid w:val="005D6CD8"/>
    <w:rsid w:val="006020A7"/>
    <w:rsid w:val="006040EA"/>
    <w:rsid w:val="006154D5"/>
    <w:rsid w:val="00645031"/>
    <w:rsid w:val="006C693D"/>
    <w:rsid w:val="006D5A62"/>
    <w:rsid w:val="006F5127"/>
    <w:rsid w:val="00702713"/>
    <w:rsid w:val="00731ACF"/>
    <w:rsid w:val="00742121"/>
    <w:rsid w:val="007439A5"/>
    <w:rsid w:val="00750A7E"/>
    <w:rsid w:val="00766B2E"/>
    <w:rsid w:val="00777895"/>
    <w:rsid w:val="007A4A86"/>
    <w:rsid w:val="007D7DFC"/>
    <w:rsid w:val="0080089E"/>
    <w:rsid w:val="008077D7"/>
    <w:rsid w:val="008163CE"/>
    <w:rsid w:val="0082550C"/>
    <w:rsid w:val="00826713"/>
    <w:rsid w:val="0082673F"/>
    <w:rsid w:val="008443C6"/>
    <w:rsid w:val="0087181B"/>
    <w:rsid w:val="0087411D"/>
    <w:rsid w:val="00881923"/>
    <w:rsid w:val="008A094A"/>
    <w:rsid w:val="008B6981"/>
    <w:rsid w:val="008C3FDC"/>
    <w:rsid w:val="008E2E91"/>
    <w:rsid w:val="009005C9"/>
    <w:rsid w:val="00932004"/>
    <w:rsid w:val="00977BDC"/>
    <w:rsid w:val="009916E7"/>
    <w:rsid w:val="009932B2"/>
    <w:rsid w:val="00997E76"/>
    <w:rsid w:val="009A6B01"/>
    <w:rsid w:val="009C21D2"/>
    <w:rsid w:val="009D0E6D"/>
    <w:rsid w:val="00A10D44"/>
    <w:rsid w:val="00A33046"/>
    <w:rsid w:val="00A33704"/>
    <w:rsid w:val="00A345DE"/>
    <w:rsid w:val="00A42554"/>
    <w:rsid w:val="00A63A2C"/>
    <w:rsid w:val="00AA5D83"/>
    <w:rsid w:val="00B07A68"/>
    <w:rsid w:val="00B1362B"/>
    <w:rsid w:val="00B232C3"/>
    <w:rsid w:val="00B64CD6"/>
    <w:rsid w:val="00BC3B85"/>
    <w:rsid w:val="00BF6FEE"/>
    <w:rsid w:val="00C128F0"/>
    <w:rsid w:val="00C55C56"/>
    <w:rsid w:val="00C57909"/>
    <w:rsid w:val="00C666F7"/>
    <w:rsid w:val="00C7214E"/>
    <w:rsid w:val="00C769FF"/>
    <w:rsid w:val="00C77A79"/>
    <w:rsid w:val="00C87AC6"/>
    <w:rsid w:val="00CC133F"/>
    <w:rsid w:val="00D02B9E"/>
    <w:rsid w:val="00D06616"/>
    <w:rsid w:val="00D32CCA"/>
    <w:rsid w:val="00D43908"/>
    <w:rsid w:val="00D57081"/>
    <w:rsid w:val="00D75571"/>
    <w:rsid w:val="00DC751C"/>
    <w:rsid w:val="00DD2845"/>
    <w:rsid w:val="00E15418"/>
    <w:rsid w:val="00E168CB"/>
    <w:rsid w:val="00E3040F"/>
    <w:rsid w:val="00E56CCA"/>
    <w:rsid w:val="00E578FC"/>
    <w:rsid w:val="00E61958"/>
    <w:rsid w:val="00E76597"/>
    <w:rsid w:val="00ED1F18"/>
    <w:rsid w:val="00ED4606"/>
    <w:rsid w:val="00EE233C"/>
    <w:rsid w:val="00EE5D9C"/>
    <w:rsid w:val="00EF2D6C"/>
    <w:rsid w:val="00EF3A2C"/>
    <w:rsid w:val="00F00AFF"/>
    <w:rsid w:val="00F03DCD"/>
    <w:rsid w:val="00F23F9D"/>
    <w:rsid w:val="00F353AE"/>
    <w:rsid w:val="00F610C5"/>
    <w:rsid w:val="00F65B88"/>
    <w:rsid w:val="00F70917"/>
    <w:rsid w:val="00FC7122"/>
    <w:rsid w:val="00FE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D92B52"/>
  <w14:defaultImageDpi w14:val="32767"/>
  <w15:chartTrackingRefBased/>
  <w15:docId w15:val="{C569FD7C-C5C4-2E4C-84B4-3A185DEA6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0A0A2B"/>
    <w:rPr>
      <w:sz w:val="16"/>
    </w:rPr>
  </w:style>
  <w:style w:type="paragraph" w:customStyle="1" w:styleId="MDPI14history">
    <w:name w:val="MDPI_1.4_history"/>
    <w:basedOn w:val="a"/>
    <w:rsid w:val="000A0A2B"/>
    <w:pPr>
      <w:widowControl/>
      <w:snapToGrid w:val="0"/>
      <w:spacing w:before="120" w:after="200" w:line="200" w:lineRule="atLeast"/>
      <w:ind w:left="113"/>
      <w:jc w:val="left"/>
    </w:pPr>
    <w:rPr>
      <w:rFonts w:ascii="Palatino Linotype" w:eastAsia="Palatino Linotype" w:hAnsi="Palatino Linotype" w:cs="Palatino Linotype"/>
      <w:color w:val="000000"/>
      <w:sz w:val="18"/>
      <w:lang w:val=""/>
    </w:rPr>
  </w:style>
  <w:style w:type="paragraph" w:styleId="a4">
    <w:name w:val="annotation text"/>
    <w:basedOn w:val="a"/>
    <w:link w:val="a5"/>
    <w:rsid w:val="000A0A2B"/>
    <w:pPr>
      <w:widowControl/>
      <w:jc w:val="left"/>
    </w:pPr>
    <w:rPr>
      <w:rFonts w:ascii="Calibri" w:eastAsia="Calibri" w:hAnsi="Calibri" w:cs="Calibri"/>
      <w:sz w:val="20"/>
      <w:lang w:val=""/>
    </w:rPr>
  </w:style>
  <w:style w:type="character" w:customStyle="1" w:styleId="a5">
    <w:name w:val="コメント文字列 (文字)"/>
    <w:basedOn w:val="a0"/>
    <w:link w:val="a4"/>
    <w:rsid w:val="000A0A2B"/>
    <w:rPr>
      <w:rFonts w:ascii="Calibri" w:eastAsia="Calibri" w:hAnsi="Calibri" w:cs="Calibri"/>
      <w:sz w:val="20"/>
      <w:lang w:val=""/>
    </w:rPr>
  </w:style>
  <w:style w:type="paragraph" w:styleId="a6">
    <w:name w:val="Revision"/>
    <w:hidden/>
    <w:uiPriority w:val="99"/>
    <w:semiHidden/>
    <w:rsid w:val="004E4206"/>
  </w:style>
  <w:style w:type="paragraph" w:styleId="a7">
    <w:name w:val="annotation subject"/>
    <w:basedOn w:val="a4"/>
    <w:next w:val="a4"/>
    <w:link w:val="a8"/>
    <w:uiPriority w:val="99"/>
    <w:semiHidden/>
    <w:unhideWhenUsed/>
    <w:rsid w:val="000F58E1"/>
    <w:pPr>
      <w:widowControl w:val="0"/>
      <w:jc w:val="both"/>
    </w:pPr>
    <w:rPr>
      <w:rFonts w:asciiTheme="minorHAnsi" w:eastAsiaTheme="minorEastAsia" w:hAnsiTheme="minorHAnsi" w:cstheme="minorBidi"/>
      <w:b/>
      <w:bCs/>
      <w:szCs w:val="20"/>
      <w:lang w:val="en-US"/>
    </w:rPr>
  </w:style>
  <w:style w:type="character" w:customStyle="1" w:styleId="a8">
    <w:name w:val="コメント内容 (文字)"/>
    <w:basedOn w:val="a5"/>
    <w:link w:val="a7"/>
    <w:uiPriority w:val="99"/>
    <w:semiHidden/>
    <w:rsid w:val="000F58E1"/>
    <w:rPr>
      <w:rFonts w:ascii="Calibri" w:eastAsia="Calibri" w:hAnsi="Calibri" w:cs="Calibri"/>
      <w:b/>
      <w:bCs/>
      <w:sz w:val="20"/>
      <w:szCs w:val="20"/>
      <w:lang w:val="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後藤 将太朗</dc:creator>
  <cp:lastModifiedBy>後藤将太朗</cp:lastModifiedBy>
  <cp:revision>4</cp:revision>
  <dcterms:created xsi:type="dcterms:W3CDTF">2023-07-24T06:32:00Z</dcterms:created>
  <dcterms:modified xsi:type="dcterms:W3CDTF">2023-08-10T04:17:00Z</dcterms:modified>
</cp:coreProperties>
</file>