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465" w:rsidRDefault="00240465"/>
    <w:p w:rsidR="00240465" w:rsidRDefault="00240465"/>
    <w:p w:rsidR="00240465" w:rsidRDefault="00240465">
      <w:r>
        <w:rPr>
          <w:noProof/>
        </w:rPr>
        <w:drawing>
          <wp:inline distT="0" distB="0" distL="0" distR="0" wp14:anchorId="6570C060" wp14:editId="3190FD9D">
            <wp:extent cx="3733101" cy="2584454"/>
            <wp:effectExtent l="0" t="0" r="1270" b="6350"/>
            <wp:docPr id="215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8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646" cy="2586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240465" w:rsidRDefault="00240465" w:rsidP="00240465"/>
    <w:p w:rsidR="00240465" w:rsidRDefault="00E67C26" w:rsidP="00240465">
      <w:pPr>
        <w:tabs>
          <w:tab w:val="left" w:pos="47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12</w:t>
      </w:r>
      <w:r w:rsidR="0024046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40465" w:rsidRPr="008630F0">
        <w:rPr>
          <w:rFonts w:ascii="Times New Roman" w:hAnsi="Times New Roman" w:cs="Times New Roman"/>
          <w:sz w:val="24"/>
          <w:szCs w:val="24"/>
        </w:rPr>
        <w:t>Funnel plot to assess publication bias</w:t>
      </w:r>
      <w:r w:rsidR="00240465">
        <w:rPr>
          <w:rFonts w:ascii="Times New Roman" w:hAnsi="Times New Roman" w:cs="Times New Roman"/>
          <w:sz w:val="24"/>
          <w:szCs w:val="24"/>
        </w:rPr>
        <w:t xml:space="preserve"> in studies of children 15 to 17 years of age from Northern Africa.</w:t>
      </w:r>
    </w:p>
    <w:p w:rsidR="00240465" w:rsidRPr="00240465" w:rsidRDefault="00240465" w:rsidP="00240465"/>
    <w:sectPr w:rsidR="00240465" w:rsidRPr="002404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465"/>
    <w:rsid w:val="00240465"/>
    <w:rsid w:val="007E79AB"/>
    <w:rsid w:val="00DD3AC4"/>
    <w:rsid w:val="00E6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C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C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4</cp:revision>
  <dcterms:created xsi:type="dcterms:W3CDTF">2023-10-19T09:50:00Z</dcterms:created>
  <dcterms:modified xsi:type="dcterms:W3CDTF">2023-10-24T23:02:00Z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dccc99e6-57cc-43f9-9a5c-1673e4e4b326</vt:lpwstr>
  </property>
</Properties>
</file>