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48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Supplementary: Public Health-Focused Use of COVID-19 Rapid Antigen and PCR Tests</w:t>
      </w:r>
    </w:p>
    <w:p w:rsidR="00000000" w:rsidDel="00000000" w:rsidP="00000000" w:rsidRDefault="00000000" w:rsidRPr="00000000" w14:paraId="00000002">
      <w:pPr>
        <w:spacing w:line="480" w:lineRule="auto"/>
        <w:rPr>
          <w:b w:val="1"/>
        </w:rPr>
      </w:pPr>
      <w:r w:rsidDel="00000000" w:rsidR="00000000" w:rsidRPr="00000000">
        <w:rPr>
          <w:rtl w:val="0"/>
        </w:rPr>
        <w:t xml:space="preserve">Yonatan Woodbridge, Yair Goldberg, Sharon Amit, Naama M. Kopelman, Micha Mandel and Amit Huppert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480" w:lineRule="auto"/>
        <w:rPr/>
      </w:pPr>
      <w:r w:rsidDel="00000000" w:rsidR="00000000" w:rsidRPr="00000000">
        <w:rPr/>
        <w:drawing>
          <wp:inline distB="114300" distT="114300" distL="114300" distR="114300">
            <wp:extent cx="5943600" cy="3060700"/>
            <wp:effectExtent b="0" l="0" r="0" t="0"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0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480" w:lineRule="auto"/>
        <w:rPr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Fig. S1</w:t>
      </w:r>
      <w:r w:rsidDel="00000000" w:rsidR="00000000" w:rsidRPr="00000000">
        <w:rPr>
          <w:sz w:val="16"/>
          <w:szCs w:val="16"/>
          <w:rtl w:val="0"/>
        </w:rPr>
        <w:t xml:space="preserve"> Densities of Ct values in the study population (red) and overall population (blue). The two populations are described in Box A (blue curve) and Box C (red curve) of Figure 1. </w:t>
      </w:r>
    </w:p>
    <w:p w:rsidR="00000000" w:rsidDel="00000000" w:rsidP="00000000" w:rsidRDefault="00000000" w:rsidRPr="00000000" w14:paraId="0000000A">
      <w:pPr>
        <w:spacing w:line="480" w:lineRule="auto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48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-685798</wp:posOffset>
            </wp:positionH>
            <wp:positionV relativeFrom="paragraph">
              <wp:posOffset>114300</wp:posOffset>
            </wp:positionV>
            <wp:extent cx="7204159" cy="3709988"/>
            <wp:effectExtent b="0" l="0" r="0" t="0"/>
            <wp:wrapTopAndBottom distB="114300" distT="114300"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04159" cy="37099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E">
      <w:pPr>
        <w:spacing w:line="480" w:lineRule="auto"/>
        <w:rPr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Fig. S2</w:t>
      </w:r>
      <w:r w:rsidDel="00000000" w:rsidR="00000000" w:rsidRPr="00000000">
        <w:rPr>
          <w:sz w:val="16"/>
          <w:szCs w:val="16"/>
          <w:rtl w:val="0"/>
        </w:rPr>
        <w:t xml:space="preserve"> The AG detection probability vs Ct-levels for gene N of 5 labs, grouped by 4 different criteria (clockwise from upper left panel): calendar time in months, vaccination status, age group, and sex.  Vertical lines are proportion and 95% confidence interval calculated separately for each Ct integer value. The dashed lines are the univariate logistic regressions of Ct value on a positive AG test. </w:t>
      </w:r>
    </w:p>
    <w:p w:rsidR="00000000" w:rsidDel="00000000" w:rsidP="00000000" w:rsidRDefault="00000000" w:rsidRPr="00000000" w14:paraId="0000000F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480" w:lineRule="auto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480" w:lineRule="auto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480" w:lineRule="auto"/>
        <w:jc w:val="center"/>
        <w:rPr>
          <w:color w:val="222222"/>
          <w:highlight w:val="white"/>
        </w:rPr>
      </w:pPr>
      <w:r w:rsidDel="00000000" w:rsidR="00000000" w:rsidRPr="00000000">
        <w:rPr>
          <w:color w:val="222222"/>
          <w:highlight w:val="white"/>
        </w:rPr>
        <w:drawing>
          <wp:inline distB="114300" distT="114300" distL="114300" distR="114300">
            <wp:extent cx="4310063" cy="2873375"/>
            <wp:effectExtent b="0" l="0" r="0" t="0"/>
            <wp:docPr id="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10063" cy="28733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480" w:lineRule="auto"/>
        <w:rPr>
          <w:color w:val="222222"/>
          <w:highlight w:val="white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Fig. S3</w:t>
      </w:r>
      <w:r w:rsidDel="00000000" w:rsidR="00000000" w:rsidRPr="00000000">
        <w:rPr>
          <w:sz w:val="16"/>
          <w:szCs w:val="16"/>
          <w:rtl w:val="0"/>
        </w:rPr>
        <w:t xml:space="preserve"> The AG detection probability vs Ct-levels for gene N of 5 major  labs, grouped by lab.  Vertical lines are proportion and 95% confidence interval calculated separately for each Ct integer value. The dashed lines are the univariate logistic regressions of Ct value on a positive AG test.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480" w:lineRule="auto"/>
        <w:rPr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48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AlI28zCq4QaBAPu8oikNFk5xEw==">CgMxLjA4AGpLCjVzdWdnZXN0SWRJbXBvcnQ1NWM5OGUxNi00NWM4LTRkZDAtOGNhOS02N2U0OWY5MzNmOWNfMhISWW9uYXRhbiBXb29kYnJpZGdlaioKFHN1Z2dlc3QueGFrMzRtMmlsYmVsEhJZb25hdGFuIFdvb2RicmlkZ2VqKgoUc3VnZ2VzdC53cWpneWVpcXFibmgSEllvbmF0YW4gV29vZGJyaWRnZWojChNzdWdnZXN0LmVhbzFoczZxbDl5EgxhbWl0IEh1cHBlcnRqSwo1c3VnZ2VzdElkSW1wb3J0NTVjOThlMTYtNDVjOC00ZGQwLThjYTktNjdlNDlmOTMzZjljXzYSEllvbmF0YW4gV29vZGJyaWRnZXIhMTluUElsQVFYRnkwM082RnlMb2t1aG1hUFhsV2xyRk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