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before="81" w:line="263" w:lineRule="auto"/>
        <w:ind w:left="8" w:right="34" w:hanging="2"/>
        <w:jc w:val="left"/>
        <w:textAlignment w:val="baseline"/>
        <w:rPr>
          <w:rFonts w:hint="default" w:ascii="Arial" w:hAnsi="Arial" w:eastAsia="Arial" w:cs="Arial"/>
          <w:snapToGrid w:val="0"/>
          <w:color w:val="000000"/>
          <w:spacing w:val="-2"/>
          <w:kern w:val="0"/>
          <w:sz w:val="19"/>
          <w:szCs w:val="19"/>
        </w:rPr>
      </w:pPr>
      <w:r>
        <w:rPr>
          <w:rFonts w:hint="default" w:ascii="Arial" w:hAnsi="Arial" w:eastAsia="Arial" w:cs="Arial"/>
          <w:snapToGrid w:val="0"/>
          <w:color w:val="000000"/>
          <w:spacing w:val="-2"/>
          <w:kern w:val="0"/>
          <w:sz w:val="19"/>
          <w:szCs w:val="19"/>
        </w:rPr>
        <w:t>Supplementary Figure legends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81" w:line="263" w:lineRule="auto"/>
        <w:ind w:left="8" w:right="34" w:hanging="2"/>
        <w:jc w:val="left"/>
        <w:textAlignment w:val="baseline"/>
        <w:rPr>
          <w:rFonts w:hint="default" w:ascii="Arial" w:hAnsi="Arial" w:eastAsia="宋体" w:cs="Arial"/>
          <w:snapToGrid w:val="0"/>
          <w:color w:val="000000"/>
          <w:spacing w:val="-2"/>
          <w:kern w:val="0"/>
          <w:sz w:val="19"/>
          <w:szCs w:val="19"/>
          <w:lang w:val="en-US" w:eastAsia="zh-CN"/>
        </w:rPr>
      </w:pPr>
      <w:r>
        <w:rPr>
          <w:rFonts w:hint="default" w:ascii="Arial" w:hAnsi="Arial" w:eastAsia="Arial" w:cs="Arial"/>
          <w:snapToGrid w:val="0"/>
          <w:color w:val="000000"/>
          <w:spacing w:val="-2"/>
          <w:kern w:val="0"/>
          <w:sz w:val="19"/>
          <w:szCs w:val="19"/>
        </w:rPr>
        <w:t>Supplementary Figure</w:t>
      </w:r>
      <w:r>
        <w:rPr>
          <w:rFonts w:hint="eastAsia" w:ascii="Arial" w:hAnsi="Arial" w:eastAsia="宋体" w:cs="Arial"/>
          <w:snapToGrid w:val="0"/>
          <w:color w:val="000000"/>
          <w:spacing w:val="-2"/>
          <w:kern w:val="0"/>
          <w:sz w:val="19"/>
          <w:szCs w:val="19"/>
          <w:lang w:val="en-US" w:eastAsia="zh-CN"/>
        </w:rPr>
        <w:t xml:space="preserve"> 1. The workflow of the current study.</w:t>
      </w:r>
      <w:bookmarkStart w:id="0" w:name="_GoBack"/>
      <w:bookmarkEnd w:id="0"/>
    </w:p>
    <w:p>
      <w:pPr>
        <w:widowControl/>
        <w:kinsoku w:val="0"/>
        <w:autoSpaceDE w:val="0"/>
        <w:autoSpaceDN w:val="0"/>
        <w:adjustRightInd w:val="0"/>
        <w:snapToGrid w:val="0"/>
        <w:spacing w:before="81" w:line="263" w:lineRule="auto"/>
        <w:ind w:left="8" w:right="34" w:hanging="2"/>
        <w:jc w:val="left"/>
        <w:textAlignment w:val="baseline"/>
        <w:rPr>
          <w:rFonts w:hint="default" w:ascii="Arial" w:hAnsi="Arial" w:eastAsia="宋体" w:cs="Arial"/>
          <w:snapToGrid w:val="0"/>
          <w:color w:val="000000"/>
          <w:spacing w:val="-2"/>
          <w:kern w:val="0"/>
          <w:sz w:val="19"/>
          <w:szCs w:val="19"/>
          <w:lang w:val="en-US" w:eastAsia="zh-CN"/>
        </w:rPr>
      </w:pPr>
      <w:r>
        <w:rPr>
          <w:rFonts w:hint="default" w:ascii="Arial" w:hAnsi="Arial" w:eastAsia="Arial" w:cs="Arial"/>
          <w:snapToGrid w:val="0"/>
          <w:color w:val="000000"/>
          <w:spacing w:val="-2"/>
          <w:kern w:val="0"/>
          <w:sz w:val="19"/>
          <w:szCs w:val="19"/>
        </w:rPr>
        <w:t>Supplementary Figure</w:t>
      </w:r>
      <w:r>
        <w:rPr>
          <w:rFonts w:hint="eastAsia" w:ascii="Arial" w:hAnsi="Arial" w:eastAsia="宋体" w:cs="Arial"/>
          <w:snapToGrid w:val="0"/>
          <w:color w:val="000000"/>
          <w:spacing w:val="-2"/>
          <w:kern w:val="0"/>
          <w:sz w:val="19"/>
          <w:szCs w:val="19"/>
          <w:lang w:val="en-US" w:eastAsia="zh-CN"/>
        </w:rPr>
        <w:t xml:space="preserve"> 2. The expression of BTG2, PTTG1, TUBA4A, DDIT4, and SLA in TCGA.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0YWFlMjA1ZTMzZTA2MjYxZTk5MmFiMjQyYmZmMzEifQ=="/>
  </w:docVars>
  <w:rsids>
    <w:rsidRoot w:val="00000000"/>
    <w:rsid w:val="0D546D2D"/>
    <w:rsid w:val="254F363B"/>
    <w:rsid w:val="297724BE"/>
    <w:rsid w:val="504A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2023-11-12T10:07:00Z</dcterms:created>
  <dc:creator>fengj</dc:creator>
  <cp:lastModifiedBy>GFJ</cp:lastModifiedBy>
  <dcterms:modified xsi:type="dcterms:W3CDTF">2024-01-05T12:55:02Z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219316F1B6C74019A714C18B0E606A0C_12</vt:lpwstr>
  </property>
</Properties>
</file>