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F36A32" w14:textId="7EF18193" w:rsidR="001C0E85" w:rsidRPr="00F816F1" w:rsidRDefault="00FF75E5" w:rsidP="0062544C">
      <w:pPr>
        <w:spacing w:line="480" w:lineRule="auto"/>
        <w:jc w:val="both"/>
        <w:rPr>
          <w:b/>
          <w:bCs/>
        </w:rPr>
      </w:pPr>
      <w:bookmarkStart w:id="0" w:name="_GoBack"/>
      <w:r w:rsidRPr="00F816F1">
        <w:rPr>
          <w:b/>
          <w:bCs/>
        </w:rPr>
        <w:t>Supplemental Methods</w:t>
      </w:r>
    </w:p>
    <w:p w14:paraId="1204E103" w14:textId="77777777" w:rsidR="00F816F1" w:rsidRDefault="00F816F1" w:rsidP="0062544C">
      <w:pPr>
        <w:spacing w:line="480" w:lineRule="auto"/>
        <w:jc w:val="both"/>
      </w:pPr>
    </w:p>
    <w:p w14:paraId="6D0D5CC5" w14:textId="311A489F" w:rsidR="00D965E9" w:rsidRPr="00D965E9" w:rsidRDefault="002F5D6F" w:rsidP="0062544C">
      <w:pPr>
        <w:spacing w:line="480" w:lineRule="auto"/>
        <w:jc w:val="both"/>
      </w:pPr>
      <w:r w:rsidRPr="00C3652C">
        <w:rPr>
          <w:b/>
          <w:bCs/>
          <w:i/>
          <w:iCs/>
          <w:color w:val="212121"/>
          <w:shd w:val="clear" w:color="auto" w:fill="FFFFFF"/>
        </w:rPr>
        <w:t>Cell lines:</w:t>
      </w:r>
      <w:r>
        <w:rPr>
          <w:color w:val="212121"/>
          <w:shd w:val="clear" w:color="auto" w:fill="FFFFFF"/>
        </w:rPr>
        <w:t xml:space="preserve">  </w:t>
      </w:r>
      <w:r w:rsidR="00023494" w:rsidRPr="00023494">
        <w:rPr>
          <w:color w:val="212121"/>
          <w:shd w:val="clear" w:color="auto" w:fill="FFFFFF"/>
        </w:rPr>
        <w:t>Cell lines were maintained in indicated media</w:t>
      </w:r>
      <w:r w:rsidR="006B269C">
        <w:rPr>
          <w:color w:val="212121"/>
          <w:shd w:val="clear" w:color="auto" w:fill="FFFFFF"/>
        </w:rPr>
        <w:t xml:space="preserve">: </w:t>
      </w:r>
      <w:r w:rsidR="00023494" w:rsidRPr="00023494">
        <w:rPr>
          <w:color w:val="212121"/>
          <w:shd w:val="clear" w:color="auto" w:fill="FFFFFF"/>
        </w:rPr>
        <w:t xml:space="preserve"> RPMI-10% FBS (786-O, OVCA420, THP-1, Jurkat, HTR8-WPI and HTR8-FGL2), DMEM-10% FBS (U87 MG, A549, MCF-7, OVCAR-8) or OSE media with 10% FBS (TOV3041G)</w:t>
      </w:r>
      <w:r w:rsidR="00023494" w:rsidRPr="00023494">
        <w:t>.</w:t>
      </w:r>
      <w:r w:rsidR="00023494">
        <w:t xml:space="preserve"> </w:t>
      </w:r>
      <w:r w:rsidR="00FF75E5">
        <w:t xml:space="preserve">Cells were collected near confluency (80-90%), washed twice with PBS, and cell pellets resuspended in RLT Plus Lysis Buffer </w:t>
      </w:r>
      <w:r w:rsidR="00023494">
        <w:t xml:space="preserve">(Qiagen) </w:t>
      </w:r>
      <w:r w:rsidR="00FF75E5">
        <w:t>for RNA extraction or M-P</w:t>
      </w:r>
      <w:r w:rsidR="00F816F1">
        <w:t>ER</w:t>
      </w:r>
      <w:r w:rsidR="00FF75E5">
        <w:t xml:space="preserve"> Lysis buffer for protein extraction</w:t>
      </w:r>
      <w:r w:rsidR="00F816F1">
        <w:t xml:space="preserve"> </w:t>
      </w:r>
      <w:r w:rsidR="00F816F1" w:rsidRPr="0078647B">
        <w:t>(ThermoFisher</w:t>
      </w:r>
      <w:r w:rsidR="00F816F1">
        <w:t>)</w:t>
      </w:r>
      <w:r w:rsidR="00FF75E5">
        <w:t xml:space="preserve">. </w:t>
      </w:r>
      <w:r w:rsidR="00D965E9">
        <w:t xml:space="preserve">Placental cell line </w:t>
      </w:r>
      <w:r w:rsidR="00D965E9" w:rsidRPr="00D965E9">
        <w:t xml:space="preserve">HTR-8/SVneo </w:t>
      </w:r>
      <w:r w:rsidR="00D965E9">
        <w:t>with overexpression of FGL2 acted as our positive control. H</w:t>
      </w:r>
      <w:r w:rsidR="00D965E9" w:rsidRPr="00D965E9">
        <w:t>uman FGL2 cDNA was purchased (Integrated DNA Technologies) and cloned into the pWPI vector (Addgene plasmid #12254)</w:t>
      </w:r>
      <w:r w:rsidR="00D965E9">
        <w:t xml:space="preserve">. </w:t>
      </w:r>
      <w:r w:rsidR="00D965E9" w:rsidRPr="00D965E9">
        <w:t>pWPI and pWPI-hFGL2 plasmids were packaged into a lentivirus, by transfecting HEK293 cells with purified DNA and packaging components</w:t>
      </w:r>
      <w:r w:rsidR="00D965E9">
        <w:t xml:space="preserve">. </w:t>
      </w:r>
      <w:r w:rsidR="00D965E9" w:rsidRPr="00D965E9">
        <w:t xml:space="preserve">The HTR-8/SVneo cell lines were infected with both viruses (polybrene) and the successfully infected cells were isolated using fluorescence-activated cell sorting for GFP expression. </w:t>
      </w:r>
    </w:p>
    <w:p w14:paraId="4AA4262B" w14:textId="34ACEC60" w:rsidR="005717E2" w:rsidRDefault="005717E2" w:rsidP="0062544C">
      <w:pPr>
        <w:spacing w:line="480" w:lineRule="auto"/>
        <w:ind w:firstLine="720"/>
        <w:jc w:val="both"/>
      </w:pPr>
    </w:p>
    <w:p w14:paraId="713B8C2B" w14:textId="122C51F2" w:rsidR="005717E2" w:rsidRPr="006B1BC8" w:rsidRDefault="002F5D6F" w:rsidP="0062544C">
      <w:pPr>
        <w:spacing w:line="480" w:lineRule="auto"/>
        <w:jc w:val="both"/>
      </w:pPr>
      <w:r w:rsidRPr="00C3652C">
        <w:rPr>
          <w:b/>
          <w:bCs/>
          <w:i/>
          <w:iCs/>
        </w:rPr>
        <w:t>RT-qPCR:</w:t>
      </w:r>
      <w:r>
        <w:t xml:space="preserve">  </w:t>
      </w:r>
      <w:r w:rsidR="00023494">
        <w:t xml:space="preserve">RNA was extracted according to </w:t>
      </w:r>
      <w:r w:rsidR="00BD6619">
        <w:t>manufacturer’s</w:t>
      </w:r>
      <w:r w:rsidR="00023494">
        <w:t xml:space="preserve"> protocol </w:t>
      </w:r>
      <w:r w:rsidR="00023494" w:rsidRPr="007B028D">
        <w:rPr>
          <w:color w:val="000000" w:themeColor="text1"/>
          <w:shd w:val="clear" w:color="auto" w:fill="FFFFFF"/>
          <w:lang w:val="en-US"/>
        </w:rPr>
        <w:t>with the RNeasy Plus Mini Kit (Qiagen).</w:t>
      </w:r>
      <w:r w:rsidR="00023494">
        <w:rPr>
          <w:color w:val="000000" w:themeColor="text1"/>
          <w:shd w:val="clear" w:color="auto" w:fill="FFFFFF"/>
          <w:lang w:val="en-US"/>
        </w:rPr>
        <w:t xml:space="preserve"> </w:t>
      </w:r>
      <w:r w:rsidR="00023494" w:rsidRPr="007B028D">
        <w:rPr>
          <w:color w:val="000000"/>
        </w:rPr>
        <w:t>cDNA was prepared with iScript Reverse Transcription Supermix (Bio-Rad), using 1μg of RNA. Relative gene expression was determined by qPCR SYBR Green Supermix (Bio-Rad)</w:t>
      </w:r>
      <w:r w:rsidR="006B1BC8">
        <w:rPr>
          <w:color w:val="000000"/>
        </w:rPr>
        <w:t xml:space="preserve"> using</w:t>
      </w:r>
      <w:r w:rsidR="00D965E9">
        <w:rPr>
          <w:color w:val="000000"/>
        </w:rPr>
        <w:t xml:space="preserve"> t</w:t>
      </w:r>
      <w:r w:rsidR="00D965E9">
        <w:t>he ABI 7500 FAST (Applied Biosystems)</w:t>
      </w:r>
      <w:r w:rsidR="006B1BC8">
        <w:t xml:space="preserve"> machine and its software. </w:t>
      </w:r>
      <w:r w:rsidR="00023494" w:rsidRPr="007B028D">
        <w:rPr>
          <w:color w:val="000000"/>
        </w:rPr>
        <w:t xml:space="preserve">Gene expression was calculated as fold increase over </w:t>
      </w:r>
      <w:r w:rsidR="00023494">
        <w:rPr>
          <w:color w:val="000000"/>
        </w:rPr>
        <w:t>THP-1 cells (</w:t>
      </w:r>
      <w:r>
        <w:rPr>
          <w:color w:val="000000"/>
        </w:rPr>
        <w:t>m</w:t>
      </w:r>
      <w:r w:rsidR="00023494">
        <w:rPr>
          <w:color w:val="000000"/>
        </w:rPr>
        <w:t>onocytes)</w:t>
      </w:r>
      <w:r w:rsidR="00023494" w:rsidRPr="007B028D">
        <w:rPr>
          <w:color w:val="000000"/>
        </w:rPr>
        <w:t xml:space="preserve"> </w:t>
      </w:r>
      <w:r w:rsidR="00023494">
        <w:rPr>
          <w:color w:val="000000"/>
        </w:rPr>
        <w:t xml:space="preserve">and </w:t>
      </w:r>
      <w:r w:rsidR="00023494" w:rsidRPr="007B028D">
        <w:rPr>
          <w:color w:val="000000"/>
        </w:rPr>
        <w:t xml:space="preserve">normalized to the housekeeping gene </w:t>
      </w:r>
      <w:r w:rsidR="00023494">
        <w:rPr>
          <w:i/>
          <w:color w:val="000000"/>
        </w:rPr>
        <w:t>Ppia</w:t>
      </w:r>
      <w:r w:rsidR="00F816F1">
        <w:rPr>
          <w:i/>
          <w:color w:val="000000"/>
        </w:rPr>
        <w:t xml:space="preserve">. </w:t>
      </w:r>
    </w:p>
    <w:p w14:paraId="24E61793" w14:textId="77777777" w:rsidR="005717E2" w:rsidRDefault="005717E2" w:rsidP="0062544C">
      <w:pPr>
        <w:spacing w:line="480" w:lineRule="auto"/>
        <w:jc w:val="both"/>
        <w:rPr>
          <w:i/>
          <w:color w:val="000000"/>
        </w:rPr>
      </w:pPr>
    </w:p>
    <w:p w14:paraId="183C8EE7" w14:textId="64C56500" w:rsidR="00023494" w:rsidRPr="0062544C" w:rsidRDefault="00331045" w:rsidP="0062544C">
      <w:pPr>
        <w:spacing w:line="480" w:lineRule="auto"/>
        <w:jc w:val="both"/>
      </w:pPr>
      <w:r w:rsidRPr="00C3652C">
        <w:rPr>
          <w:b/>
          <w:bCs/>
          <w:i/>
          <w:iCs/>
        </w:rPr>
        <w:t>Western blots:</w:t>
      </w:r>
      <w:r>
        <w:t xml:space="preserve">  </w:t>
      </w:r>
      <w:r w:rsidR="00F816F1" w:rsidRPr="0078647B">
        <w:t>Equal quantities of isolated protein samples were loaded and separated using pre-cast NuPage 7-12% Tris-acetate gel (Life Technologies) and transferred at 1</w:t>
      </w:r>
      <w:r w:rsidR="005717E2">
        <w:t>60</w:t>
      </w:r>
      <w:r w:rsidR="00F816F1" w:rsidRPr="0078647B">
        <w:t xml:space="preserve">V for 1 hour (hr) </w:t>
      </w:r>
      <w:r w:rsidR="00F816F1" w:rsidRPr="0078647B">
        <w:lastRenderedPageBreak/>
        <w:t>onto a PDVF membrane (Millipore). Transferred blots were blocked in blocking solution of TBST-5% milk (Tris-buffered saline (TBS), 0.1% Tween, 5% non-fat powdered milk) for 30 minutes at</w:t>
      </w:r>
      <w:r w:rsidR="002F5D6F">
        <w:t xml:space="preserve"> room temperature</w:t>
      </w:r>
      <w:r w:rsidR="00F816F1" w:rsidRPr="0078647B">
        <w:t xml:space="preserve"> </w:t>
      </w:r>
      <w:r w:rsidR="002F5D6F">
        <w:t>(</w:t>
      </w:r>
      <w:r w:rsidR="00F816F1" w:rsidRPr="0078647B">
        <w:t>RT</w:t>
      </w:r>
      <w:r w:rsidR="002F5D6F">
        <w:t>)</w:t>
      </w:r>
      <w:r w:rsidR="00F816F1" w:rsidRPr="0078647B">
        <w:t>.  Primary antibodies were diluted in blocking buffer and incubated for 1 hour at RT (Actin</w:t>
      </w:r>
      <w:r w:rsidR="002F5D6F">
        <w:t>,</w:t>
      </w:r>
      <w:r w:rsidR="00F816F1" w:rsidRPr="0078647B">
        <w:t xml:space="preserve"> Sigma A2228, 1:10000) or overnight at 4</w:t>
      </w:r>
      <w:r w:rsidR="00F816F1" w:rsidRPr="0078647B">
        <w:rPr>
          <w:color w:val="000000"/>
        </w:rPr>
        <w:t>°C</w:t>
      </w:r>
      <w:r w:rsidR="00F816F1" w:rsidRPr="0078647B">
        <w:t xml:space="preserve"> (</w:t>
      </w:r>
      <w:r w:rsidR="0036549D">
        <w:t>FGL2) H</w:t>
      </w:r>
      <w:r w:rsidR="00F816F1" w:rsidRPr="0078647B">
        <w:t xml:space="preserve">uman </w:t>
      </w:r>
      <w:r w:rsidR="005717E2">
        <w:t xml:space="preserve">polyclonal </w:t>
      </w:r>
      <w:r w:rsidR="00F816F1" w:rsidRPr="0078647B">
        <w:t xml:space="preserve">FGL2 </w:t>
      </w:r>
      <w:r w:rsidR="002F5D6F">
        <w:t xml:space="preserve">antibodies were </w:t>
      </w:r>
      <w:r w:rsidR="005717E2">
        <w:t>generated in house by Dr. Gary Levy</w:t>
      </w:r>
      <w:r w:rsidR="001B75D7">
        <w:t xml:space="preserve"> </w:t>
      </w:r>
      <w:r w:rsidR="0036549D">
        <w:fldChar w:fldCharType="begin"/>
      </w:r>
      <w:r w:rsidR="001B75D7">
        <w:instrText xml:space="preserve"> ADDIN ZOTERO_ITEM CSL_CITATION {"citationID":"Z2UmTO4I","properties":{"formattedCitation":"(1)","plainCitation":"(1)","noteIndex":0},"citationItems":[{"id":1137,"uris":["http://zotero.org/users/2228811/items/JGNG8V48"],"itemData":{"id":1137,"type":"article-journal","abstract":"BACKGROUND &amp; AIMS: This report describes the use of a novel sensitive and specific ELISA for the measurement of human fibrinogen-like protein 2 (FGL2/fibroleukin), a novel effector of natural regulatory T (Treg) cells, to predict the course of chronic hepatitis C viral infection (HCV).\nMETHODS: Plasma levels of FGL2 were measured in HCV patients and compared to healthy controls and to patients with alcoholic liver disease.\nRESULTS: FGL2 levels were significantly higher in HCV patients (84.3+/-89.1 ng/ml, n=80) compared to healthy controls (36.4+/-21.9 ng/ml, n=30, p&lt;0.001), to a subset of patients who cleared HCV following anti-viral treatment (16.6+/-19.7 ng/ml, n=32, p&lt;0.001), and to patients with inactive alcoholic liver disease (18.8+/-17.4 ng/ml, n=24, p&lt;0.001). Among HCV patients, plasma levels of FGL2 correlated significantly with the stage of fibrosis (p=0.001) and were significantly higher in patients with cirrhosis (164.1+121.8 ng/ml, n=60) compared to non-cirrhotics (57.7+/-52.8 ng/ml, n=20, p=0.001). Genotype 1 patients had significantly higher levels of FGL2 (98.1+/-100.3 ng/ml, n=60) compared to patients with genotype 2/3 (41.5+/-38.6 ng/ml, n=20, p=0.0008). Patients with genotype 2/3 had FGL2 levels similar to healthy controls (41.5+/-38.6 vs. 36.41+/-21.9 ng/ml, p=ns). Infiltrating lymphocytes in liver biopsies of HCV patients were positive for either FGL2 or FoxP3 (a marker of Treg cells) or expressed both markers.\nCONCLUSIONS: This report documents the development of a sensitive ELISA for measurement of plasma levels of FGL2 an effector Treg cells, which correlates with the severity of HCV infection.","container-title":"Journal of Hepatology","DOI":"10.1016/j.jhep.2010.04.020","ISSN":"1600-0641","issue":"4","journalAbbreviation":"J. Hepatol.","language":"eng","note":"PMID: 20615566","page":"608-615","source":"PubMed","title":"The novel immunoregulatory molecule FGL2: a potential biomarker for severity of chronic hepatitis C virus infection","title-short":"The novel immunoregulatory molecule FGL2","volume":"53","author":[{"family":"Foerster","given":"Katharina"},{"family":"Helmy","given":"Ahmed"},{"family":"Zhu","given":"Yi"},{"family":"Khattar","given":"Ramzi"},{"family":"Adeyi","given":"Oyedele A."},{"family":"Wong","given":"Kit Man"},{"family":"Shalev","given":"Itay"},{"family":"Clark","given":"David A."},{"family":"Wong","given":"Pui-Yuen"},{"family":"Heathcote","given":"Elizabeth J."},{"family":"Phillips","given":"Melville J."},{"family":"Grant","given":"David R."},{"family":"Renner","given":"Eberhard L."},{"family":"Levy","given":"Gary A."},{"family":"Selzner","given":"Nazia"}],"issued":{"date-parts":[["2010",10]]}}}],"schema":"https://github.com/citation-style-language/schema/raw/master/csl-citation.json"} </w:instrText>
      </w:r>
      <w:r w:rsidR="0036549D">
        <w:fldChar w:fldCharType="separate"/>
      </w:r>
      <w:r w:rsidR="001B75D7">
        <w:rPr>
          <w:lang w:val="en-US"/>
        </w:rPr>
        <w:t>(1)</w:t>
      </w:r>
      <w:r w:rsidR="0036549D">
        <w:fldChar w:fldCharType="end"/>
      </w:r>
      <w:r w:rsidR="0036549D" w:rsidRPr="0036549D">
        <w:rPr>
          <w:rStyle w:val="FootnoteReference"/>
          <w:color w:val="FFFFFF" w:themeColor="background1"/>
        </w:rPr>
        <w:footnoteReference w:id="1"/>
      </w:r>
      <w:r w:rsidR="0036549D">
        <w:t>(</w:t>
      </w:r>
      <w:r w:rsidR="00F816F1" w:rsidRPr="0078647B">
        <w:t>1:500</w:t>
      </w:r>
      <w:r w:rsidR="0036549D">
        <w:t>) and alternatively the human FGL2 antibody was purchased from</w:t>
      </w:r>
      <w:r w:rsidR="00F816F1" w:rsidRPr="0078647B">
        <w:t xml:space="preserve"> </w:t>
      </w:r>
      <w:r w:rsidR="005717E2">
        <w:t>Abnova (6D9)</w:t>
      </w:r>
      <w:r w:rsidR="00F816F1" w:rsidRPr="0078647B">
        <w:t xml:space="preserve"> </w:t>
      </w:r>
      <w:r w:rsidR="0036549D">
        <w:t>(</w:t>
      </w:r>
      <w:r w:rsidR="00F816F1" w:rsidRPr="0078647B">
        <w:t>1:500). Secondary antibodies were incubated at RT</w:t>
      </w:r>
      <w:r w:rsidR="002F5D6F">
        <w:t xml:space="preserve"> in</w:t>
      </w:r>
      <w:r w:rsidR="00F816F1" w:rsidRPr="0078647B">
        <w:t xml:space="preserve"> TBST </w:t>
      </w:r>
      <w:r>
        <w:t>with</w:t>
      </w:r>
      <w:r w:rsidR="00F816F1" w:rsidRPr="0078647B">
        <w:t xml:space="preserve"> 5% skim milk, donkey anti-rabbit secondary antibody (Cedarlane, 1:10000)</w:t>
      </w:r>
      <w:r w:rsidR="005717E2">
        <w:t xml:space="preserve"> or </w:t>
      </w:r>
      <w:r w:rsidR="005717E2" w:rsidRPr="00E7149F">
        <w:t>anti</w:t>
      </w:r>
      <w:r w:rsidR="00E7149F" w:rsidRPr="00E7149F">
        <w:t>-</w:t>
      </w:r>
      <w:r w:rsidR="005717E2" w:rsidRPr="00E7149F">
        <w:t>mouse (</w:t>
      </w:r>
      <w:r w:rsidR="00E7149F" w:rsidRPr="00E7149F">
        <w:t xml:space="preserve">Abcam Ab6728, </w:t>
      </w:r>
      <w:r w:rsidR="005717E2" w:rsidRPr="00E7149F">
        <w:t>1:10000)</w:t>
      </w:r>
      <w:r w:rsidR="00F816F1" w:rsidRPr="00E7149F">
        <w:t xml:space="preserve">. </w:t>
      </w:r>
      <w:r w:rsidR="00780F75">
        <w:t xml:space="preserve"> </w:t>
      </w:r>
      <w:r w:rsidR="001A5FF2" w:rsidRPr="001A5FF2">
        <w:t>The membrane was developed using Clarity Western ECL Substrate (Bio-Rad) and imaged using the ChemiDoc system (Bio-Rad)</w:t>
      </w:r>
      <w:r w:rsidR="001A5FF2">
        <w:t>.</w:t>
      </w:r>
      <w:bookmarkEnd w:id="0"/>
    </w:p>
    <w:sectPr w:rsidR="00023494" w:rsidRPr="0062544C" w:rsidSect="001B223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DC7BDE" w14:textId="77777777" w:rsidR="00AA0408" w:rsidRDefault="00AA0408" w:rsidP="00331045">
      <w:r>
        <w:separator/>
      </w:r>
    </w:p>
  </w:endnote>
  <w:endnote w:type="continuationSeparator" w:id="0">
    <w:p w14:paraId="03B6BA55" w14:textId="77777777" w:rsidR="00AA0408" w:rsidRDefault="00AA0408" w:rsidP="00331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6CD357" w14:textId="77777777" w:rsidR="00AA0408" w:rsidRDefault="00AA0408" w:rsidP="00331045">
      <w:r>
        <w:separator/>
      </w:r>
    </w:p>
  </w:footnote>
  <w:footnote w:type="continuationSeparator" w:id="0">
    <w:p w14:paraId="49A5F897" w14:textId="77777777" w:rsidR="00AA0408" w:rsidRDefault="00AA0408" w:rsidP="00331045">
      <w:r>
        <w:continuationSeparator/>
      </w:r>
    </w:p>
  </w:footnote>
  <w:footnote w:id="1">
    <w:p w14:paraId="736234C8" w14:textId="327E0886" w:rsidR="001B75D7" w:rsidRPr="001B75D7" w:rsidRDefault="0036549D" w:rsidP="001B75D7">
      <w:pPr>
        <w:pStyle w:val="Bibliography"/>
        <w:rPr>
          <w:sz w:val="20"/>
          <w:lang w:val="en-US"/>
        </w:rPr>
      </w:pPr>
      <w:r>
        <w:rPr>
          <w:rStyle w:val="FootnoteReference"/>
        </w:rPr>
        <w:footnoteRef/>
      </w:r>
      <w:r w:rsidR="001B75D7">
        <w:t xml:space="preserve">   </w:t>
      </w:r>
      <w:r>
        <w:fldChar w:fldCharType="begin"/>
      </w:r>
      <w:r w:rsidR="001B75D7">
        <w:instrText xml:space="preserve"> ADDIN ZOTERO_BIBL {"uncited":[],"omitted":[],"custom":[]} CSL_BIBLIOGRAPHY </w:instrText>
      </w:r>
      <w:r>
        <w:fldChar w:fldCharType="separate"/>
      </w:r>
      <w:r w:rsidR="001B75D7" w:rsidRPr="001B75D7">
        <w:rPr>
          <w:sz w:val="20"/>
          <w:lang w:val="en-US"/>
        </w:rPr>
        <w:t xml:space="preserve">Foerster K, Helmy A, Zhu Y, Khattar R, Adeyi OA, Wong KM, et al. The novel immunoregulatory molecule FGL2: a potential biomarker for severity of chronic hepatitis C virus infection. J Hepatol. 2010 Oct;53(4):608–15. </w:t>
      </w:r>
    </w:p>
    <w:p w14:paraId="27962E40" w14:textId="44D4AF24" w:rsidR="0036549D" w:rsidRDefault="0036549D" w:rsidP="0036549D">
      <w:pPr>
        <w:pStyle w:val="FootnoteText"/>
      </w:pPr>
      <w:r>
        <w:fldChar w:fldCharType="end"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5E5"/>
    <w:rsid w:val="00023494"/>
    <w:rsid w:val="000353F5"/>
    <w:rsid w:val="000945DC"/>
    <w:rsid w:val="001A5FF2"/>
    <w:rsid w:val="001B223F"/>
    <w:rsid w:val="001B75D7"/>
    <w:rsid w:val="001C0E85"/>
    <w:rsid w:val="002F5D6F"/>
    <w:rsid w:val="00331045"/>
    <w:rsid w:val="0036549D"/>
    <w:rsid w:val="004D4B7F"/>
    <w:rsid w:val="005717E2"/>
    <w:rsid w:val="0062544C"/>
    <w:rsid w:val="006B1BC8"/>
    <w:rsid w:val="006B269C"/>
    <w:rsid w:val="00780F75"/>
    <w:rsid w:val="00AA0408"/>
    <w:rsid w:val="00BD6619"/>
    <w:rsid w:val="00C3652C"/>
    <w:rsid w:val="00CB7739"/>
    <w:rsid w:val="00D838B7"/>
    <w:rsid w:val="00D965E9"/>
    <w:rsid w:val="00E7149F"/>
    <w:rsid w:val="00E7621E"/>
    <w:rsid w:val="00F816F1"/>
    <w:rsid w:val="00FF7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153EBB"/>
  <w15:chartTrackingRefBased/>
  <w15:docId w15:val="{705AAE43-6162-5846-BB6C-ED16B1519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65E9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6B269C"/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2F5D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5D6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5D6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D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5D6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6549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6549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6549D"/>
    <w:rPr>
      <w:vertAlign w:val="superscript"/>
    </w:rPr>
  </w:style>
  <w:style w:type="paragraph" w:styleId="Bibliography">
    <w:name w:val="Bibliography"/>
    <w:basedOn w:val="Normal"/>
    <w:next w:val="Normal"/>
    <w:uiPriority w:val="37"/>
    <w:unhideWhenUsed/>
    <w:rsid w:val="0036549D"/>
    <w:pPr>
      <w:tabs>
        <w:tab w:val="left" w:pos="260"/>
      </w:tabs>
      <w:spacing w:after="240"/>
      <w:ind w:left="264" w:hanging="264"/>
    </w:pPr>
  </w:style>
  <w:style w:type="character" w:styleId="LineNumber">
    <w:name w:val="line number"/>
    <w:basedOn w:val="DefaultParagraphFont"/>
    <w:uiPriority w:val="99"/>
    <w:semiHidden/>
    <w:unhideWhenUsed/>
    <w:rsid w:val="006254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695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5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78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97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372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C208504-E2F7-451C-BC18-FD7B1C8E2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822</Words>
  <Characters>4690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Kristianne Galpin</dc:creator>
  <cp:keywords/>
  <dc:description/>
  <cp:lastModifiedBy>Mary Jenifer.T</cp:lastModifiedBy>
  <cp:revision>4</cp:revision>
  <cp:lastPrinted>2023-04-12T17:01:00Z</cp:lastPrinted>
  <dcterms:created xsi:type="dcterms:W3CDTF">2023-04-14T13:34:00Z</dcterms:created>
  <dcterms:modified xsi:type="dcterms:W3CDTF">2024-01-03T05:38:00Z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zotero-version="6.0.23"&gt;&lt;session id="n3jOetOK"/&gt;&lt;style id="http://www.zotero.org/styles/vancouver" locale="en-CA" hasBibliography="1" bibliographyStyleHasBeenSet="1"/&gt;&lt;prefs&gt;&lt;pref name="fieldType" value="Field"/&gt;&lt;/prefs&gt;&lt;/data&gt;</vt:lpwstr>
  </property>
</Properties>
</file>