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F9A" w:rsidRPr="004F6F9A" w:rsidRDefault="00C525B5" w:rsidP="004F6F9A">
      <w:pPr>
        <w:pStyle w:val="Heading2"/>
        <w:numPr>
          <w:ilvl w:val="0"/>
          <w:numId w:val="0"/>
        </w:numPr>
        <w:ind w:left="576" w:hanging="576"/>
        <w:jc w:val="center"/>
        <w:rPr>
          <w:rStyle w:val="Strong"/>
          <w:b/>
        </w:rPr>
      </w:pPr>
      <w:bookmarkStart w:id="0" w:name="_Toc17702768"/>
      <w:r w:rsidRPr="00C525B5">
        <w:rPr>
          <w:rStyle w:val="Strong"/>
          <w:b/>
        </w:rPr>
        <w:t>Assessing the Effects of Foot Strike Patterns and Shoe Types on the control of Leg Length and Orientation in Running</w:t>
      </w:r>
      <w:bookmarkStart w:id="1" w:name="_GoBack"/>
      <w:bookmarkEnd w:id="1"/>
    </w:p>
    <w:p w:rsidR="004F6F9A" w:rsidRDefault="004F6F9A" w:rsidP="00B16992">
      <w:pPr>
        <w:pStyle w:val="Heading3"/>
        <w:numPr>
          <w:ilvl w:val="0"/>
          <w:numId w:val="0"/>
        </w:numPr>
        <w:ind w:left="720" w:hanging="720"/>
        <w:rPr>
          <w:b/>
        </w:rPr>
      </w:pPr>
      <w:r>
        <w:rPr>
          <w:b/>
        </w:rPr>
        <w:t>Supplementary Material</w:t>
      </w:r>
    </w:p>
    <w:p w:rsidR="00B16992" w:rsidRPr="00B16992" w:rsidRDefault="00B16992" w:rsidP="00B16992">
      <w:pPr>
        <w:pStyle w:val="Heading3"/>
        <w:numPr>
          <w:ilvl w:val="0"/>
          <w:numId w:val="0"/>
        </w:numPr>
        <w:ind w:left="720" w:hanging="720"/>
        <w:rPr>
          <w:b/>
        </w:rPr>
      </w:pPr>
      <w:r w:rsidRPr="00B16992">
        <w:rPr>
          <w:b/>
        </w:rPr>
        <w:t>Uncontrolled Manifold formulation</w:t>
      </w:r>
      <w:bookmarkEnd w:id="0"/>
    </w:p>
    <w:p w:rsidR="00B16992" w:rsidRDefault="00B16992" w:rsidP="00B16992">
      <w:r w:rsidRPr="00B009D9">
        <w:t>To understa</w:t>
      </w:r>
      <w:r>
        <w:t xml:space="preserve">nd how the locomotor control is addressing the problem of ubiquitous variance in the redundant kinematic leg effector system (segment angles) are being coordinated and controlled during the leg landing phase of running, to achieve consistency in the </w:t>
      </w:r>
      <w:r w:rsidR="005E6773">
        <w:t>control</w:t>
      </w:r>
      <w:r>
        <w:t xml:space="preserve"> variables of the 2D leg effector end-point (i.e. the leg orientation and length, </w:t>
      </w:r>
      <w:r w:rsidRPr="006B68B0">
        <w:rPr>
          <w:i/>
        </w:rPr>
        <w:t>L</w:t>
      </w:r>
      <w:r w:rsidR="002D4F28">
        <w:rPr>
          <w:i/>
        </w:rPr>
        <w:t>eg</w:t>
      </w:r>
      <w:r w:rsidRPr="006B68B0">
        <w:rPr>
          <w:i/>
          <w:vertAlign w:val="subscript"/>
        </w:rPr>
        <w:t>Y</w:t>
      </w:r>
      <w:r w:rsidRPr="006B68B0">
        <w:rPr>
          <w:i/>
        </w:rPr>
        <w:t>, L</w:t>
      </w:r>
      <w:r w:rsidR="002D4F28">
        <w:rPr>
          <w:i/>
        </w:rPr>
        <w:t>eg</w:t>
      </w:r>
      <w:r w:rsidRPr="006B68B0">
        <w:rPr>
          <w:i/>
          <w:vertAlign w:val="subscript"/>
        </w:rPr>
        <w:t>Z</w:t>
      </w:r>
      <w:r>
        <w:t xml:space="preserve"> respectively). </w:t>
      </w:r>
      <w:r w:rsidRPr="00B009D9">
        <w:t xml:space="preserve">The </w:t>
      </w:r>
      <w:r>
        <w:t xml:space="preserve">set of covariant solutions of </w:t>
      </w:r>
      <w:r w:rsidRPr="00B009D9">
        <w:t xml:space="preserve">these </w:t>
      </w:r>
      <w:r>
        <w:t xml:space="preserve">elemental variables </w:t>
      </w:r>
      <w:r w:rsidRPr="00B009D9">
        <w:t>(i.e.</w:t>
      </w:r>
      <w:r>
        <w:t xml:space="preserve"> foot, shank, thigh, and pelvis angles, </w:t>
      </w:r>
      <m:oMath>
        <m:sSub>
          <m:sSubPr>
            <m:ctrlPr>
              <w:rPr>
                <w:rFonts w:ascii="Cambria Math" w:hAnsi="Cambria Math"/>
                <w:i/>
                <w:sz w:val="20"/>
              </w:rPr>
            </m:ctrlPr>
          </m:sSubPr>
          <m:e>
            <m:r>
              <w:rPr>
                <w:rFonts w:ascii="Cambria Math" w:hAnsi="Cambria Math"/>
                <w:sz w:val="20"/>
              </w:rPr>
              <m:t>θ</m:t>
            </m:r>
          </m:e>
          <m:sub>
            <m:r>
              <w:rPr>
                <w:rFonts w:ascii="Cambria Math" w:hAnsi="Cambria Math"/>
                <w:sz w:val="20"/>
              </w:rPr>
              <m:t>F</m:t>
            </m:r>
          </m:sub>
        </m:sSub>
        <m:r>
          <w:rPr>
            <w:rFonts w:ascii="Cambria Math" w:hAnsi="Cambria Math"/>
            <w:sz w:val="20"/>
          </w:rPr>
          <m:t>,</m:t>
        </m:r>
        <m:sSub>
          <m:sSubPr>
            <m:ctrlPr>
              <w:rPr>
                <w:rFonts w:ascii="Cambria Math" w:hAnsi="Cambria Math"/>
                <w:i/>
                <w:sz w:val="20"/>
              </w:rPr>
            </m:ctrlPr>
          </m:sSubPr>
          <m:e>
            <m:r>
              <w:rPr>
                <w:rFonts w:ascii="Cambria Math" w:hAnsi="Cambria Math"/>
                <w:sz w:val="20"/>
              </w:rPr>
              <m:t>θ</m:t>
            </m:r>
          </m:e>
          <m:sub>
            <m:r>
              <w:rPr>
                <w:rFonts w:ascii="Cambria Math" w:hAnsi="Cambria Math"/>
                <w:sz w:val="20"/>
              </w:rPr>
              <m:t>S</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θ</m:t>
            </m:r>
          </m:e>
          <m:sub>
            <m:r>
              <w:rPr>
                <w:rFonts w:ascii="Cambria Math" w:hAnsi="Cambria Math"/>
                <w:sz w:val="20"/>
              </w:rPr>
              <m:t>T</m:t>
            </m:r>
          </m:sub>
        </m:sSub>
        <m:r>
          <w:rPr>
            <w:rFonts w:ascii="Cambria Math" w:hAnsi="Cambria Math"/>
            <w:sz w:val="20"/>
          </w:rPr>
          <m:t>,</m:t>
        </m:r>
        <m:sSub>
          <m:sSubPr>
            <m:ctrlPr>
              <w:rPr>
                <w:rFonts w:ascii="Cambria Math" w:hAnsi="Cambria Math"/>
                <w:i/>
                <w:sz w:val="20"/>
              </w:rPr>
            </m:ctrlPr>
          </m:sSubPr>
          <m:e>
            <m:r>
              <w:rPr>
                <w:rFonts w:ascii="Cambria Math" w:hAnsi="Cambria Math"/>
                <w:sz w:val="20"/>
              </w:rPr>
              <m:t>θ</m:t>
            </m:r>
          </m:e>
          <m:sub>
            <m:r>
              <w:rPr>
                <w:rFonts w:ascii="Cambria Math" w:hAnsi="Cambria Math"/>
                <w:sz w:val="20"/>
              </w:rPr>
              <m:t>P</m:t>
            </m:r>
          </m:sub>
        </m:sSub>
      </m:oMath>
      <w:r>
        <w:rPr>
          <w:rFonts w:eastAsiaTheme="minorEastAsia"/>
          <w:sz w:val="20"/>
        </w:rPr>
        <w:t xml:space="preserve"> </w:t>
      </w:r>
      <w:r w:rsidRPr="006B68B0">
        <w:rPr>
          <w:rFonts w:eastAsiaTheme="minorEastAsia"/>
        </w:rPr>
        <w:t>respectively</w:t>
      </w:r>
      <w:r w:rsidRPr="00B009D9">
        <w:t>)</w:t>
      </w:r>
      <w:r>
        <w:t xml:space="preserve"> </w:t>
      </w:r>
      <w:r w:rsidRPr="00B009D9">
        <w:t xml:space="preserve">is defined as a </w:t>
      </w:r>
      <w:r>
        <w:t xml:space="preserve">low-dimensional </w:t>
      </w:r>
      <w:r w:rsidRPr="00B009D9">
        <w:t xml:space="preserve">synergy that work together in order to </w:t>
      </w:r>
      <w:r>
        <w:t>assist the controller by stabilizing</w:t>
      </w:r>
      <w:r w:rsidRPr="00B009D9">
        <w:t xml:space="preserve"> (or destabilize) the </w:t>
      </w:r>
      <w:r w:rsidR="005E6773">
        <w:t>control</w:t>
      </w:r>
      <w:r>
        <w:t xml:space="preserve"> </w:t>
      </w:r>
      <w:r w:rsidRPr="00B009D9">
        <w:t>variable</w:t>
      </w:r>
      <w:r>
        <w:t>. W</w:t>
      </w:r>
      <w:r w:rsidRPr="00B009D9">
        <w:t xml:space="preserve">e consider </w:t>
      </w:r>
      <w:r>
        <w:t>the</w:t>
      </w:r>
      <w:r w:rsidRPr="00B009D9">
        <w:t xml:space="preserve"> </w:t>
      </w:r>
      <w:r>
        <w:t xml:space="preserve">kinematic leg </w:t>
      </w:r>
      <w:r w:rsidRPr="00B009D9">
        <w:t xml:space="preserve">effector </w:t>
      </w:r>
      <w:r>
        <w:t xml:space="preserve">vector (spanning the kinematic segment chain) is </w:t>
      </w:r>
      <w:r w:rsidRPr="00B009D9">
        <w:t xml:space="preserve">coordinated and controlled by </w:t>
      </w:r>
      <w:r>
        <w:t>a two-level</w:t>
      </w:r>
      <w:r w:rsidRPr="00B009D9">
        <w:t xml:space="preserve"> motor control hierarchy </w:t>
      </w:r>
      <w:r w:rsidR="00063A07">
        <w:fldChar w:fldCharType="begin"/>
      </w:r>
      <w:r w:rsidR="00063A07">
        <w:instrText xml:space="preserve"> ADDIN EN.CITE &lt;EndNote&gt;&lt;Cite&gt;&lt;Author&gt;Diedrichsen&lt;/Author&gt;&lt;Year&gt;2010&lt;/Year&gt;&lt;RecNum&gt;1362&lt;/RecNum&gt;&lt;DisplayText&gt;[1, 2]&lt;/DisplayText&gt;&lt;record&gt;&lt;rec-number&gt;1362&lt;/rec-number&gt;&lt;foreign-keys&gt;&lt;key app="EN" db-id="vfdxaw0ztfdwwsezaf7vspea2apprzpf0sxe" timestamp="1703255917"&gt;1362&lt;/key&gt;&lt;/foreign-keys&gt;&lt;ref-type name="Journal Article"&gt;17&lt;/ref-type&gt;&lt;contributors&gt;&lt;authors&gt;&lt;author&gt;Diedrichsen, Jörn&lt;/author&gt;&lt;author&gt;Shadmehr, Reza&lt;/author&gt;&lt;author&gt;Ivry, Richard B&lt;/author&gt;&lt;/authors&gt;&lt;/contributors&gt;&lt;titles&gt;&lt;title&gt;The coordination of movement: optimal feedback control and beyond&lt;/title&gt;&lt;secondary-title&gt;Trends in cognitive sciences&lt;/secondary-title&gt;&lt;/titles&gt;&lt;periodical&gt;&lt;full-title&gt;Trends in cognitive sciences&lt;/full-title&gt;&lt;/periodical&gt;&lt;pages&gt;31-39&lt;/pages&gt;&lt;volume&gt;14&lt;/volume&gt;&lt;number&gt;1&lt;/number&gt;&lt;dates&gt;&lt;year&gt;2010&lt;/year&gt;&lt;/dates&gt;&lt;isbn&gt;1364-6613&lt;/isbn&gt;&lt;urls&gt;&lt;/urls&gt;&lt;/record&gt;&lt;/Cite&gt;&lt;Cite&gt;&lt;Author&gt;Scholz&lt;/Author&gt;&lt;Year&gt;1999&lt;/Year&gt;&lt;RecNum&gt;1364&lt;/RecNum&gt;&lt;record&gt;&lt;rec-number&gt;1364&lt;/rec-number&gt;&lt;foreign-keys&gt;&lt;key app="EN" db-id="vfdxaw0ztfdwwsezaf7vspea2apprzpf0sxe" timestamp="1703256433"&gt;1364&lt;/key&gt;&lt;/foreign-keys&gt;&lt;ref-type name="Journal Article"&gt;17&lt;/ref-type&gt;&lt;contributors&gt;&lt;authors&gt;&lt;author&gt;Scholz, John P&lt;/author&gt;&lt;author&gt;Schöner, Gregor&lt;/author&gt;&lt;/authors&gt;&lt;/contributors&gt;&lt;titles&gt;&lt;title&gt;The uncontrolled manifold concept: identifying control variables for a functional task&lt;/title&gt;&lt;secondary-title&gt;Experimental brain research&lt;/secondary-title&gt;&lt;/titles&gt;&lt;periodical&gt;&lt;full-title&gt;Experimental brain research&lt;/full-title&gt;&lt;/periodical&gt;&lt;pages&gt;289-306&lt;/pages&gt;&lt;volume&gt;126&lt;/volume&gt;&lt;dates&gt;&lt;year&gt;1999&lt;/year&gt;&lt;/dates&gt;&lt;isbn&gt;0014-4819&lt;/isbn&gt;&lt;urls&gt;&lt;/urls&gt;&lt;/record&gt;&lt;/Cite&gt;&lt;/EndNote&gt;</w:instrText>
      </w:r>
      <w:r w:rsidR="00063A07">
        <w:fldChar w:fldCharType="separate"/>
      </w:r>
      <w:r w:rsidR="00063A07">
        <w:rPr>
          <w:noProof/>
        </w:rPr>
        <w:t>[1, 2]</w:t>
      </w:r>
      <w:r w:rsidR="00063A07">
        <w:fldChar w:fldCharType="end"/>
      </w:r>
      <w:r>
        <w:t xml:space="preserve">. </w:t>
      </w:r>
    </w:p>
    <w:p w:rsidR="00B16992" w:rsidRDefault="00B16992" w:rsidP="00B16992">
      <w:pPr>
        <w:ind w:firstLine="720"/>
      </w:pPr>
      <w:r>
        <w:t xml:space="preserve">The UCM analysis was computed at each time slice of the landing phase period. Each time slice corresponded to a time period of 4ms. The UCM parameters were calculated using a customised Matlab program that was based on the conventional UCM method </w:t>
      </w:r>
      <w:r w:rsidR="00063A07">
        <w:fldChar w:fldCharType="begin"/>
      </w:r>
      <w:r w:rsidR="00063A07">
        <w:instrText xml:space="preserve"> ADDIN EN.CITE &lt;EndNote&gt;&lt;Cite&gt;&lt;Author&gt;Scholz&lt;/Author&gt;&lt;Year&gt;1999&lt;/Year&gt;&lt;RecNum&gt;1364&lt;/RecNum&gt;&lt;DisplayText&gt;[2]&lt;/DisplayText&gt;&lt;record&gt;&lt;rec-number&gt;1364&lt;/rec-number&gt;&lt;foreign-keys&gt;&lt;key app="EN" db-id="vfdxaw0ztfdwwsezaf7vspea2apprzpf0sxe" timestamp="1703256433"&gt;1364&lt;/key&gt;&lt;/foreign-keys&gt;&lt;ref-type name="Journal Article"&gt;17&lt;/ref-type&gt;&lt;contributors&gt;&lt;authors&gt;&lt;author&gt;Scholz, John P&lt;/author&gt;&lt;author&gt;Schöner, Gregor&lt;/author&gt;&lt;/authors&gt;&lt;/contributors&gt;&lt;titles&gt;&lt;title&gt;The uncontrolled manifold concept: identifying control variables for a functional task&lt;/title&gt;&lt;secondary-title&gt;Experimental brain research&lt;/secondary-title&gt;&lt;/titles&gt;&lt;periodical&gt;&lt;full-title&gt;Experimental brain research&lt;/full-title&gt;&lt;/periodical&gt;&lt;pages&gt;289-306&lt;/pages&gt;&lt;volume&gt;126&lt;/volume&gt;&lt;dates&gt;&lt;year&gt;1999&lt;/year&gt;&lt;/dates&gt;&lt;isbn&gt;0014-4819&lt;/isbn&gt;&lt;urls&gt;&lt;/urls&gt;&lt;/record&gt;&lt;/Cite&gt;&lt;/EndNote&gt;</w:instrText>
      </w:r>
      <w:r w:rsidR="00063A07">
        <w:fldChar w:fldCharType="separate"/>
      </w:r>
      <w:r w:rsidR="00063A07">
        <w:rPr>
          <w:noProof/>
        </w:rPr>
        <w:t>[2]</w:t>
      </w:r>
      <w:r w:rsidR="00063A07">
        <w:fldChar w:fldCharType="end"/>
      </w:r>
      <w:r>
        <w:t>. The UCM analysis method can be described in four general steps below:</w:t>
      </w:r>
    </w:p>
    <w:p w:rsidR="00B16992" w:rsidRDefault="00B16992" w:rsidP="00B16992">
      <w:pPr>
        <w:ind w:firstLine="576"/>
      </w:pPr>
    </w:p>
    <w:p w:rsidR="00B16992" w:rsidRPr="00B16992" w:rsidRDefault="00B16992" w:rsidP="00B16992">
      <w:pPr>
        <w:pStyle w:val="Heading4"/>
        <w:numPr>
          <w:ilvl w:val="0"/>
          <w:numId w:val="0"/>
        </w:numPr>
        <w:ind w:left="864" w:hanging="864"/>
        <w:rPr>
          <w:b/>
        </w:rPr>
      </w:pPr>
      <w:r w:rsidRPr="00B16992">
        <w:rPr>
          <w:b/>
        </w:rPr>
        <w:t>Step 1: Define the Geometric Model</w:t>
      </w:r>
    </w:p>
    <w:p w:rsidR="00B16992" w:rsidRDefault="00B16992" w:rsidP="00B16992">
      <w:r>
        <w:t xml:space="preserve">The kinematic leg effector is defined by a geometric function that maps the segment angles with the 2D effector end-point:  </w:t>
      </w:r>
    </w:p>
    <w:p w:rsidR="00B16992" w:rsidRDefault="00B16992" w:rsidP="00B16992">
      <w:pPr>
        <w:ind w:firstLine="576"/>
      </w:pPr>
    </w:p>
    <w:tbl>
      <w:tblPr>
        <w:tblW w:w="0" w:type="auto"/>
        <w:tblLook w:val="04A0" w:firstRow="1" w:lastRow="0" w:firstColumn="1" w:lastColumn="0" w:noHBand="0" w:noVBand="1"/>
      </w:tblPr>
      <w:tblGrid>
        <w:gridCol w:w="633"/>
        <w:gridCol w:w="7608"/>
        <w:gridCol w:w="785"/>
      </w:tblGrid>
      <w:tr w:rsidR="00B16992" w:rsidTr="00B80BF1">
        <w:tc>
          <w:tcPr>
            <w:tcW w:w="704" w:type="dxa"/>
            <w:vAlign w:val="center"/>
          </w:tcPr>
          <w:p w:rsidR="00B16992" w:rsidRDefault="00B16992" w:rsidP="00B80BF1">
            <w:pPr>
              <w:jc w:val="center"/>
              <w:rPr>
                <w:sz w:val="20"/>
              </w:rPr>
            </w:pPr>
          </w:p>
        </w:tc>
        <w:tc>
          <w:tcPr>
            <w:tcW w:w="8647" w:type="dxa"/>
            <w:vAlign w:val="center"/>
          </w:tcPr>
          <w:p w:rsidR="00B16992" w:rsidRDefault="00C525B5" w:rsidP="00B80BF1">
            <w:pPr>
              <w:jc w:val="center"/>
              <w:rPr>
                <w:sz w:val="20"/>
              </w:rPr>
            </w:pPr>
            <m:oMath>
              <m:sSup>
                <m:sSupPr>
                  <m:ctrlPr>
                    <w:rPr>
                      <w:rFonts w:ascii="Cambria Math" w:hAnsi="Cambria Math"/>
                      <w:i/>
                      <w:sz w:val="20"/>
                    </w:rPr>
                  </m:ctrlPr>
                </m:sSupPr>
                <m:e>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L</m:t>
                          </m:r>
                        </m:e>
                        <m:sub>
                          <m:r>
                            <w:rPr>
                              <w:rFonts w:ascii="Cambria Math" w:hAnsi="Cambria Math"/>
                              <w:sz w:val="20"/>
                            </w:rPr>
                            <m:t>Y</m:t>
                          </m:r>
                        </m:sub>
                      </m:sSub>
                      <m:r>
                        <w:rPr>
                          <w:rFonts w:ascii="Cambria Math" w:hAnsi="Cambria Math"/>
                          <w:sz w:val="20"/>
                        </w:rPr>
                        <m:t>,</m:t>
                      </m:r>
                      <m:sSub>
                        <m:sSubPr>
                          <m:ctrlPr>
                            <w:rPr>
                              <w:rFonts w:ascii="Cambria Math" w:hAnsi="Cambria Math"/>
                              <w:i/>
                              <w:sz w:val="20"/>
                            </w:rPr>
                          </m:ctrlPr>
                        </m:sSubPr>
                        <m:e>
                          <m:r>
                            <w:rPr>
                              <w:rFonts w:ascii="Cambria Math" w:hAnsi="Cambria Math"/>
                              <w:sz w:val="20"/>
                            </w:rPr>
                            <m:t>L</m:t>
                          </m:r>
                        </m:e>
                        <m:sub>
                          <m:r>
                            <w:rPr>
                              <w:rFonts w:ascii="Cambria Math" w:hAnsi="Cambria Math"/>
                              <w:sz w:val="20"/>
                            </w:rPr>
                            <m:t>Z</m:t>
                          </m:r>
                        </m:sub>
                      </m:sSub>
                    </m:e>
                  </m:d>
                </m:e>
                <m:sup>
                  <m:r>
                    <w:rPr>
                      <w:rFonts w:ascii="Cambria Math" w:hAnsi="Cambria Math"/>
                      <w:sz w:val="20"/>
                    </w:rPr>
                    <m:t xml:space="preserve"> </m:t>
                  </m:r>
                </m:sup>
              </m:sSup>
              <m:r>
                <w:rPr>
                  <w:rFonts w:ascii="Cambria Math" w:hAnsi="Cambria Math"/>
                  <w:sz w:val="20"/>
                </w:rPr>
                <m:t>= f(</m:t>
              </m:r>
              <m:sSub>
                <m:sSubPr>
                  <m:ctrlPr>
                    <w:rPr>
                      <w:rFonts w:ascii="Cambria Math" w:hAnsi="Cambria Math"/>
                      <w:i/>
                      <w:sz w:val="20"/>
                    </w:rPr>
                  </m:ctrlPr>
                </m:sSubPr>
                <m:e>
                  <m:r>
                    <w:rPr>
                      <w:rFonts w:ascii="Cambria Math" w:hAnsi="Cambria Math"/>
                      <w:sz w:val="20"/>
                    </w:rPr>
                    <m:t>θ</m:t>
                  </m:r>
                </m:e>
                <m:sub>
                  <m:r>
                    <w:rPr>
                      <w:rFonts w:ascii="Cambria Math" w:hAnsi="Cambria Math"/>
                      <w:sz w:val="20"/>
                    </w:rPr>
                    <m:t>F</m:t>
                  </m:r>
                </m:sub>
              </m:sSub>
              <m:r>
                <w:rPr>
                  <w:rFonts w:ascii="Cambria Math" w:hAnsi="Cambria Math"/>
                  <w:sz w:val="20"/>
                </w:rPr>
                <m:t>,</m:t>
              </m:r>
              <m:sSub>
                <m:sSubPr>
                  <m:ctrlPr>
                    <w:rPr>
                      <w:rFonts w:ascii="Cambria Math" w:hAnsi="Cambria Math"/>
                      <w:i/>
                      <w:sz w:val="20"/>
                    </w:rPr>
                  </m:ctrlPr>
                </m:sSubPr>
                <m:e>
                  <m:r>
                    <w:rPr>
                      <w:rFonts w:ascii="Cambria Math" w:hAnsi="Cambria Math"/>
                      <w:sz w:val="20"/>
                    </w:rPr>
                    <m:t>θ</m:t>
                  </m:r>
                </m:e>
                <m:sub>
                  <m:r>
                    <w:rPr>
                      <w:rFonts w:ascii="Cambria Math" w:hAnsi="Cambria Math"/>
                      <w:sz w:val="20"/>
                    </w:rPr>
                    <m:t>S</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θ</m:t>
                  </m:r>
                </m:e>
                <m:sub>
                  <m:r>
                    <w:rPr>
                      <w:rFonts w:ascii="Cambria Math" w:hAnsi="Cambria Math"/>
                      <w:sz w:val="20"/>
                    </w:rPr>
                    <m:t>T</m:t>
                  </m:r>
                </m:sub>
              </m:sSub>
              <m:r>
                <w:rPr>
                  <w:rFonts w:ascii="Cambria Math" w:hAnsi="Cambria Math"/>
                  <w:sz w:val="20"/>
                </w:rPr>
                <m:t>,</m:t>
              </m:r>
              <m:sSub>
                <m:sSubPr>
                  <m:ctrlPr>
                    <w:rPr>
                      <w:rFonts w:ascii="Cambria Math" w:hAnsi="Cambria Math"/>
                      <w:i/>
                      <w:sz w:val="20"/>
                    </w:rPr>
                  </m:ctrlPr>
                </m:sSubPr>
                <m:e>
                  <m:r>
                    <w:rPr>
                      <w:rFonts w:ascii="Cambria Math" w:hAnsi="Cambria Math"/>
                      <w:sz w:val="20"/>
                    </w:rPr>
                    <m:t>θ</m:t>
                  </m:r>
                </m:e>
                <m:sub>
                  <m:r>
                    <w:rPr>
                      <w:rFonts w:ascii="Cambria Math" w:hAnsi="Cambria Math"/>
                      <w:sz w:val="20"/>
                    </w:rPr>
                    <m:t>P</m:t>
                  </m:r>
                </m:sub>
              </m:sSub>
              <m:r>
                <w:rPr>
                  <w:rFonts w:ascii="Cambria Math" w:hAnsi="Cambria Math"/>
                  <w:sz w:val="20"/>
                </w:rPr>
                <m:t>)</m:t>
              </m:r>
            </m:oMath>
            <w:r w:rsidR="00B16992">
              <w:rPr>
                <w:rFonts w:eastAsiaTheme="minorEastAsia"/>
                <w:sz w:val="20"/>
              </w:rPr>
              <w:t xml:space="preserve"> </w:t>
            </w:r>
          </w:p>
        </w:tc>
        <w:tc>
          <w:tcPr>
            <w:tcW w:w="843" w:type="dxa"/>
            <w:vAlign w:val="center"/>
          </w:tcPr>
          <w:p w:rsidR="00B16992" w:rsidRDefault="00B16992" w:rsidP="00B80BF1">
            <w:pPr>
              <w:jc w:val="center"/>
              <w:rPr>
                <w:sz w:val="20"/>
              </w:rPr>
            </w:pPr>
            <w:r>
              <w:rPr>
                <w:sz w:val="20"/>
              </w:rPr>
              <w:t>(1)</w:t>
            </w:r>
          </w:p>
        </w:tc>
      </w:tr>
    </w:tbl>
    <w:p w:rsidR="00B16992" w:rsidRDefault="00B16992" w:rsidP="00B16992">
      <w:pPr>
        <w:ind w:firstLine="576"/>
      </w:pPr>
    </w:p>
    <w:p w:rsidR="00B16992" w:rsidRDefault="00B16992" w:rsidP="00B16992">
      <w:r>
        <w:t xml:space="preserve">The leg effector was defined by a vector spanning between a fixed point at the </w:t>
      </w:r>
      <w:r w:rsidR="00E12B55">
        <w:t xml:space="preserve">centre of the </w:t>
      </w:r>
      <w:r>
        <w:t xml:space="preserve">pelvis segment and the location of the centre of pressure beneath the foot. From equation 1 the 2D position of the leg effector is defined by a specific geometric model that directly maps the end-effector in the same space as the elemental variables. The </w:t>
      </w:r>
      <w:r w:rsidR="005E6773">
        <w:t>control</w:t>
      </w:r>
      <w:r>
        <w:t xml:space="preserve"> variables of </w:t>
      </w:r>
      <w:r w:rsidR="005E6773" w:rsidRPr="006B68B0">
        <w:rPr>
          <w:i/>
        </w:rPr>
        <w:t>L</w:t>
      </w:r>
      <w:r w:rsidR="005E6773">
        <w:rPr>
          <w:i/>
        </w:rPr>
        <w:t>eg</w:t>
      </w:r>
      <w:r w:rsidR="005E6773" w:rsidRPr="006B68B0">
        <w:rPr>
          <w:i/>
          <w:vertAlign w:val="subscript"/>
        </w:rPr>
        <w:t>Y</w:t>
      </w:r>
      <w:r>
        <w:t xml:space="preserve"> and </w:t>
      </w:r>
      <w:r w:rsidR="005E6773" w:rsidRPr="006B68B0">
        <w:rPr>
          <w:i/>
        </w:rPr>
        <w:t>L</w:t>
      </w:r>
      <w:r w:rsidR="005E6773">
        <w:rPr>
          <w:i/>
        </w:rPr>
        <w:t>eg</w:t>
      </w:r>
      <w:r w:rsidR="005E6773">
        <w:rPr>
          <w:i/>
          <w:vertAlign w:val="subscript"/>
        </w:rPr>
        <w:t>Z</w:t>
      </w:r>
      <w:r>
        <w:t xml:space="preserve"> are associated geometrically with the elemental variable details, segment angles and segment lengths:</w:t>
      </w:r>
    </w:p>
    <w:p w:rsidR="00B16992" w:rsidRDefault="00B16992" w:rsidP="00B16992"/>
    <w:tbl>
      <w:tblPr>
        <w:tblW w:w="0" w:type="auto"/>
        <w:tblLook w:val="04A0" w:firstRow="1" w:lastRow="0" w:firstColumn="1" w:lastColumn="0" w:noHBand="0" w:noVBand="1"/>
      </w:tblPr>
      <w:tblGrid>
        <w:gridCol w:w="564"/>
        <w:gridCol w:w="7732"/>
        <w:gridCol w:w="730"/>
      </w:tblGrid>
      <w:tr w:rsidR="00B16992" w:rsidTr="00B80BF1">
        <w:tc>
          <w:tcPr>
            <w:tcW w:w="704" w:type="dxa"/>
            <w:vAlign w:val="center"/>
          </w:tcPr>
          <w:p w:rsidR="00B16992" w:rsidRDefault="00B16992" w:rsidP="00B80BF1">
            <w:pPr>
              <w:jc w:val="center"/>
              <w:rPr>
                <w:sz w:val="20"/>
              </w:rPr>
            </w:pPr>
          </w:p>
        </w:tc>
        <w:tc>
          <w:tcPr>
            <w:tcW w:w="8647" w:type="dxa"/>
            <w:vAlign w:val="center"/>
          </w:tcPr>
          <w:p w:rsidR="00B16992" w:rsidRDefault="00C525B5" w:rsidP="00B80BF1">
            <w:pPr>
              <w:jc w:val="center"/>
              <w:rPr>
                <w:sz w:val="20"/>
              </w:rPr>
            </w:pPr>
            <m:oMathPara>
              <m:oMath>
                <m:sSup>
                  <m:sSupPr>
                    <m:ctrlPr>
                      <w:rPr>
                        <w:rFonts w:ascii="Cambria Math" w:hAnsi="Cambria Math"/>
                        <w:i/>
                        <w:sz w:val="20"/>
                      </w:rPr>
                    </m:ctrlPr>
                  </m:sSupPr>
                  <m:e>
                    <m:d>
                      <m:dPr>
                        <m:begChr m:val="{"/>
                        <m:endChr m:val=""/>
                        <m:ctrlPr>
                          <w:rPr>
                            <w:rFonts w:ascii="Cambria Math" w:hAnsi="Cambria Math"/>
                            <w:i/>
                            <w:sz w:val="20"/>
                          </w:rPr>
                        </m:ctrlPr>
                      </m:dPr>
                      <m:e>
                        <m:eqArr>
                          <m:eqArrPr>
                            <m:ctrlPr>
                              <w:rPr>
                                <w:rFonts w:ascii="Cambria Math" w:hAnsi="Cambria Math"/>
                                <w:i/>
                                <w:sz w:val="20"/>
                              </w:rPr>
                            </m:ctrlPr>
                          </m:eqArrPr>
                          <m:e>
                            <m:sSub>
                              <m:sSubPr>
                                <m:ctrlPr>
                                  <w:rPr>
                                    <w:rFonts w:ascii="Cambria Math" w:hAnsi="Cambria Math"/>
                                    <w:b/>
                                    <w:i/>
                                    <w:sz w:val="20"/>
                                  </w:rPr>
                                </m:ctrlPr>
                              </m:sSubPr>
                              <m:e>
                                <m:r>
                                  <m:rPr>
                                    <m:sty m:val="bi"/>
                                  </m:rPr>
                                  <w:rPr>
                                    <w:rFonts w:ascii="Cambria Math" w:hAnsi="Cambria Math"/>
                                    <w:sz w:val="20"/>
                                  </w:rPr>
                                  <m:t>L</m:t>
                                </m:r>
                              </m:e>
                              <m:sub>
                                <m:r>
                                  <m:rPr>
                                    <m:sty m:val="bi"/>
                                  </m:rPr>
                                  <w:rPr>
                                    <w:rFonts w:ascii="Cambria Math" w:hAnsi="Cambria Math"/>
                                    <w:sz w:val="20"/>
                                  </w:rPr>
                                  <m:t>Y</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l</m:t>
                                </m:r>
                              </m:e>
                              <m:sub>
                                <m:r>
                                  <w:rPr>
                                    <w:rFonts w:ascii="Cambria Math" w:hAnsi="Cambria Math"/>
                                    <w:sz w:val="20"/>
                                  </w:rPr>
                                  <m:t>ft</m:t>
                                </m:r>
                              </m:sub>
                            </m:sSub>
                            <m:r>
                              <w:rPr>
                                <w:rFonts w:ascii="Cambria Math" w:hAnsi="Cambria Math"/>
                                <w:sz w:val="20"/>
                              </w:rPr>
                              <m:t xml:space="preserve">∙ </m:t>
                            </m:r>
                            <m:func>
                              <m:funcPr>
                                <m:ctrlPr>
                                  <w:rPr>
                                    <w:rFonts w:ascii="Cambria Math" w:hAnsi="Cambria Math"/>
                                    <w:i/>
                                    <w:sz w:val="20"/>
                                  </w:rPr>
                                </m:ctrlPr>
                              </m:funcPr>
                              <m:fName>
                                <m:r>
                                  <m:rPr>
                                    <m:sty m:val="p"/>
                                  </m:rPr>
                                  <w:rPr>
                                    <w:rFonts w:ascii="Cambria Math" w:hAnsi="Cambria Math"/>
                                    <w:sz w:val="20"/>
                                  </w:rPr>
                                  <m:t>cos</m:t>
                                </m:r>
                              </m:fName>
                              <m:e>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θ</m:t>
                                        </m:r>
                                      </m:e>
                                      <m:sub>
                                        <m:r>
                                          <w:rPr>
                                            <w:rFonts w:ascii="Cambria Math" w:hAnsi="Cambria Math"/>
                                            <w:sz w:val="20"/>
                                          </w:rPr>
                                          <m:t>F</m:t>
                                        </m:r>
                                      </m:sub>
                                    </m:sSub>
                                  </m:e>
                                </m:d>
                                <m:r>
                                  <w:rPr>
                                    <w:rFonts w:ascii="Cambria Math" w:hAnsi="Cambria Math"/>
                                    <w:sz w:val="20"/>
                                  </w:rPr>
                                  <m:t>+</m:t>
                                </m:r>
                                <m:sSub>
                                  <m:sSubPr>
                                    <m:ctrlPr>
                                      <w:rPr>
                                        <w:rFonts w:ascii="Cambria Math" w:hAnsi="Cambria Math"/>
                                        <w:i/>
                                        <w:sz w:val="20"/>
                                      </w:rPr>
                                    </m:ctrlPr>
                                  </m:sSubPr>
                                  <m:e>
                                    <m:r>
                                      <w:rPr>
                                        <w:rFonts w:ascii="Cambria Math" w:hAnsi="Cambria Math"/>
                                        <w:sz w:val="20"/>
                                      </w:rPr>
                                      <m:t>l</m:t>
                                    </m:r>
                                  </m:e>
                                  <m:sub>
                                    <m:r>
                                      <w:rPr>
                                        <w:rFonts w:ascii="Cambria Math" w:hAnsi="Cambria Math"/>
                                        <w:sz w:val="20"/>
                                      </w:rPr>
                                      <m:t>sh</m:t>
                                    </m:r>
                                  </m:sub>
                                </m:sSub>
                                <m:r>
                                  <w:rPr>
                                    <w:rFonts w:ascii="Cambria Math" w:hAnsi="Cambria Math"/>
                                    <w:sz w:val="20"/>
                                  </w:rPr>
                                  <m:t xml:space="preserve">∙ </m:t>
                                </m:r>
                                <m:func>
                                  <m:funcPr>
                                    <m:ctrlPr>
                                      <w:rPr>
                                        <w:rFonts w:ascii="Cambria Math" w:hAnsi="Cambria Math"/>
                                        <w:i/>
                                        <w:sz w:val="20"/>
                                      </w:rPr>
                                    </m:ctrlPr>
                                  </m:funcPr>
                                  <m:fName>
                                    <m:r>
                                      <m:rPr>
                                        <m:sty m:val="p"/>
                                      </m:rPr>
                                      <w:rPr>
                                        <w:rFonts w:ascii="Cambria Math" w:hAnsi="Cambria Math"/>
                                        <w:sz w:val="20"/>
                                      </w:rPr>
                                      <m:t>cos</m:t>
                                    </m:r>
                                  </m:fName>
                                  <m:e>
                                    <m:sSub>
                                      <m:sSubPr>
                                        <m:ctrlPr>
                                          <w:rPr>
                                            <w:rFonts w:ascii="Cambria Math" w:hAnsi="Cambria Math"/>
                                            <w:i/>
                                            <w:sz w:val="20"/>
                                          </w:rPr>
                                        </m:ctrlPr>
                                      </m:sSubPr>
                                      <m:e>
                                        <m:r>
                                          <w:rPr>
                                            <w:rFonts w:ascii="Cambria Math" w:hAnsi="Cambria Math"/>
                                            <w:sz w:val="20"/>
                                          </w:rPr>
                                          <m:t>θ</m:t>
                                        </m:r>
                                      </m:e>
                                      <m:sub>
                                        <m:r>
                                          <w:rPr>
                                            <w:rFonts w:ascii="Cambria Math" w:hAnsi="Cambria Math"/>
                                            <w:sz w:val="20"/>
                                          </w:rPr>
                                          <m:t>S</m:t>
                                        </m:r>
                                      </m:sub>
                                    </m:sSub>
                                    <m:r>
                                      <w:rPr>
                                        <w:rFonts w:ascii="Cambria Math" w:hAnsi="Cambria Math"/>
                                        <w:sz w:val="20"/>
                                      </w:rPr>
                                      <m:t>+</m:t>
                                    </m:r>
                                  </m:e>
                                </m:func>
                                <m:sSub>
                                  <m:sSubPr>
                                    <m:ctrlPr>
                                      <w:rPr>
                                        <w:rFonts w:ascii="Cambria Math" w:hAnsi="Cambria Math"/>
                                        <w:i/>
                                        <w:sz w:val="20"/>
                                      </w:rPr>
                                    </m:ctrlPr>
                                  </m:sSubPr>
                                  <m:e>
                                    <m:r>
                                      <w:rPr>
                                        <w:rFonts w:ascii="Cambria Math" w:hAnsi="Cambria Math"/>
                                        <w:sz w:val="20"/>
                                      </w:rPr>
                                      <m:t>l</m:t>
                                    </m:r>
                                  </m:e>
                                  <m:sub>
                                    <m:r>
                                      <w:rPr>
                                        <w:rFonts w:ascii="Cambria Math" w:hAnsi="Cambria Math"/>
                                        <w:sz w:val="20"/>
                                      </w:rPr>
                                      <m:t>th</m:t>
                                    </m:r>
                                  </m:sub>
                                </m:sSub>
                                <m:r>
                                  <w:rPr>
                                    <w:rFonts w:ascii="Cambria Math" w:hAnsi="Cambria Math"/>
                                    <w:sz w:val="20"/>
                                  </w:rPr>
                                  <m:t xml:space="preserve">∙ </m:t>
                                </m:r>
                                <m:func>
                                  <m:funcPr>
                                    <m:ctrlPr>
                                      <w:rPr>
                                        <w:rFonts w:ascii="Cambria Math" w:hAnsi="Cambria Math"/>
                                        <w:i/>
                                        <w:sz w:val="20"/>
                                      </w:rPr>
                                    </m:ctrlPr>
                                  </m:funcPr>
                                  <m:fName>
                                    <m:r>
                                      <m:rPr>
                                        <m:sty m:val="p"/>
                                      </m:rPr>
                                      <w:rPr>
                                        <w:rFonts w:ascii="Cambria Math" w:hAnsi="Cambria Math"/>
                                        <w:sz w:val="20"/>
                                      </w:rPr>
                                      <m:t>cos</m:t>
                                    </m:r>
                                  </m:fName>
                                  <m:e>
                                    <m:sSub>
                                      <m:sSubPr>
                                        <m:ctrlPr>
                                          <w:rPr>
                                            <w:rFonts w:ascii="Cambria Math" w:hAnsi="Cambria Math"/>
                                            <w:i/>
                                            <w:sz w:val="20"/>
                                          </w:rPr>
                                        </m:ctrlPr>
                                      </m:sSubPr>
                                      <m:e>
                                        <m:r>
                                          <w:rPr>
                                            <w:rFonts w:ascii="Cambria Math" w:hAnsi="Cambria Math"/>
                                            <w:sz w:val="20"/>
                                          </w:rPr>
                                          <m:t>θ</m:t>
                                        </m:r>
                                      </m:e>
                                      <m:sub>
                                        <m:r>
                                          <w:rPr>
                                            <w:rFonts w:ascii="Cambria Math" w:hAnsi="Cambria Math"/>
                                            <w:sz w:val="20"/>
                                          </w:rPr>
                                          <m:t>T</m:t>
                                        </m:r>
                                      </m:sub>
                                    </m:sSub>
                                    <m:r>
                                      <w:rPr>
                                        <w:rFonts w:ascii="Cambria Math" w:hAnsi="Cambria Math"/>
                                        <w:sz w:val="20"/>
                                      </w:rPr>
                                      <m:t>+</m:t>
                                    </m:r>
                                  </m:e>
                                </m:func>
                                <m:sSub>
                                  <m:sSubPr>
                                    <m:ctrlPr>
                                      <w:rPr>
                                        <w:rFonts w:ascii="Cambria Math" w:hAnsi="Cambria Math"/>
                                        <w:i/>
                                        <w:sz w:val="20"/>
                                      </w:rPr>
                                    </m:ctrlPr>
                                  </m:sSubPr>
                                  <m:e>
                                    <m:r>
                                      <w:rPr>
                                        <w:rFonts w:ascii="Cambria Math" w:hAnsi="Cambria Math"/>
                                        <w:sz w:val="20"/>
                                      </w:rPr>
                                      <m:t>l</m:t>
                                    </m:r>
                                  </m:e>
                                  <m:sub>
                                    <m:r>
                                      <w:rPr>
                                        <w:rFonts w:ascii="Cambria Math" w:hAnsi="Cambria Math"/>
                                        <w:sz w:val="20"/>
                                      </w:rPr>
                                      <m:t>pv</m:t>
                                    </m:r>
                                  </m:sub>
                                </m:sSub>
                                <m:r>
                                  <w:rPr>
                                    <w:rFonts w:ascii="Cambria Math" w:hAnsi="Cambria Math"/>
                                    <w:sz w:val="20"/>
                                  </w:rPr>
                                  <m:t xml:space="preserve">∙ </m:t>
                                </m:r>
                                <m:func>
                                  <m:funcPr>
                                    <m:ctrlPr>
                                      <w:rPr>
                                        <w:rFonts w:ascii="Cambria Math" w:hAnsi="Cambria Math"/>
                                        <w:i/>
                                        <w:sz w:val="20"/>
                                      </w:rPr>
                                    </m:ctrlPr>
                                  </m:funcPr>
                                  <m:fName>
                                    <m:func>
                                      <m:funcPr>
                                        <m:ctrlPr>
                                          <w:rPr>
                                            <w:rFonts w:ascii="Cambria Math" w:hAnsi="Cambria Math"/>
                                            <w:sz w:val="20"/>
                                          </w:rPr>
                                        </m:ctrlPr>
                                      </m:funcPr>
                                      <m:fName>
                                        <m:r>
                                          <m:rPr>
                                            <m:sty m:val="p"/>
                                          </m:rPr>
                                          <w:rPr>
                                            <w:rFonts w:ascii="Cambria Math" w:hAnsi="Cambria Math"/>
                                            <w:sz w:val="20"/>
                                          </w:rPr>
                                          <m:t>cos</m:t>
                                        </m:r>
                                      </m:fName>
                                      <m:e>
                                        <m:sSub>
                                          <m:sSubPr>
                                            <m:ctrlPr>
                                              <w:rPr>
                                                <w:rFonts w:ascii="Cambria Math" w:hAnsi="Cambria Math"/>
                                                <w:i/>
                                                <w:sz w:val="20"/>
                                              </w:rPr>
                                            </m:ctrlPr>
                                          </m:sSubPr>
                                          <m:e>
                                            <m:r>
                                              <w:rPr>
                                                <w:rFonts w:ascii="Cambria Math" w:hAnsi="Cambria Math"/>
                                                <w:sz w:val="20"/>
                                              </w:rPr>
                                              <m:t>θ</m:t>
                                            </m:r>
                                          </m:e>
                                          <m:sub>
                                            <m:r>
                                              <w:rPr>
                                                <w:rFonts w:ascii="Cambria Math" w:hAnsi="Cambria Math"/>
                                                <w:sz w:val="20"/>
                                              </w:rPr>
                                              <m:t>P</m:t>
                                            </m:r>
                                          </m:sub>
                                        </m:sSub>
                                      </m:e>
                                    </m:func>
                                  </m:fName>
                                  <m:e>
                                    <m:r>
                                      <w:rPr>
                                        <w:rFonts w:ascii="Cambria Math" w:hAnsi="Cambria Math"/>
                                        <w:sz w:val="20"/>
                                      </w:rPr>
                                      <m:t xml:space="preserve"> </m:t>
                                    </m:r>
                                  </m:e>
                                </m:func>
                              </m:e>
                            </m:func>
                          </m:e>
                          <m:e>
                            <m:sSub>
                              <m:sSubPr>
                                <m:ctrlPr>
                                  <w:rPr>
                                    <w:rFonts w:ascii="Cambria Math" w:hAnsi="Cambria Math"/>
                                    <w:b/>
                                    <w:i/>
                                    <w:sz w:val="20"/>
                                  </w:rPr>
                                </m:ctrlPr>
                              </m:sSubPr>
                              <m:e>
                                <m:r>
                                  <m:rPr>
                                    <m:sty m:val="bi"/>
                                  </m:rPr>
                                  <w:rPr>
                                    <w:rFonts w:ascii="Cambria Math" w:hAnsi="Cambria Math"/>
                                    <w:sz w:val="20"/>
                                  </w:rPr>
                                  <m:t>L</m:t>
                                </m:r>
                              </m:e>
                              <m:sub>
                                <m:r>
                                  <m:rPr>
                                    <m:sty m:val="bi"/>
                                  </m:rPr>
                                  <w:rPr>
                                    <w:rFonts w:ascii="Cambria Math" w:hAnsi="Cambria Math"/>
                                    <w:sz w:val="20"/>
                                  </w:rPr>
                                  <m:t>Z</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l</m:t>
                                </m:r>
                              </m:e>
                              <m:sub>
                                <m:r>
                                  <w:rPr>
                                    <w:rFonts w:ascii="Cambria Math" w:hAnsi="Cambria Math"/>
                                    <w:sz w:val="20"/>
                                  </w:rPr>
                                  <m:t>ft</m:t>
                                </m:r>
                              </m:sub>
                            </m:sSub>
                            <m:r>
                              <w:rPr>
                                <w:rFonts w:ascii="Cambria Math" w:hAnsi="Cambria Math"/>
                                <w:sz w:val="20"/>
                              </w:rPr>
                              <m:t xml:space="preserve">∙ </m:t>
                            </m:r>
                            <m:func>
                              <m:funcPr>
                                <m:ctrlPr>
                                  <w:rPr>
                                    <w:rFonts w:ascii="Cambria Math" w:hAnsi="Cambria Math"/>
                                    <w:i/>
                                    <w:sz w:val="20"/>
                                  </w:rPr>
                                </m:ctrlPr>
                              </m:funcPr>
                              <m:fName>
                                <m:r>
                                  <m:rPr>
                                    <m:sty m:val="p"/>
                                  </m:rPr>
                                  <w:rPr>
                                    <w:rFonts w:ascii="Cambria Math" w:hAnsi="Cambria Math"/>
                                    <w:sz w:val="20"/>
                                  </w:rPr>
                                  <m:t>sin</m:t>
                                </m:r>
                              </m:fName>
                              <m:e>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θ</m:t>
                                        </m:r>
                                      </m:e>
                                      <m:sub>
                                        <m:r>
                                          <w:rPr>
                                            <w:rFonts w:ascii="Cambria Math" w:hAnsi="Cambria Math"/>
                                            <w:sz w:val="20"/>
                                          </w:rPr>
                                          <m:t>F</m:t>
                                        </m:r>
                                      </m:sub>
                                    </m:sSub>
                                  </m:e>
                                </m:d>
                                <m:r>
                                  <w:rPr>
                                    <w:rFonts w:ascii="Cambria Math" w:hAnsi="Cambria Math"/>
                                    <w:sz w:val="20"/>
                                  </w:rPr>
                                  <m:t>+</m:t>
                                </m:r>
                                <m:sSub>
                                  <m:sSubPr>
                                    <m:ctrlPr>
                                      <w:rPr>
                                        <w:rFonts w:ascii="Cambria Math" w:hAnsi="Cambria Math"/>
                                        <w:i/>
                                        <w:sz w:val="20"/>
                                      </w:rPr>
                                    </m:ctrlPr>
                                  </m:sSubPr>
                                  <m:e>
                                    <m:r>
                                      <w:rPr>
                                        <w:rFonts w:ascii="Cambria Math" w:hAnsi="Cambria Math"/>
                                        <w:sz w:val="20"/>
                                      </w:rPr>
                                      <m:t>l</m:t>
                                    </m:r>
                                  </m:e>
                                  <m:sub>
                                    <m:r>
                                      <w:rPr>
                                        <w:rFonts w:ascii="Cambria Math" w:hAnsi="Cambria Math"/>
                                        <w:sz w:val="20"/>
                                      </w:rPr>
                                      <m:t>sh</m:t>
                                    </m:r>
                                  </m:sub>
                                </m:sSub>
                                <m:r>
                                  <w:rPr>
                                    <w:rFonts w:ascii="Cambria Math" w:hAnsi="Cambria Math"/>
                                    <w:sz w:val="20"/>
                                  </w:rPr>
                                  <m:t xml:space="preserve">∙ </m:t>
                                </m:r>
                                <m:func>
                                  <m:funcPr>
                                    <m:ctrlPr>
                                      <w:rPr>
                                        <w:rFonts w:ascii="Cambria Math" w:hAnsi="Cambria Math"/>
                                        <w:i/>
                                        <w:sz w:val="20"/>
                                      </w:rPr>
                                    </m:ctrlPr>
                                  </m:funcPr>
                                  <m:fName>
                                    <m:r>
                                      <m:rPr>
                                        <m:sty m:val="p"/>
                                      </m:rPr>
                                      <w:rPr>
                                        <w:rFonts w:ascii="Cambria Math" w:hAnsi="Cambria Math"/>
                                        <w:sz w:val="20"/>
                                      </w:rPr>
                                      <m:t>sin</m:t>
                                    </m:r>
                                  </m:fName>
                                  <m:e>
                                    <m:sSub>
                                      <m:sSubPr>
                                        <m:ctrlPr>
                                          <w:rPr>
                                            <w:rFonts w:ascii="Cambria Math" w:hAnsi="Cambria Math"/>
                                            <w:i/>
                                            <w:sz w:val="20"/>
                                          </w:rPr>
                                        </m:ctrlPr>
                                      </m:sSubPr>
                                      <m:e>
                                        <m:r>
                                          <w:rPr>
                                            <w:rFonts w:ascii="Cambria Math" w:hAnsi="Cambria Math"/>
                                            <w:sz w:val="20"/>
                                          </w:rPr>
                                          <m:t>θ</m:t>
                                        </m:r>
                                      </m:e>
                                      <m:sub>
                                        <m:r>
                                          <w:rPr>
                                            <w:rFonts w:ascii="Cambria Math" w:hAnsi="Cambria Math"/>
                                            <w:sz w:val="20"/>
                                          </w:rPr>
                                          <m:t>S</m:t>
                                        </m:r>
                                      </m:sub>
                                    </m:sSub>
                                    <m:r>
                                      <w:rPr>
                                        <w:rFonts w:ascii="Cambria Math" w:hAnsi="Cambria Math"/>
                                        <w:sz w:val="20"/>
                                      </w:rPr>
                                      <m:t>+</m:t>
                                    </m:r>
                                  </m:e>
                                </m:func>
                                <m:sSub>
                                  <m:sSubPr>
                                    <m:ctrlPr>
                                      <w:rPr>
                                        <w:rFonts w:ascii="Cambria Math" w:hAnsi="Cambria Math"/>
                                        <w:i/>
                                        <w:sz w:val="20"/>
                                      </w:rPr>
                                    </m:ctrlPr>
                                  </m:sSubPr>
                                  <m:e>
                                    <m:r>
                                      <w:rPr>
                                        <w:rFonts w:ascii="Cambria Math" w:hAnsi="Cambria Math"/>
                                        <w:sz w:val="20"/>
                                      </w:rPr>
                                      <m:t>l</m:t>
                                    </m:r>
                                  </m:e>
                                  <m:sub>
                                    <m:r>
                                      <w:rPr>
                                        <w:rFonts w:ascii="Cambria Math" w:hAnsi="Cambria Math"/>
                                        <w:sz w:val="20"/>
                                      </w:rPr>
                                      <m:t>th</m:t>
                                    </m:r>
                                  </m:sub>
                                </m:sSub>
                                <m:r>
                                  <w:rPr>
                                    <w:rFonts w:ascii="Cambria Math" w:hAnsi="Cambria Math"/>
                                    <w:sz w:val="20"/>
                                  </w:rPr>
                                  <m:t xml:space="preserve">∙ </m:t>
                                </m:r>
                                <m:func>
                                  <m:funcPr>
                                    <m:ctrlPr>
                                      <w:rPr>
                                        <w:rFonts w:ascii="Cambria Math" w:hAnsi="Cambria Math"/>
                                        <w:i/>
                                        <w:sz w:val="20"/>
                                      </w:rPr>
                                    </m:ctrlPr>
                                  </m:funcPr>
                                  <m:fName>
                                    <m:r>
                                      <m:rPr>
                                        <m:sty m:val="p"/>
                                      </m:rPr>
                                      <w:rPr>
                                        <w:rFonts w:ascii="Cambria Math" w:hAnsi="Cambria Math"/>
                                        <w:sz w:val="20"/>
                                      </w:rPr>
                                      <m:t>sin</m:t>
                                    </m:r>
                                  </m:fName>
                                  <m:e>
                                    <m:sSub>
                                      <m:sSubPr>
                                        <m:ctrlPr>
                                          <w:rPr>
                                            <w:rFonts w:ascii="Cambria Math" w:hAnsi="Cambria Math"/>
                                            <w:i/>
                                            <w:sz w:val="20"/>
                                          </w:rPr>
                                        </m:ctrlPr>
                                      </m:sSubPr>
                                      <m:e>
                                        <m:r>
                                          <w:rPr>
                                            <w:rFonts w:ascii="Cambria Math" w:hAnsi="Cambria Math"/>
                                            <w:sz w:val="20"/>
                                          </w:rPr>
                                          <m:t>θ</m:t>
                                        </m:r>
                                      </m:e>
                                      <m:sub>
                                        <m:r>
                                          <w:rPr>
                                            <w:rFonts w:ascii="Cambria Math" w:hAnsi="Cambria Math"/>
                                            <w:sz w:val="20"/>
                                          </w:rPr>
                                          <m:t>T</m:t>
                                        </m:r>
                                      </m:sub>
                                    </m:sSub>
                                    <m:r>
                                      <w:rPr>
                                        <w:rFonts w:ascii="Cambria Math" w:hAnsi="Cambria Math"/>
                                        <w:sz w:val="20"/>
                                      </w:rPr>
                                      <m:t>+</m:t>
                                    </m:r>
                                  </m:e>
                                </m:func>
                                <m:sSub>
                                  <m:sSubPr>
                                    <m:ctrlPr>
                                      <w:rPr>
                                        <w:rFonts w:ascii="Cambria Math" w:hAnsi="Cambria Math"/>
                                        <w:i/>
                                        <w:sz w:val="20"/>
                                      </w:rPr>
                                    </m:ctrlPr>
                                  </m:sSubPr>
                                  <m:e>
                                    <m:r>
                                      <w:rPr>
                                        <w:rFonts w:ascii="Cambria Math" w:hAnsi="Cambria Math"/>
                                        <w:sz w:val="20"/>
                                      </w:rPr>
                                      <m:t>l</m:t>
                                    </m:r>
                                  </m:e>
                                  <m:sub>
                                    <m:r>
                                      <w:rPr>
                                        <w:rFonts w:ascii="Cambria Math" w:hAnsi="Cambria Math"/>
                                        <w:sz w:val="20"/>
                                      </w:rPr>
                                      <m:t>pv</m:t>
                                    </m:r>
                                  </m:sub>
                                </m:sSub>
                                <m:r>
                                  <w:rPr>
                                    <w:rFonts w:ascii="Cambria Math" w:hAnsi="Cambria Math"/>
                                    <w:sz w:val="20"/>
                                  </w:rPr>
                                  <m:t xml:space="preserve">∙ </m:t>
                                </m:r>
                                <m:func>
                                  <m:funcPr>
                                    <m:ctrlPr>
                                      <w:rPr>
                                        <w:rFonts w:ascii="Cambria Math" w:hAnsi="Cambria Math"/>
                                        <w:i/>
                                        <w:sz w:val="20"/>
                                      </w:rPr>
                                    </m:ctrlPr>
                                  </m:funcPr>
                                  <m:fName>
                                    <m:func>
                                      <m:funcPr>
                                        <m:ctrlPr>
                                          <w:rPr>
                                            <w:rFonts w:ascii="Cambria Math" w:hAnsi="Cambria Math"/>
                                            <w:sz w:val="20"/>
                                          </w:rPr>
                                        </m:ctrlPr>
                                      </m:funcPr>
                                      <m:fName>
                                        <m:r>
                                          <m:rPr>
                                            <m:sty m:val="p"/>
                                          </m:rPr>
                                          <w:rPr>
                                            <w:rFonts w:ascii="Cambria Math" w:hAnsi="Cambria Math"/>
                                            <w:sz w:val="20"/>
                                          </w:rPr>
                                          <m:t>sin</m:t>
                                        </m:r>
                                      </m:fName>
                                      <m:e>
                                        <m:sSub>
                                          <m:sSubPr>
                                            <m:ctrlPr>
                                              <w:rPr>
                                                <w:rFonts w:ascii="Cambria Math" w:hAnsi="Cambria Math"/>
                                                <w:i/>
                                                <w:sz w:val="20"/>
                                              </w:rPr>
                                            </m:ctrlPr>
                                          </m:sSubPr>
                                          <m:e>
                                            <m:r>
                                              <w:rPr>
                                                <w:rFonts w:ascii="Cambria Math" w:hAnsi="Cambria Math"/>
                                                <w:sz w:val="20"/>
                                              </w:rPr>
                                              <m:t>θ</m:t>
                                            </m:r>
                                          </m:e>
                                          <m:sub>
                                            <m:r>
                                              <w:rPr>
                                                <w:rFonts w:ascii="Cambria Math" w:hAnsi="Cambria Math"/>
                                                <w:sz w:val="20"/>
                                              </w:rPr>
                                              <m:t>P</m:t>
                                            </m:r>
                                          </m:sub>
                                        </m:sSub>
                                      </m:e>
                                    </m:func>
                                  </m:fName>
                                  <m:e>
                                    <m:r>
                                      <w:rPr>
                                        <w:rFonts w:ascii="Cambria Math" w:hAnsi="Cambria Math"/>
                                        <w:sz w:val="20"/>
                                      </w:rPr>
                                      <m:t xml:space="preserve"> </m:t>
                                    </m:r>
                                  </m:e>
                                </m:func>
                              </m:e>
                            </m:func>
                          </m:e>
                        </m:eqArr>
                      </m:e>
                    </m:d>
                  </m:e>
                  <m:sup>
                    <m:r>
                      <w:rPr>
                        <w:rFonts w:ascii="Cambria Math" w:hAnsi="Cambria Math"/>
                        <w:sz w:val="20"/>
                      </w:rPr>
                      <m:t xml:space="preserve"> </m:t>
                    </m:r>
                  </m:sup>
                </m:sSup>
              </m:oMath>
            </m:oMathPara>
          </w:p>
        </w:tc>
        <w:tc>
          <w:tcPr>
            <w:tcW w:w="843" w:type="dxa"/>
            <w:vAlign w:val="center"/>
          </w:tcPr>
          <w:p w:rsidR="00B16992" w:rsidRDefault="00B16992" w:rsidP="00B80BF1">
            <w:pPr>
              <w:jc w:val="center"/>
              <w:rPr>
                <w:sz w:val="20"/>
              </w:rPr>
            </w:pPr>
            <w:r>
              <w:rPr>
                <w:sz w:val="20"/>
              </w:rPr>
              <w:t>(2)</w:t>
            </w:r>
          </w:p>
        </w:tc>
      </w:tr>
    </w:tbl>
    <w:p w:rsidR="00B16992" w:rsidRDefault="00B16992" w:rsidP="00B16992"/>
    <w:p w:rsidR="00B16992" w:rsidRDefault="00B16992" w:rsidP="00B16992">
      <w:pPr>
        <w:rPr>
          <w:rFonts w:eastAsiaTheme="minorEastAsia"/>
        </w:rPr>
      </w:pPr>
      <w:r>
        <w:t xml:space="preserve">where </w:t>
      </w:r>
      <w:r>
        <w:rPr>
          <w:i/>
        </w:rPr>
        <w:t>l</w:t>
      </w:r>
      <w:r>
        <w:rPr>
          <w:i/>
          <w:vertAlign w:val="subscript"/>
        </w:rPr>
        <w:t>ft</w:t>
      </w:r>
      <w:r>
        <w:t xml:space="preserve"> , </w:t>
      </w:r>
      <w:r>
        <w:rPr>
          <w:i/>
        </w:rPr>
        <w:t>l</w:t>
      </w:r>
      <w:r>
        <w:rPr>
          <w:i/>
          <w:vertAlign w:val="subscript"/>
        </w:rPr>
        <w:t>sh</w:t>
      </w:r>
      <w:r>
        <w:t xml:space="preserve"> , </w:t>
      </w:r>
      <w:r>
        <w:rPr>
          <w:i/>
        </w:rPr>
        <w:t>l</w:t>
      </w:r>
      <w:r>
        <w:rPr>
          <w:i/>
          <w:vertAlign w:val="subscript"/>
        </w:rPr>
        <w:t>th</w:t>
      </w:r>
      <w:r>
        <w:t xml:space="preserve"> , and </w:t>
      </w:r>
      <w:r>
        <w:rPr>
          <w:i/>
        </w:rPr>
        <w:t>l</w:t>
      </w:r>
      <w:r>
        <w:rPr>
          <w:i/>
          <w:vertAlign w:val="subscript"/>
        </w:rPr>
        <w:t>pv</w:t>
      </w:r>
      <w:r>
        <w:t xml:space="preserve"> are the lengths of the foot, shank, thigh, and pelvis respectively; while </w:t>
      </w:r>
      <m:oMath>
        <m:sSub>
          <m:sSubPr>
            <m:ctrlPr>
              <w:rPr>
                <w:rFonts w:ascii="Cambria Math" w:hAnsi="Cambria Math"/>
                <w:i/>
                <w:sz w:val="20"/>
              </w:rPr>
            </m:ctrlPr>
          </m:sSubPr>
          <m:e>
            <m:r>
              <w:rPr>
                <w:rFonts w:ascii="Cambria Math" w:hAnsi="Cambria Math"/>
                <w:sz w:val="20"/>
              </w:rPr>
              <m:t>θ</m:t>
            </m:r>
          </m:e>
          <m:sub>
            <m:r>
              <w:rPr>
                <w:rFonts w:ascii="Cambria Math" w:hAnsi="Cambria Math"/>
                <w:sz w:val="20"/>
              </w:rPr>
              <m:t>F</m:t>
            </m:r>
          </m:sub>
        </m:sSub>
      </m:oMath>
      <w:r>
        <w:rPr>
          <w:rFonts w:eastAsiaTheme="minorEastAsia"/>
          <w:sz w:val="20"/>
        </w:rPr>
        <w:t xml:space="preserve">, </w:t>
      </w:r>
      <m:oMath>
        <m:sSub>
          <m:sSubPr>
            <m:ctrlPr>
              <w:rPr>
                <w:rFonts w:ascii="Cambria Math" w:hAnsi="Cambria Math"/>
                <w:i/>
                <w:sz w:val="20"/>
              </w:rPr>
            </m:ctrlPr>
          </m:sSubPr>
          <m:e>
            <m:r>
              <w:rPr>
                <w:rFonts w:ascii="Cambria Math" w:hAnsi="Cambria Math"/>
                <w:sz w:val="20"/>
              </w:rPr>
              <m:t>θ</m:t>
            </m:r>
          </m:e>
          <m:sub>
            <m:r>
              <w:rPr>
                <w:rFonts w:ascii="Cambria Math" w:hAnsi="Cambria Math"/>
                <w:sz w:val="20"/>
              </w:rPr>
              <m:t>S</m:t>
            </m:r>
          </m:sub>
        </m:sSub>
      </m:oMath>
      <w:r>
        <w:rPr>
          <w:rFonts w:eastAsiaTheme="minorEastAsia"/>
          <w:sz w:val="20"/>
        </w:rPr>
        <w:t xml:space="preserve">, </w:t>
      </w:r>
      <m:oMath>
        <m:sSub>
          <m:sSubPr>
            <m:ctrlPr>
              <w:rPr>
                <w:rFonts w:ascii="Cambria Math" w:hAnsi="Cambria Math"/>
                <w:i/>
                <w:sz w:val="20"/>
              </w:rPr>
            </m:ctrlPr>
          </m:sSubPr>
          <m:e>
            <m:r>
              <w:rPr>
                <w:rFonts w:ascii="Cambria Math" w:hAnsi="Cambria Math"/>
                <w:sz w:val="20"/>
              </w:rPr>
              <m:t>θ</m:t>
            </m:r>
          </m:e>
          <m:sub>
            <m:r>
              <w:rPr>
                <w:rFonts w:ascii="Cambria Math" w:hAnsi="Cambria Math"/>
                <w:sz w:val="20"/>
              </w:rPr>
              <m:t>T</m:t>
            </m:r>
          </m:sub>
        </m:sSub>
      </m:oMath>
      <w:r>
        <w:rPr>
          <w:rFonts w:eastAsiaTheme="minorEastAsia"/>
          <w:sz w:val="20"/>
        </w:rPr>
        <w:t xml:space="preserve">, </w:t>
      </w:r>
      <w:r w:rsidRPr="006E77A1">
        <w:rPr>
          <w:rFonts w:eastAsiaTheme="minorEastAsia"/>
        </w:rPr>
        <w:t>and</w:t>
      </w:r>
      <w:r w:rsidRPr="006E77A1">
        <w:rPr>
          <w:rFonts w:eastAsiaTheme="minorEastAsia"/>
          <w:sz w:val="20"/>
        </w:rPr>
        <w:t xml:space="preserve"> </w:t>
      </w:r>
      <m:oMath>
        <m:sSub>
          <m:sSubPr>
            <m:ctrlPr>
              <w:rPr>
                <w:rFonts w:ascii="Cambria Math" w:hAnsi="Cambria Math"/>
                <w:i/>
                <w:sz w:val="20"/>
              </w:rPr>
            </m:ctrlPr>
          </m:sSubPr>
          <m:e>
            <m:r>
              <w:rPr>
                <w:rFonts w:ascii="Cambria Math" w:hAnsi="Cambria Math"/>
                <w:sz w:val="20"/>
              </w:rPr>
              <m:t>θ</m:t>
            </m:r>
          </m:e>
          <m:sub>
            <m:r>
              <w:rPr>
                <w:rFonts w:ascii="Cambria Math" w:hAnsi="Cambria Math"/>
                <w:sz w:val="20"/>
              </w:rPr>
              <m:t>P</m:t>
            </m:r>
          </m:sub>
        </m:sSub>
      </m:oMath>
      <w:r w:rsidRPr="006E77A1">
        <w:rPr>
          <w:rFonts w:eastAsiaTheme="minorEastAsia"/>
          <w:sz w:val="20"/>
        </w:rPr>
        <w:t xml:space="preserve"> </w:t>
      </w:r>
      <w:r w:rsidRPr="006E77A1">
        <w:rPr>
          <w:rFonts w:eastAsiaTheme="minorEastAsia"/>
        </w:rPr>
        <w:t xml:space="preserve">are the </w:t>
      </w:r>
      <w:r>
        <w:rPr>
          <w:rFonts w:eastAsiaTheme="minorEastAsia"/>
        </w:rPr>
        <w:t>segment</w:t>
      </w:r>
      <w:r w:rsidRPr="006E77A1">
        <w:rPr>
          <w:rFonts w:eastAsiaTheme="minorEastAsia"/>
        </w:rPr>
        <w:t xml:space="preserve"> angles (with respect to the horizontal axes). </w:t>
      </w:r>
    </w:p>
    <w:p w:rsidR="00B16992" w:rsidRPr="00B16992" w:rsidRDefault="00B16992" w:rsidP="00B16992">
      <w:pPr>
        <w:pStyle w:val="Heading4"/>
        <w:numPr>
          <w:ilvl w:val="0"/>
          <w:numId w:val="0"/>
        </w:numPr>
        <w:rPr>
          <w:b/>
        </w:rPr>
      </w:pPr>
      <w:r w:rsidRPr="00B16992">
        <w:rPr>
          <w:b/>
        </w:rPr>
        <w:t>Step 2: Linear Approximation of the UCM</w:t>
      </w:r>
    </w:p>
    <w:p w:rsidR="00B16992" w:rsidRDefault="00B16992" w:rsidP="00B16992">
      <w:r>
        <w:t>A deviation matrix (</w:t>
      </w:r>
      <w:r w:rsidRPr="00AB3322">
        <w:rPr>
          <w:b/>
          <w:i/>
        </w:rPr>
        <w:t>DV</w:t>
      </w:r>
      <w:r>
        <w:t xml:space="preserve">) from the mean joint configuration at each </w:t>
      </w:r>
      <w:r>
        <w:rPr>
          <w:i/>
        </w:rPr>
        <w:t>i</w:t>
      </w:r>
      <w:r>
        <w:t xml:space="preserve">th time instant was computed for each </w:t>
      </w:r>
      <w:r w:rsidRPr="00AB3322">
        <w:rPr>
          <w:i/>
        </w:rPr>
        <w:t>j</w:t>
      </w:r>
      <w:r>
        <w:t xml:space="preserve">th </w:t>
      </w:r>
      <w:r w:rsidRPr="00AB3322">
        <w:t>stride</w:t>
      </w:r>
      <w:r>
        <w:t>:</w:t>
      </w:r>
    </w:p>
    <w:p w:rsidR="00B16992" w:rsidRDefault="00B16992" w:rsidP="00B16992"/>
    <w:tbl>
      <w:tblPr>
        <w:tblW w:w="0" w:type="auto"/>
        <w:tblLook w:val="04A0" w:firstRow="1" w:lastRow="0" w:firstColumn="1" w:lastColumn="0" w:noHBand="0" w:noVBand="1"/>
      </w:tblPr>
      <w:tblGrid>
        <w:gridCol w:w="580"/>
        <w:gridCol w:w="6899"/>
        <w:gridCol w:w="741"/>
      </w:tblGrid>
      <w:tr w:rsidR="00B16992" w:rsidRPr="00872DF0" w:rsidTr="00B80BF1">
        <w:tc>
          <w:tcPr>
            <w:tcW w:w="580" w:type="dxa"/>
            <w:vAlign w:val="center"/>
          </w:tcPr>
          <w:p w:rsidR="00B16992" w:rsidRPr="00872DF0" w:rsidRDefault="00B16992" w:rsidP="00B80BF1">
            <w:pPr>
              <w:jc w:val="center"/>
              <w:rPr>
                <w:sz w:val="20"/>
              </w:rPr>
            </w:pPr>
          </w:p>
        </w:tc>
        <w:tc>
          <w:tcPr>
            <w:tcW w:w="6899" w:type="dxa"/>
            <w:vAlign w:val="center"/>
          </w:tcPr>
          <w:p w:rsidR="00B16992" w:rsidRPr="00872DF0" w:rsidRDefault="00C525B5" w:rsidP="00B80BF1">
            <w:pPr>
              <w:jc w:val="center"/>
              <w:rPr>
                <w:sz w:val="20"/>
              </w:rPr>
            </w:pPr>
            <m:oMathPara>
              <m:oMath>
                <m:sSup>
                  <m:sSupPr>
                    <m:ctrlPr>
                      <w:rPr>
                        <w:rFonts w:ascii="Cambria Math" w:hAnsi="Cambria Math"/>
                        <w:i/>
                        <w:sz w:val="20"/>
                      </w:rPr>
                    </m:ctrlPr>
                  </m:sSupPr>
                  <m:e>
                    <m:r>
                      <m:rPr>
                        <m:sty m:val="bi"/>
                      </m:rPr>
                      <w:rPr>
                        <w:rFonts w:ascii="Cambria Math" w:hAnsi="Cambria Math"/>
                        <w:sz w:val="20"/>
                      </w:rPr>
                      <m:t>DV</m:t>
                    </m:r>
                    <m:r>
                      <w:rPr>
                        <w:rFonts w:ascii="Cambria Math" w:hAnsi="Cambria Math"/>
                        <w:sz w:val="20"/>
                      </w:rPr>
                      <m:t>(i,j)</m:t>
                    </m:r>
                  </m:e>
                  <m:sup>
                    <m:r>
                      <w:rPr>
                        <w:rFonts w:ascii="Cambria Math" w:hAnsi="Cambria Math"/>
                        <w:sz w:val="20"/>
                      </w:rPr>
                      <m:t xml:space="preserve"> </m:t>
                    </m:r>
                  </m:sup>
                </m:sSup>
                <m:r>
                  <w:rPr>
                    <w:rFonts w:ascii="Cambria Math" w:hAnsi="Cambria Math"/>
                    <w:sz w:val="20"/>
                  </w:rPr>
                  <m:t xml:space="preserve">= </m:t>
                </m:r>
                <m:d>
                  <m:dPr>
                    <m:begChr m:val="["/>
                    <m:endChr m:val="]"/>
                    <m:ctrlPr>
                      <w:rPr>
                        <w:rFonts w:ascii="Cambria Math" w:hAnsi="Cambria Math"/>
                        <w:i/>
                        <w:sz w:val="20"/>
                      </w:rPr>
                    </m:ctrlPr>
                  </m:dPr>
                  <m:e>
                    <m:m>
                      <m:mPr>
                        <m:mcs>
                          <m:mc>
                            <m:mcPr>
                              <m:count m:val="1"/>
                              <m:mcJc m:val="center"/>
                            </m:mcPr>
                          </m:mc>
                        </m:mcs>
                        <m:ctrlPr>
                          <w:rPr>
                            <w:rFonts w:ascii="Cambria Math" w:hAnsi="Cambria Math"/>
                            <w:i/>
                            <w:sz w:val="20"/>
                          </w:rPr>
                        </m:ctrlPr>
                      </m:mPr>
                      <m:mr>
                        <m:e>
                          <m:sSub>
                            <m:sSubPr>
                              <m:ctrlPr>
                                <w:rPr>
                                  <w:rFonts w:ascii="Cambria Math" w:hAnsi="Cambria Math"/>
                                  <w:i/>
                                  <w:sz w:val="20"/>
                                </w:rPr>
                              </m:ctrlPr>
                            </m:sSubPr>
                            <m:e>
                              <m:r>
                                <w:rPr>
                                  <w:rFonts w:ascii="Cambria Math" w:hAnsi="Cambria Math"/>
                                  <w:sz w:val="20"/>
                                </w:rPr>
                                <m:t>θ</m:t>
                              </m:r>
                            </m:e>
                            <m:sub>
                              <m:r>
                                <w:rPr>
                                  <w:rFonts w:ascii="Cambria Math" w:hAnsi="Cambria Math"/>
                                  <w:sz w:val="20"/>
                                </w:rPr>
                                <m:t>F</m:t>
                              </m:r>
                            </m:sub>
                          </m:sSub>
                          <m:d>
                            <m:dPr>
                              <m:ctrlPr>
                                <w:rPr>
                                  <w:rFonts w:ascii="Cambria Math" w:hAnsi="Cambria Math"/>
                                  <w:i/>
                                  <w:sz w:val="20"/>
                                </w:rPr>
                              </m:ctrlPr>
                            </m:dPr>
                            <m:e>
                              <m:r>
                                <w:rPr>
                                  <w:rFonts w:ascii="Cambria Math" w:hAnsi="Cambria Math"/>
                                  <w:sz w:val="20"/>
                                </w:rPr>
                                <m:t>i,j</m:t>
                              </m:r>
                            </m:e>
                          </m:d>
                          <m:r>
                            <w:rPr>
                              <w:rFonts w:ascii="Cambria Math" w:hAnsi="Cambria Math"/>
                              <w:sz w:val="20"/>
                            </w:rPr>
                            <m:t>-</m:t>
                          </m:r>
                          <m:sSub>
                            <m:sSubPr>
                              <m:ctrlPr>
                                <w:rPr>
                                  <w:rFonts w:ascii="Cambria Math" w:hAnsi="Cambria Math"/>
                                  <w:i/>
                                  <w:sz w:val="20"/>
                                </w:rPr>
                              </m:ctrlPr>
                            </m:sSubPr>
                            <m:e>
                              <m:bar>
                                <m:barPr>
                                  <m:pos m:val="top"/>
                                  <m:ctrlPr>
                                    <w:rPr>
                                      <w:rFonts w:ascii="Cambria Math" w:hAnsi="Cambria Math"/>
                                      <w:i/>
                                      <w:sz w:val="20"/>
                                    </w:rPr>
                                  </m:ctrlPr>
                                </m:barPr>
                                <m:e>
                                  <m:r>
                                    <w:rPr>
                                      <w:rFonts w:ascii="Cambria Math" w:hAnsi="Cambria Math"/>
                                      <w:sz w:val="20"/>
                                    </w:rPr>
                                    <m:t>θ</m:t>
                                  </m:r>
                                </m:e>
                              </m:bar>
                            </m:e>
                            <m:sub>
                              <m:r>
                                <w:rPr>
                                  <w:rFonts w:ascii="Cambria Math" w:hAnsi="Cambria Math"/>
                                  <w:sz w:val="20"/>
                                </w:rPr>
                                <m:t>F</m:t>
                              </m:r>
                            </m:sub>
                          </m:sSub>
                          <m:r>
                            <w:rPr>
                              <w:rFonts w:ascii="Cambria Math" w:hAnsi="Cambria Math"/>
                              <w:sz w:val="20"/>
                            </w:rPr>
                            <m:t>(i)</m:t>
                          </m:r>
                        </m:e>
                      </m:mr>
                      <m:mr>
                        <m:e>
                          <m:sSub>
                            <m:sSubPr>
                              <m:ctrlPr>
                                <w:rPr>
                                  <w:rFonts w:ascii="Cambria Math" w:hAnsi="Cambria Math"/>
                                  <w:i/>
                                  <w:sz w:val="20"/>
                                </w:rPr>
                              </m:ctrlPr>
                            </m:sSubPr>
                            <m:e>
                              <m:r>
                                <w:rPr>
                                  <w:rFonts w:ascii="Cambria Math" w:hAnsi="Cambria Math"/>
                                  <w:sz w:val="20"/>
                                </w:rPr>
                                <m:t>θ</m:t>
                              </m:r>
                            </m:e>
                            <m:sub>
                              <m:r>
                                <w:rPr>
                                  <w:rFonts w:ascii="Cambria Math" w:hAnsi="Cambria Math"/>
                                  <w:sz w:val="20"/>
                                </w:rPr>
                                <m:t>S</m:t>
                              </m:r>
                            </m:sub>
                          </m:sSub>
                          <m:d>
                            <m:dPr>
                              <m:ctrlPr>
                                <w:rPr>
                                  <w:rFonts w:ascii="Cambria Math" w:hAnsi="Cambria Math"/>
                                  <w:i/>
                                  <w:sz w:val="20"/>
                                </w:rPr>
                              </m:ctrlPr>
                            </m:dPr>
                            <m:e>
                              <m:r>
                                <w:rPr>
                                  <w:rFonts w:ascii="Cambria Math" w:hAnsi="Cambria Math"/>
                                  <w:sz w:val="20"/>
                                </w:rPr>
                                <m:t>i,j</m:t>
                              </m:r>
                            </m:e>
                          </m:d>
                          <m:r>
                            <w:rPr>
                              <w:rFonts w:ascii="Cambria Math" w:hAnsi="Cambria Math"/>
                              <w:sz w:val="20"/>
                            </w:rPr>
                            <m:t>-</m:t>
                          </m:r>
                          <m:sSub>
                            <m:sSubPr>
                              <m:ctrlPr>
                                <w:rPr>
                                  <w:rFonts w:ascii="Cambria Math" w:hAnsi="Cambria Math"/>
                                  <w:i/>
                                  <w:sz w:val="20"/>
                                </w:rPr>
                              </m:ctrlPr>
                            </m:sSubPr>
                            <m:e>
                              <m:bar>
                                <m:barPr>
                                  <m:pos m:val="top"/>
                                  <m:ctrlPr>
                                    <w:rPr>
                                      <w:rFonts w:ascii="Cambria Math" w:hAnsi="Cambria Math"/>
                                      <w:i/>
                                      <w:sz w:val="20"/>
                                    </w:rPr>
                                  </m:ctrlPr>
                                </m:barPr>
                                <m:e>
                                  <m:r>
                                    <w:rPr>
                                      <w:rFonts w:ascii="Cambria Math" w:hAnsi="Cambria Math"/>
                                      <w:sz w:val="20"/>
                                    </w:rPr>
                                    <m:t>θ</m:t>
                                  </m:r>
                                </m:e>
                              </m:bar>
                            </m:e>
                            <m:sub>
                              <m:r>
                                <w:rPr>
                                  <w:rFonts w:ascii="Cambria Math" w:hAnsi="Cambria Math"/>
                                  <w:sz w:val="20"/>
                                </w:rPr>
                                <m:t>S</m:t>
                              </m:r>
                            </m:sub>
                          </m:sSub>
                          <m:r>
                            <w:rPr>
                              <w:rFonts w:ascii="Cambria Math" w:hAnsi="Cambria Math"/>
                              <w:sz w:val="20"/>
                            </w:rPr>
                            <m:t>(i)</m:t>
                          </m:r>
                        </m:e>
                      </m:mr>
                      <m:mr>
                        <m:e>
                          <m:sSub>
                            <m:sSubPr>
                              <m:ctrlPr>
                                <w:rPr>
                                  <w:rFonts w:ascii="Cambria Math" w:hAnsi="Cambria Math"/>
                                  <w:i/>
                                  <w:sz w:val="20"/>
                                </w:rPr>
                              </m:ctrlPr>
                            </m:sSubPr>
                            <m:e>
                              <m:r>
                                <w:rPr>
                                  <w:rFonts w:ascii="Cambria Math" w:hAnsi="Cambria Math"/>
                                  <w:sz w:val="20"/>
                                </w:rPr>
                                <m:t>θ</m:t>
                              </m:r>
                            </m:e>
                            <m:sub>
                              <m:r>
                                <w:rPr>
                                  <w:rFonts w:ascii="Cambria Math" w:hAnsi="Cambria Math"/>
                                  <w:sz w:val="20"/>
                                </w:rPr>
                                <m:t>T</m:t>
                              </m:r>
                            </m:sub>
                          </m:sSub>
                          <m:d>
                            <m:dPr>
                              <m:ctrlPr>
                                <w:rPr>
                                  <w:rFonts w:ascii="Cambria Math" w:hAnsi="Cambria Math"/>
                                  <w:i/>
                                  <w:sz w:val="20"/>
                                </w:rPr>
                              </m:ctrlPr>
                            </m:dPr>
                            <m:e>
                              <m:r>
                                <w:rPr>
                                  <w:rFonts w:ascii="Cambria Math" w:hAnsi="Cambria Math"/>
                                  <w:sz w:val="20"/>
                                </w:rPr>
                                <m:t>i,j</m:t>
                              </m:r>
                            </m:e>
                          </m:d>
                          <m:r>
                            <w:rPr>
                              <w:rFonts w:ascii="Cambria Math" w:hAnsi="Cambria Math"/>
                              <w:sz w:val="20"/>
                            </w:rPr>
                            <m:t>-</m:t>
                          </m:r>
                          <m:sSub>
                            <m:sSubPr>
                              <m:ctrlPr>
                                <w:rPr>
                                  <w:rFonts w:ascii="Cambria Math" w:hAnsi="Cambria Math"/>
                                  <w:i/>
                                  <w:sz w:val="20"/>
                                </w:rPr>
                              </m:ctrlPr>
                            </m:sSubPr>
                            <m:e>
                              <m:bar>
                                <m:barPr>
                                  <m:pos m:val="top"/>
                                  <m:ctrlPr>
                                    <w:rPr>
                                      <w:rFonts w:ascii="Cambria Math" w:hAnsi="Cambria Math"/>
                                      <w:i/>
                                      <w:sz w:val="20"/>
                                    </w:rPr>
                                  </m:ctrlPr>
                                </m:barPr>
                                <m:e>
                                  <m:r>
                                    <w:rPr>
                                      <w:rFonts w:ascii="Cambria Math" w:hAnsi="Cambria Math"/>
                                      <w:sz w:val="20"/>
                                    </w:rPr>
                                    <m:t>θ</m:t>
                                  </m:r>
                                </m:e>
                              </m:bar>
                            </m:e>
                            <m:sub>
                              <m:r>
                                <w:rPr>
                                  <w:rFonts w:ascii="Cambria Math" w:hAnsi="Cambria Math"/>
                                  <w:sz w:val="20"/>
                                </w:rPr>
                                <m:t>T</m:t>
                              </m:r>
                            </m:sub>
                          </m:sSub>
                          <m:r>
                            <w:rPr>
                              <w:rFonts w:ascii="Cambria Math" w:hAnsi="Cambria Math"/>
                              <w:sz w:val="20"/>
                            </w:rPr>
                            <m:t>(i)</m:t>
                          </m:r>
                          <m:ctrlPr>
                            <w:rPr>
                              <w:rFonts w:ascii="Cambria Math" w:eastAsia="Cambria Math" w:hAnsi="Cambria Math" w:cs="Cambria Math"/>
                              <w:i/>
                              <w:sz w:val="20"/>
                            </w:rPr>
                          </m:ctrlPr>
                        </m:e>
                      </m:mr>
                      <m:mr>
                        <m:e>
                          <m:sSub>
                            <m:sSubPr>
                              <m:ctrlPr>
                                <w:rPr>
                                  <w:rFonts w:ascii="Cambria Math" w:hAnsi="Cambria Math"/>
                                  <w:i/>
                                  <w:sz w:val="20"/>
                                </w:rPr>
                              </m:ctrlPr>
                            </m:sSubPr>
                            <m:e>
                              <m:r>
                                <w:rPr>
                                  <w:rFonts w:ascii="Cambria Math" w:hAnsi="Cambria Math"/>
                                  <w:sz w:val="20"/>
                                </w:rPr>
                                <m:t>θ</m:t>
                              </m:r>
                            </m:e>
                            <m:sub>
                              <m:r>
                                <w:rPr>
                                  <w:rFonts w:ascii="Cambria Math" w:hAnsi="Cambria Math"/>
                                  <w:sz w:val="20"/>
                                </w:rPr>
                                <m:t>P</m:t>
                              </m:r>
                            </m:sub>
                          </m:sSub>
                          <m:d>
                            <m:dPr>
                              <m:ctrlPr>
                                <w:rPr>
                                  <w:rFonts w:ascii="Cambria Math" w:hAnsi="Cambria Math"/>
                                  <w:i/>
                                  <w:sz w:val="20"/>
                                </w:rPr>
                              </m:ctrlPr>
                            </m:dPr>
                            <m:e>
                              <m:r>
                                <w:rPr>
                                  <w:rFonts w:ascii="Cambria Math" w:hAnsi="Cambria Math"/>
                                  <w:sz w:val="20"/>
                                </w:rPr>
                                <m:t>i,j</m:t>
                              </m:r>
                            </m:e>
                          </m:d>
                          <m:r>
                            <w:rPr>
                              <w:rFonts w:ascii="Cambria Math" w:hAnsi="Cambria Math"/>
                              <w:sz w:val="20"/>
                            </w:rPr>
                            <m:t>-</m:t>
                          </m:r>
                          <m:sSub>
                            <m:sSubPr>
                              <m:ctrlPr>
                                <w:rPr>
                                  <w:rFonts w:ascii="Cambria Math" w:hAnsi="Cambria Math"/>
                                  <w:i/>
                                  <w:sz w:val="20"/>
                                </w:rPr>
                              </m:ctrlPr>
                            </m:sSubPr>
                            <m:e>
                              <m:bar>
                                <m:barPr>
                                  <m:pos m:val="top"/>
                                  <m:ctrlPr>
                                    <w:rPr>
                                      <w:rFonts w:ascii="Cambria Math" w:hAnsi="Cambria Math"/>
                                      <w:i/>
                                      <w:sz w:val="20"/>
                                    </w:rPr>
                                  </m:ctrlPr>
                                </m:barPr>
                                <m:e>
                                  <m:r>
                                    <w:rPr>
                                      <w:rFonts w:ascii="Cambria Math" w:hAnsi="Cambria Math"/>
                                      <w:sz w:val="20"/>
                                    </w:rPr>
                                    <m:t>θ</m:t>
                                  </m:r>
                                </m:e>
                              </m:bar>
                            </m:e>
                            <m:sub>
                              <m:r>
                                <w:rPr>
                                  <w:rFonts w:ascii="Cambria Math" w:hAnsi="Cambria Math"/>
                                  <w:sz w:val="20"/>
                                </w:rPr>
                                <m:t>P</m:t>
                              </m:r>
                            </m:sub>
                          </m:sSub>
                          <m:r>
                            <w:rPr>
                              <w:rFonts w:ascii="Cambria Math" w:hAnsi="Cambria Math"/>
                              <w:sz w:val="20"/>
                            </w:rPr>
                            <m:t>(i)</m:t>
                          </m:r>
                        </m:e>
                      </m:mr>
                    </m:m>
                  </m:e>
                </m:d>
              </m:oMath>
            </m:oMathPara>
          </w:p>
        </w:tc>
        <w:tc>
          <w:tcPr>
            <w:tcW w:w="741" w:type="dxa"/>
            <w:vAlign w:val="center"/>
          </w:tcPr>
          <w:p w:rsidR="00B16992" w:rsidRPr="00872DF0" w:rsidRDefault="00B16992" w:rsidP="00B80BF1">
            <w:pPr>
              <w:jc w:val="center"/>
              <w:rPr>
                <w:sz w:val="20"/>
              </w:rPr>
            </w:pPr>
            <w:r w:rsidRPr="00872DF0">
              <w:rPr>
                <w:sz w:val="20"/>
              </w:rPr>
              <w:t>(</w:t>
            </w:r>
            <w:r>
              <w:rPr>
                <w:sz w:val="20"/>
              </w:rPr>
              <w:t>3</w:t>
            </w:r>
            <w:r w:rsidRPr="00872DF0">
              <w:rPr>
                <w:sz w:val="20"/>
              </w:rPr>
              <w:t>)</w:t>
            </w:r>
          </w:p>
        </w:tc>
      </w:tr>
      <w:tr w:rsidR="00B16992" w:rsidRPr="00872DF0" w:rsidTr="00B80BF1">
        <w:tc>
          <w:tcPr>
            <w:tcW w:w="580" w:type="dxa"/>
            <w:vAlign w:val="center"/>
          </w:tcPr>
          <w:p w:rsidR="00B16992" w:rsidRPr="00872DF0" w:rsidRDefault="00B16992" w:rsidP="00B80BF1">
            <w:pPr>
              <w:jc w:val="center"/>
              <w:rPr>
                <w:sz w:val="20"/>
              </w:rPr>
            </w:pPr>
          </w:p>
        </w:tc>
        <w:tc>
          <w:tcPr>
            <w:tcW w:w="6899" w:type="dxa"/>
            <w:vAlign w:val="center"/>
          </w:tcPr>
          <w:p w:rsidR="00B16992" w:rsidRDefault="00B16992" w:rsidP="00B80BF1">
            <w:pPr>
              <w:jc w:val="center"/>
              <w:rPr>
                <w:rFonts w:eastAsia="Calibri"/>
                <w:sz w:val="20"/>
              </w:rPr>
            </w:pPr>
          </w:p>
        </w:tc>
        <w:tc>
          <w:tcPr>
            <w:tcW w:w="741" w:type="dxa"/>
            <w:vAlign w:val="center"/>
          </w:tcPr>
          <w:p w:rsidR="00B16992" w:rsidRPr="00872DF0" w:rsidRDefault="00B16992" w:rsidP="00B80BF1">
            <w:pPr>
              <w:jc w:val="center"/>
              <w:rPr>
                <w:sz w:val="20"/>
              </w:rPr>
            </w:pPr>
          </w:p>
        </w:tc>
      </w:tr>
    </w:tbl>
    <w:p w:rsidR="00B16992" w:rsidRDefault="00B16992" w:rsidP="00B16992">
      <w:pPr>
        <w:rPr>
          <w:rFonts w:eastAsiaTheme="minorEastAsia"/>
        </w:rPr>
      </w:pPr>
      <w:r>
        <w:t>The Jacobian matrix (</w:t>
      </w:r>
      <w:r w:rsidRPr="008901EC">
        <w:rPr>
          <w:b/>
          <w:i/>
        </w:rPr>
        <w:t>J</w:t>
      </w:r>
      <w:r>
        <w:t xml:space="preserve">) </w:t>
      </w:r>
      <w:r w:rsidRPr="008901EC">
        <w:t>relating</w:t>
      </w:r>
      <w:r>
        <w:t xml:space="preserve"> partial changes in elemental variables (i.e. </w:t>
      </w:r>
      <m:oMath>
        <m:sSub>
          <m:sSubPr>
            <m:ctrlPr>
              <w:rPr>
                <w:rFonts w:ascii="Cambria Math" w:hAnsi="Cambria Math"/>
                <w:i/>
                <w:sz w:val="20"/>
              </w:rPr>
            </m:ctrlPr>
          </m:sSubPr>
          <m:e>
            <m:r>
              <w:rPr>
                <w:rFonts w:ascii="Cambria Math" w:hAnsi="Cambria Math"/>
                <w:sz w:val="20"/>
              </w:rPr>
              <m:t>θ</m:t>
            </m:r>
          </m:e>
          <m:sub>
            <m:r>
              <w:rPr>
                <w:rFonts w:ascii="Cambria Math" w:hAnsi="Cambria Math"/>
                <w:sz w:val="20"/>
              </w:rPr>
              <m:t>F</m:t>
            </m:r>
          </m:sub>
        </m:sSub>
        <m:r>
          <w:rPr>
            <w:rFonts w:ascii="Cambria Math" w:hAnsi="Cambria Math"/>
            <w:sz w:val="20"/>
          </w:rPr>
          <m:t>,</m:t>
        </m:r>
        <m:sSub>
          <m:sSubPr>
            <m:ctrlPr>
              <w:rPr>
                <w:rFonts w:ascii="Cambria Math" w:hAnsi="Cambria Math"/>
                <w:i/>
                <w:sz w:val="20"/>
              </w:rPr>
            </m:ctrlPr>
          </m:sSubPr>
          <m:e>
            <m:r>
              <w:rPr>
                <w:rFonts w:ascii="Cambria Math" w:hAnsi="Cambria Math"/>
                <w:sz w:val="20"/>
              </w:rPr>
              <m:t>θ</m:t>
            </m:r>
          </m:e>
          <m:sub>
            <m:r>
              <w:rPr>
                <w:rFonts w:ascii="Cambria Math" w:hAnsi="Cambria Math"/>
                <w:sz w:val="20"/>
              </w:rPr>
              <m:t>S</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θ</m:t>
            </m:r>
          </m:e>
          <m:sub>
            <m:r>
              <w:rPr>
                <w:rFonts w:ascii="Cambria Math" w:hAnsi="Cambria Math"/>
                <w:sz w:val="20"/>
              </w:rPr>
              <m:t>T</m:t>
            </m:r>
          </m:sub>
        </m:sSub>
        <m:r>
          <w:rPr>
            <w:rFonts w:ascii="Cambria Math" w:hAnsi="Cambria Math"/>
            <w:sz w:val="20"/>
          </w:rPr>
          <m:t>,</m:t>
        </m:r>
        <m:sSub>
          <m:sSubPr>
            <m:ctrlPr>
              <w:rPr>
                <w:rFonts w:ascii="Cambria Math" w:hAnsi="Cambria Math"/>
                <w:i/>
                <w:sz w:val="20"/>
              </w:rPr>
            </m:ctrlPr>
          </m:sSubPr>
          <m:e>
            <m:r>
              <w:rPr>
                <w:rFonts w:ascii="Cambria Math" w:hAnsi="Cambria Math"/>
                <w:sz w:val="20"/>
              </w:rPr>
              <m:t>θ</m:t>
            </m:r>
          </m:e>
          <m:sub>
            <m:r>
              <w:rPr>
                <w:rFonts w:ascii="Cambria Math" w:hAnsi="Cambria Math"/>
                <w:sz w:val="20"/>
              </w:rPr>
              <m:t>P</m:t>
            </m:r>
          </m:sub>
        </m:sSub>
      </m:oMath>
      <w:r>
        <w:rPr>
          <w:rFonts w:eastAsiaTheme="minorEastAsia"/>
          <w:sz w:val="20"/>
        </w:rPr>
        <w:t xml:space="preserve">) </w:t>
      </w:r>
      <w:r w:rsidRPr="000D553B">
        <w:rPr>
          <w:rFonts w:eastAsiaTheme="minorEastAsia"/>
        </w:rPr>
        <w:t xml:space="preserve">to partial changes in the </w:t>
      </w:r>
      <w:r w:rsidR="005E6773">
        <w:rPr>
          <w:rFonts w:eastAsiaTheme="minorEastAsia"/>
        </w:rPr>
        <w:t>control</w:t>
      </w:r>
      <w:r w:rsidRPr="000D553B">
        <w:rPr>
          <w:rFonts w:eastAsiaTheme="minorEastAsia"/>
        </w:rPr>
        <w:t xml:space="preserve"> variables </w:t>
      </w:r>
      <w:r>
        <w:rPr>
          <w:rFonts w:eastAsiaTheme="minorEastAsia"/>
          <w:sz w:val="20"/>
        </w:rPr>
        <w:t xml:space="preserve">(i.e. </w:t>
      </w:r>
      <m:oMath>
        <m:sSub>
          <m:sSubPr>
            <m:ctrlPr>
              <w:rPr>
                <w:rFonts w:ascii="Cambria Math" w:hAnsi="Cambria Math"/>
                <w:i/>
                <w:sz w:val="20"/>
              </w:rPr>
            </m:ctrlPr>
          </m:sSubPr>
          <m:e>
            <m:r>
              <w:rPr>
                <w:rFonts w:ascii="Cambria Math" w:hAnsi="Cambria Math"/>
                <w:sz w:val="20"/>
              </w:rPr>
              <m:t>Leg</m:t>
            </m:r>
          </m:e>
          <m:sub>
            <m:r>
              <w:rPr>
                <w:rFonts w:ascii="Cambria Math" w:hAnsi="Cambria Math"/>
                <w:sz w:val="20"/>
              </w:rPr>
              <m:t>Y</m:t>
            </m:r>
          </m:sub>
        </m:sSub>
        <m:r>
          <w:rPr>
            <w:rFonts w:ascii="Cambria Math" w:hAnsi="Cambria Math"/>
            <w:sz w:val="20"/>
          </w:rPr>
          <m:t>,</m:t>
        </m:r>
        <m:sSub>
          <m:sSubPr>
            <m:ctrlPr>
              <w:rPr>
                <w:rFonts w:ascii="Cambria Math" w:hAnsi="Cambria Math"/>
                <w:i/>
                <w:sz w:val="20"/>
              </w:rPr>
            </m:ctrlPr>
          </m:sSubPr>
          <m:e>
            <m:r>
              <w:rPr>
                <w:rFonts w:ascii="Cambria Math" w:hAnsi="Cambria Math"/>
                <w:sz w:val="20"/>
              </w:rPr>
              <m:t>Leg</m:t>
            </m:r>
          </m:e>
          <m:sub>
            <m:r>
              <w:rPr>
                <w:rFonts w:ascii="Cambria Math" w:hAnsi="Cambria Math"/>
                <w:sz w:val="20"/>
              </w:rPr>
              <m:t>Z</m:t>
            </m:r>
          </m:sub>
        </m:sSub>
      </m:oMath>
      <w:r>
        <w:rPr>
          <w:rFonts w:eastAsiaTheme="minorEastAsia"/>
          <w:sz w:val="20"/>
        </w:rPr>
        <w:t xml:space="preserve">), </w:t>
      </w:r>
      <w:r w:rsidRPr="008901EC">
        <w:rPr>
          <w:rFonts w:eastAsiaTheme="minorEastAsia"/>
        </w:rPr>
        <w:t xml:space="preserve">was computed around </w:t>
      </w:r>
      <w:r>
        <w:rPr>
          <w:rFonts w:eastAsiaTheme="minorEastAsia"/>
        </w:rPr>
        <w:t xml:space="preserve">the mean joint configuration (i.e. </w:t>
      </w:r>
      <m:oMath>
        <m:sSub>
          <m:sSubPr>
            <m:ctrlPr>
              <w:rPr>
                <w:rFonts w:ascii="Cambria Math" w:hAnsi="Cambria Math"/>
                <w:i/>
                <w:sz w:val="20"/>
              </w:rPr>
            </m:ctrlPr>
          </m:sSubPr>
          <m:e>
            <m:bar>
              <m:barPr>
                <m:pos m:val="top"/>
                <m:ctrlPr>
                  <w:rPr>
                    <w:rFonts w:ascii="Cambria Math" w:hAnsi="Cambria Math"/>
                    <w:i/>
                    <w:sz w:val="20"/>
                  </w:rPr>
                </m:ctrlPr>
              </m:barPr>
              <m:e>
                <m:r>
                  <w:rPr>
                    <w:rFonts w:ascii="Cambria Math" w:hAnsi="Cambria Math"/>
                    <w:sz w:val="20"/>
                  </w:rPr>
                  <m:t>θ</m:t>
                </m:r>
              </m:e>
            </m:bar>
          </m:e>
          <m:sub>
            <m:r>
              <w:rPr>
                <w:rFonts w:ascii="Cambria Math" w:hAnsi="Cambria Math"/>
                <w:sz w:val="20"/>
              </w:rPr>
              <m:t>F</m:t>
            </m:r>
          </m:sub>
        </m:sSub>
        <m:r>
          <w:rPr>
            <w:rFonts w:ascii="Cambria Math" w:hAnsi="Cambria Math"/>
            <w:sz w:val="20"/>
          </w:rPr>
          <m:t>,</m:t>
        </m:r>
        <m:sSub>
          <m:sSubPr>
            <m:ctrlPr>
              <w:rPr>
                <w:rFonts w:ascii="Cambria Math" w:hAnsi="Cambria Math"/>
                <w:i/>
                <w:sz w:val="20"/>
              </w:rPr>
            </m:ctrlPr>
          </m:sSubPr>
          <m:e>
            <m:bar>
              <m:barPr>
                <m:pos m:val="top"/>
                <m:ctrlPr>
                  <w:rPr>
                    <w:rFonts w:ascii="Cambria Math" w:hAnsi="Cambria Math"/>
                    <w:i/>
                    <w:sz w:val="20"/>
                  </w:rPr>
                </m:ctrlPr>
              </m:barPr>
              <m:e>
                <m:r>
                  <w:rPr>
                    <w:rFonts w:ascii="Cambria Math" w:hAnsi="Cambria Math"/>
                    <w:sz w:val="20"/>
                  </w:rPr>
                  <m:t>θ</m:t>
                </m:r>
              </m:e>
            </m:bar>
          </m:e>
          <m:sub>
            <m:r>
              <w:rPr>
                <w:rFonts w:ascii="Cambria Math" w:hAnsi="Cambria Math"/>
                <w:sz w:val="20"/>
              </w:rPr>
              <m:t>S</m:t>
            </m:r>
          </m:sub>
        </m:sSub>
        <m:r>
          <w:rPr>
            <w:rFonts w:ascii="Cambria Math" w:hAnsi="Cambria Math"/>
            <w:sz w:val="20"/>
          </w:rPr>
          <m:t xml:space="preserve">, </m:t>
        </m:r>
        <m:sSub>
          <m:sSubPr>
            <m:ctrlPr>
              <w:rPr>
                <w:rFonts w:ascii="Cambria Math" w:hAnsi="Cambria Math"/>
                <w:i/>
                <w:sz w:val="20"/>
              </w:rPr>
            </m:ctrlPr>
          </m:sSubPr>
          <m:e>
            <m:bar>
              <m:barPr>
                <m:pos m:val="top"/>
                <m:ctrlPr>
                  <w:rPr>
                    <w:rFonts w:ascii="Cambria Math" w:hAnsi="Cambria Math"/>
                    <w:i/>
                    <w:sz w:val="20"/>
                  </w:rPr>
                </m:ctrlPr>
              </m:barPr>
              <m:e>
                <m:r>
                  <w:rPr>
                    <w:rFonts w:ascii="Cambria Math" w:hAnsi="Cambria Math"/>
                    <w:sz w:val="20"/>
                  </w:rPr>
                  <m:t>θ</m:t>
                </m:r>
              </m:e>
            </m:bar>
          </m:e>
          <m:sub>
            <m:r>
              <w:rPr>
                <w:rFonts w:ascii="Cambria Math" w:hAnsi="Cambria Math"/>
                <w:sz w:val="20"/>
              </w:rPr>
              <m:t>T</m:t>
            </m:r>
          </m:sub>
        </m:sSub>
        <m:r>
          <w:rPr>
            <w:rFonts w:ascii="Cambria Math" w:hAnsi="Cambria Math"/>
            <w:sz w:val="20"/>
          </w:rPr>
          <m:t>,</m:t>
        </m:r>
        <m:sSub>
          <m:sSubPr>
            <m:ctrlPr>
              <w:rPr>
                <w:rFonts w:ascii="Cambria Math" w:hAnsi="Cambria Math"/>
                <w:i/>
                <w:sz w:val="20"/>
              </w:rPr>
            </m:ctrlPr>
          </m:sSubPr>
          <m:e>
            <m:bar>
              <m:barPr>
                <m:pos m:val="top"/>
                <m:ctrlPr>
                  <w:rPr>
                    <w:rFonts w:ascii="Cambria Math" w:hAnsi="Cambria Math"/>
                    <w:i/>
                    <w:sz w:val="20"/>
                  </w:rPr>
                </m:ctrlPr>
              </m:barPr>
              <m:e>
                <m:r>
                  <w:rPr>
                    <w:rFonts w:ascii="Cambria Math" w:hAnsi="Cambria Math"/>
                    <w:sz w:val="20"/>
                  </w:rPr>
                  <m:t>θ</m:t>
                </m:r>
              </m:e>
            </m:bar>
          </m:e>
          <m:sub>
            <m:r>
              <w:rPr>
                <w:rFonts w:ascii="Cambria Math" w:hAnsi="Cambria Math"/>
                <w:sz w:val="20"/>
              </w:rPr>
              <m:t>P</m:t>
            </m:r>
          </m:sub>
        </m:sSub>
      </m:oMath>
      <w:r>
        <w:rPr>
          <w:rFonts w:eastAsiaTheme="minorEastAsia"/>
        </w:rPr>
        <w:t>) across the set of strides (trials) for each time slice of the period (</w:t>
      </w:r>
      <w:r>
        <w:rPr>
          <w:rFonts w:eastAsiaTheme="minorEastAsia"/>
          <w:i/>
        </w:rPr>
        <w:t>i</w:t>
      </w:r>
      <w:r>
        <w:rPr>
          <w:rFonts w:eastAsiaTheme="minorEastAsia"/>
        </w:rPr>
        <w:t xml:space="preserve">=21). </w:t>
      </w:r>
    </w:p>
    <w:p w:rsidR="00B16992" w:rsidRPr="00B16992" w:rsidRDefault="00B16992" w:rsidP="00B16992">
      <w:pPr>
        <w:pStyle w:val="Heading4"/>
        <w:numPr>
          <w:ilvl w:val="0"/>
          <w:numId w:val="0"/>
        </w:numPr>
        <w:ind w:left="864" w:hanging="864"/>
      </w:pPr>
      <w:bookmarkStart w:id="2" w:name="_Toc17702769"/>
      <w:bookmarkStart w:id="3" w:name="_Toc333559490"/>
      <w:r w:rsidRPr="00B16992">
        <w:rPr>
          <w:rStyle w:val="Heading2Char"/>
        </w:rPr>
        <w:t>Step 3: Projecting the joint configuration</w:t>
      </w:r>
      <w:bookmarkEnd w:id="2"/>
      <w:r w:rsidRPr="00B16992">
        <w:t xml:space="preserve"> </w:t>
      </w:r>
      <w:r w:rsidRPr="00B16992">
        <w:rPr>
          <w:b/>
        </w:rPr>
        <w:t xml:space="preserve">onto the </w:t>
      </w:r>
      <w:bookmarkEnd w:id="3"/>
      <w:r w:rsidRPr="00B16992">
        <w:rPr>
          <w:b/>
        </w:rPr>
        <w:t>UCM</w:t>
      </w:r>
    </w:p>
    <w:p w:rsidR="00B16992" w:rsidRDefault="00B16992" w:rsidP="00B16992">
      <w:pPr>
        <w:rPr>
          <w:rFonts w:eastAsiaTheme="minorEastAsia"/>
        </w:rPr>
      </w:pPr>
      <w:r>
        <w:t>The next step was to compute the null space of the Jacobian matrix (</w:t>
      </w:r>
      <w:r w:rsidRPr="00577780">
        <w:rPr>
          <w:b/>
          <w:i/>
        </w:rPr>
        <w:t>N(</w:t>
      </w:r>
      <w:r>
        <w:rPr>
          <w:b/>
          <w:i/>
        </w:rPr>
        <w:t>J)</w:t>
      </w:r>
      <w:r>
        <w:t xml:space="preserve">). </w:t>
      </w:r>
      <w:r w:rsidRPr="000D553B">
        <w:rPr>
          <w:rFonts w:eastAsiaTheme="minorEastAsia"/>
        </w:rPr>
        <w:t xml:space="preserve">The null space is the linear subspace of all the </w:t>
      </w:r>
      <w:r>
        <w:rPr>
          <w:rFonts w:eastAsiaTheme="minorEastAsia"/>
        </w:rPr>
        <w:t>segment</w:t>
      </w:r>
      <w:r w:rsidRPr="000D553B">
        <w:rPr>
          <w:rFonts w:eastAsiaTheme="minorEastAsia"/>
        </w:rPr>
        <w:t xml:space="preserve"> angle combinations that result in no change </w:t>
      </w:r>
      <w:r>
        <w:rPr>
          <w:rFonts w:eastAsiaTheme="minorEastAsia"/>
        </w:rPr>
        <w:t>to the</w:t>
      </w:r>
      <w:r w:rsidRPr="000D553B">
        <w:rPr>
          <w:rFonts w:eastAsiaTheme="minorEastAsia"/>
        </w:rPr>
        <w:t xml:space="preserve"> </w:t>
      </w:r>
      <w:r>
        <w:rPr>
          <w:rFonts w:eastAsiaTheme="minorEastAsia"/>
        </w:rPr>
        <w:t>end-effector position</w:t>
      </w:r>
      <w:r w:rsidRPr="000D553B">
        <w:rPr>
          <w:rFonts w:eastAsiaTheme="minorEastAsia"/>
        </w:rPr>
        <w:t xml:space="preserve"> </w:t>
      </w:r>
      <w:r w:rsidRPr="000D553B">
        <w:rPr>
          <w:rFonts w:eastAsiaTheme="minorEastAsia"/>
        </w:rPr>
        <w:fldChar w:fldCharType="begin"/>
      </w:r>
      <w:r w:rsidR="00063A07">
        <w:rPr>
          <w:rFonts w:eastAsiaTheme="minorEastAsia"/>
        </w:rPr>
        <w:instrText xml:space="preserve"> ADDIN EN.CITE &lt;EndNote&gt;&lt;Cite&gt;&lt;Author&gt;Latash&lt;/Author&gt;&lt;Year&gt;2007&lt;/Year&gt;&lt;RecNum&gt;1756&lt;/RecNum&gt;&lt;DisplayText&gt;[3]&lt;/DisplayText&gt;&lt;record&gt;&lt;rec-number&gt;1756&lt;/rec-number&gt;&lt;foreign-keys&gt;&lt;key app="EN" db-id="td0d5dedv0pzv5ev5xop0rpf0rx0ttr5zfef" timestamp="1462950378"&gt;1756&lt;/key&gt;&lt;/foreign-keys&gt;&lt;ref-type name="Journal Article"&gt;17&lt;/ref-type&gt;&lt;contributors&gt;&lt;authors&gt;&lt;author&gt;Latash, Mark L&lt;/author&gt;&lt;author&gt;Scholz, John P&lt;/author&gt;&lt;author&gt;Schoner, G&lt;/author&gt;&lt;/authors&gt;&lt;/contributors&gt;&lt;titles&gt;&lt;title&gt;Toward a new theory of motor synergies&lt;/title&gt;&lt;secondary-title&gt;MOTOR CONTROL-CHAMPAIGN-&lt;/secondary-title&gt;&lt;/titles&gt;&lt;periodical&gt;&lt;full-title&gt;MOTOR CONTROL-CHAMPAIGN-&lt;/full-title&gt;&lt;/periodical&gt;&lt;pages&gt;276&lt;/pages&gt;&lt;volume&gt;11&lt;/volume&gt;&lt;number&gt;3&lt;/number&gt;&lt;dates&gt;&lt;year&gt;2007&lt;/year&gt;&lt;/dates&gt;&lt;isbn&gt;1087-1640&lt;/isbn&gt;&lt;urls&gt;&lt;/urls&gt;&lt;/record&gt;&lt;/Cite&gt;&lt;/EndNote&gt;</w:instrText>
      </w:r>
      <w:r w:rsidRPr="000D553B">
        <w:rPr>
          <w:rFonts w:eastAsiaTheme="minorEastAsia"/>
        </w:rPr>
        <w:fldChar w:fldCharType="separate"/>
      </w:r>
      <w:r w:rsidR="00063A07">
        <w:rPr>
          <w:rFonts w:eastAsiaTheme="minorEastAsia"/>
          <w:noProof/>
        </w:rPr>
        <w:t>[3]</w:t>
      </w:r>
      <w:r w:rsidRPr="000D553B">
        <w:rPr>
          <w:rFonts w:eastAsiaTheme="minorEastAsia"/>
        </w:rPr>
        <w:fldChar w:fldCharType="end"/>
      </w:r>
      <w:r w:rsidRPr="000D553B">
        <w:rPr>
          <w:rFonts w:eastAsiaTheme="minorEastAsia"/>
        </w:rPr>
        <w:t xml:space="preserve">. </w:t>
      </w:r>
      <w:r>
        <w:rPr>
          <w:rFonts w:eastAsiaTheme="minorEastAsia"/>
        </w:rPr>
        <w:t xml:space="preserve">The null space spanned by the basis vectors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n-d</m:t>
            </m:r>
          </m:sub>
        </m:sSub>
      </m:oMath>
      <w:r>
        <w:rPr>
          <w:rFonts w:eastAsiaTheme="minorEastAsia"/>
        </w:rPr>
        <w:t xml:space="preserve"> has a dimension equal to the difference between the number of elemental variables (</w:t>
      </w:r>
      <w:r w:rsidRPr="00686CE5">
        <w:rPr>
          <w:rFonts w:eastAsiaTheme="minorEastAsia"/>
          <w:i/>
        </w:rPr>
        <w:t>n=4</w:t>
      </w:r>
      <w:r>
        <w:rPr>
          <w:rFonts w:eastAsiaTheme="minorEastAsia"/>
        </w:rPr>
        <w:t xml:space="preserve">) and the number of </w:t>
      </w:r>
      <w:r w:rsidR="005E6773">
        <w:rPr>
          <w:rFonts w:eastAsiaTheme="minorEastAsia"/>
        </w:rPr>
        <w:t>control</w:t>
      </w:r>
      <w:r>
        <w:rPr>
          <w:rFonts w:eastAsiaTheme="minorEastAsia"/>
        </w:rPr>
        <w:t xml:space="preserve"> variables (</w:t>
      </w:r>
      <w:r w:rsidRPr="00686CE5">
        <w:rPr>
          <w:rFonts w:eastAsiaTheme="minorEastAsia"/>
          <w:i/>
        </w:rPr>
        <w:t>d=</w:t>
      </w:r>
      <w:r>
        <w:rPr>
          <w:rFonts w:eastAsiaTheme="minorEastAsia"/>
          <w:i/>
        </w:rPr>
        <w:t>2</w:t>
      </w:r>
      <w:r>
        <w:rPr>
          <w:rFonts w:eastAsiaTheme="minorEastAsia"/>
        </w:rPr>
        <w:t xml:space="preserve">). </w:t>
      </w:r>
    </w:p>
    <w:p w:rsidR="00B16992" w:rsidRDefault="00B16992" w:rsidP="00B16992"/>
    <w:tbl>
      <w:tblPr>
        <w:tblW w:w="0" w:type="auto"/>
        <w:tblLook w:val="04A0" w:firstRow="1" w:lastRow="0" w:firstColumn="1" w:lastColumn="0" w:noHBand="0" w:noVBand="1"/>
      </w:tblPr>
      <w:tblGrid>
        <w:gridCol w:w="580"/>
        <w:gridCol w:w="6899"/>
        <w:gridCol w:w="741"/>
      </w:tblGrid>
      <w:tr w:rsidR="00B16992" w:rsidRPr="00872DF0" w:rsidTr="00B80BF1">
        <w:tc>
          <w:tcPr>
            <w:tcW w:w="580" w:type="dxa"/>
            <w:vAlign w:val="center"/>
          </w:tcPr>
          <w:p w:rsidR="00B16992" w:rsidRPr="00872DF0" w:rsidRDefault="00B16992" w:rsidP="00B80BF1">
            <w:pPr>
              <w:jc w:val="center"/>
              <w:rPr>
                <w:sz w:val="20"/>
              </w:rPr>
            </w:pPr>
          </w:p>
        </w:tc>
        <w:tc>
          <w:tcPr>
            <w:tcW w:w="6899" w:type="dxa"/>
            <w:vAlign w:val="center"/>
          </w:tcPr>
          <w:p w:rsidR="00B16992" w:rsidRPr="00872DF0" w:rsidRDefault="00C525B5" w:rsidP="00B80BF1">
            <w:pPr>
              <w:jc w:val="center"/>
              <w:rPr>
                <w:sz w:val="20"/>
              </w:rPr>
            </w:pPr>
            <m:oMathPara>
              <m:oMath>
                <m:sSup>
                  <m:sSupPr>
                    <m:ctrlPr>
                      <w:rPr>
                        <w:rFonts w:ascii="Cambria Math" w:hAnsi="Cambria Math"/>
                        <w:i/>
                        <w:sz w:val="20"/>
                      </w:rPr>
                    </m:ctrlPr>
                  </m:sSupPr>
                  <m:e>
                    <m:r>
                      <m:rPr>
                        <m:sty m:val="bi"/>
                      </m:rPr>
                      <w:rPr>
                        <w:rFonts w:ascii="Cambria Math" w:hAnsi="Cambria Math"/>
                        <w:sz w:val="20"/>
                      </w:rPr>
                      <m:t>N</m:t>
                    </m:r>
                    <m:r>
                      <w:rPr>
                        <w:rFonts w:ascii="Cambria Math" w:hAnsi="Cambria Math"/>
                        <w:sz w:val="20"/>
                      </w:rPr>
                      <m:t>(</m:t>
                    </m:r>
                    <m:r>
                      <m:rPr>
                        <m:sty m:val="bi"/>
                      </m:rPr>
                      <w:rPr>
                        <w:rFonts w:ascii="Cambria Math" w:hAnsi="Cambria Math"/>
                        <w:sz w:val="20"/>
                      </w:rPr>
                      <m:t>J</m:t>
                    </m:r>
                    <m:r>
                      <w:rPr>
                        <w:rFonts w:ascii="Cambria Math" w:hAnsi="Cambria Math"/>
                        <w:sz w:val="20"/>
                      </w:rPr>
                      <m:t>)</m:t>
                    </m:r>
                  </m:e>
                  <m:sup>
                    <m:r>
                      <w:rPr>
                        <w:rFonts w:ascii="Cambria Math" w:hAnsi="Cambria Math"/>
                        <w:sz w:val="20"/>
                      </w:rPr>
                      <m:t xml:space="preserve"> </m:t>
                    </m:r>
                  </m:sup>
                </m:sSup>
                <m:r>
                  <w:rPr>
                    <w:rFonts w:ascii="Cambria Math" w:hAnsi="Cambria Math"/>
                    <w:sz w:val="20"/>
                  </w:rPr>
                  <m:t xml:space="preserve">= </m:t>
                </m:r>
                <m:d>
                  <m:dPr>
                    <m:begChr m:val="["/>
                    <m:endChr m:val="]"/>
                    <m:ctrlPr>
                      <w:rPr>
                        <w:rFonts w:ascii="Cambria Math" w:hAnsi="Cambria Math"/>
                        <w:i/>
                        <w:sz w:val="20"/>
                      </w:rPr>
                    </m:ctrlPr>
                  </m:dPr>
                  <m:e>
                    <m:m>
                      <m:mPr>
                        <m:mcs>
                          <m:mc>
                            <m:mcPr>
                              <m:count m:val="2"/>
                              <m:mcJc m:val="center"/>
                            </m:mcPr>
                          </m:mc>
                        </m:mcs>
                        <m:ctrlPr>
                          <w:rPr>
                            <w:rFonts w:ascii="Cambria Math" w:hAnsi="Cambria Math"/>
                            <w:i/>
                            <w:sz w:val="20"/>
                          </w:rPr>
                        </m:ctrlPr>
                      </m:mPr>
                      <m:mr>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11</m:t>
                              </m:r>
                            </m:sub>
                          </m:sSub>
                          <m:ctrlPr>
                            <w:rPr>
                              <w:rFonts w:ascii="Cambria Math" w:eastAsia="Cambria Math" w:hAnsi="Cambria Math" w:cs="Cambria Math"/>
                              <w:i/>
                              <w:sz w:val="20"/>
                            </w:rPr>
                          </m:ctrlPr>
                        </m:e>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12</m:t>
                              </m:r>
                            </m:sub>
                          </m:sSub>
                          <m:ctrlPr>
                            <w:rPr>
                              <w:rFonts w:ascii="Cambria Math" w:eastAsia="Cambria Math" w:hAnsi="Cambria Math" w:cs="Cambria Math"/>
                              <w:i/>
                              <w:sz w:val="20"/>
                            </w:rPr>
                          </m:ctrlPr>
                        </m:e>
                      </m:mr>
                      <m:mr>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21</m:t>
                              </m:r>
                            </m:sub>
                          </m:sSub>
                        </m:e>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22</m:t>
                              </m:r>
                            </m:sub>
                          </m:sSub>
                        </m:e>
                      </m:mr>
                      <m:mr>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31</m:t>
                              </m:r>
                            </m:sub>
                          </m:sSub>
                        </m:e>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32</m:t>
                              </m:r>
                            </m:sub>
                          </m:sSub>
                        </m:e>
                      </m:mr>
                      <m:mr>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41</m:t>
                              </m:r>
                            </m:sub>
                          </m:sSub>
                        </m:e>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42</m:t>
                              </m:r>
                            </m:sub>
                          </m:sSub>
                        </m:e>
                      </m:mr>
                    </m:m>
                  </m:e>
                </m:d>
              </m:oMath>
            </m:oMathPara>
          </w:p>
        </w:tc>
        <w:tc>
          <w:tcPr>
            <w:tcW w:w="741" w:type="dxa"/>
            <w:vAlign w:val="center"/>
          </w:tcPr>
          <w:p w:rsidR="00B16992" w:rsidRPr="00872DF0" w:rsidRDefault="00B16992" w:rsidP="00B80BF1">
            <w:pPr>
              <w:jc w:val="center"/>
              <w:rPr>
                <w:sz w:val="20"/>
              </w:rPr>
            </w:pPr>
            <w:r w:rsidRPr="00872DF0">
              <w:rPr>
                <w:sz w:val="20"/>
              </w:rPr>
              <w:t>(</w:t>
            </w:r>
            <w:r>
              <w:rPr>
                <w:sz w:val="20"/>
              </w:rPr>
              <w:t>4</w:t>
            </w:r>
            <w:r w:rsidRPr="00872DF0">
              <w:rPr>
                <w:sz w:val="20"/>
              </w:rPr>
              <w:t>)</w:t>
            </w:r>
          </w:p>
        </w:tc>
      </w:tr>
      <w:tr w:rsidR="00B16992" w:rsidRPr="00872DF0" w:rsidTr="00B80BF1">
        <w:tc>
          <w:tcPr>
            <w:tcW w:w="580" w:type="dxa"/>
            <w:vAlign w:val="center"/>
          </w:tcPr>
          <w:p w:rsidR="00B16992" w:rsidRPr="00872DF0" w:rsidRDefault="00B16992" w:rsidP="00B80BF1">
            <w:pPr>
              <w:jc w:val="center"/>
              <w:rPr>
                <w:sz w:val="20"/>
              </w:rPr>
            </w:pPr>
          </w:p>
        </w:tc>
        <w:tc>
          <w:tcPr>
            <w:tcW w:w="6899" w:type="dxa"/>
            <w:vAlign w:val="center"/>
          </w:tcPr>
          <w:p w:rsidR="00B16992" w:rsidRDefault="00B16992" w:rsidP="00B80BF1">
            <w:pPr>
              <w:jc w:val="center"/>
              <w:rPr>
                <w:rFonts w:eastAsia="Calibri"/>
                <w:sz w:val="20"/>
              </w:rPr>
            </w:pPr>
          </w:p>
        </w:tc>
        <w:tc>
          <w:tcPr>
            <w:tcW w:w="741" w:type="dxa"/>
            <w:vAlign w:val="center"/>
          </w:tcPr>
          <w:p w:rsidR="00B16992" w:rsidRPr="00872DF0" w:rsidRDefault="00B16992" w:rsidP="00B80BF1">
            <w:pPr>
              <w:jc w:val="center"/>
              <w:rPr>
                <w:sz w:val="20"/>
              </w:rPr>
            </w:pPr>
          </w:p>
        </w:tc>
      </w:tr>
    </w:tbl>
    <w:p w:rsidR="00B16992" w:rsidRDefault="00B16992" w:rsidP="00B16992">
      <w:r>
        <w:t>The deviation matrix then decomposed into components parallel (</w:t>
      </w:r>
      <m:oMath>
        <m:sSub>
          <m:sSubPr>
            <m:ctrlPr>
              <w:rPr>
                <w:rFonts w:ascii="Cambria Math" w:hAnsi="Cambria Math"/>
              </w:rPr>
            </m:ctrlPr>
          </m:sSubPr>
          <m:e>
            <m:r>
              <w:rPr>
                <w:rFonts w:ascii="Cambria Math" w:hAnsi="Cambria Math"/>
              </w:rPr>
              <m:t>DV</m:t>
            </m:r>
          </m:e>
          <m:sub>
            <m:r>
              <w:rPr>
                <w:rFonts w:ascii="Cambria Math" w:hAnsi="Cambria Math"/>
              </w:rPr>
              <m:t>∥</m:t>
            </m:r>
          </m:sub>
        </m:sSub>
      </m:oMath>
      <w:r>
        <w:t>) and perpendicular (</w:t>
      </w:r>
      <m:oMath>
        <m:sSub>
          <m:sSubPr>
            <m:ctrlPr>
              <w:rPr>
                <w:rFonts w:ascii="Cambria Math" w:hAnsi="Cambria Math"/>
              </w:rPr>
            </m:ctrlPr>
          </m:sSubPr>
          <m:e>
            <m:r>
              <w:rPr>
                <w:rFonts w:ascii="Cambria Math" w:hAnsi="Cambria Math"/>
              </w:rPr>
              <m:t>DV</m:t>
            </m:r>
          </m:e>
          <m:sub>
            <m:r>
              <w:rPr>
                <w:rFonts w:ascii="Cambria Math" w:hAnsi="Cambria Math"/>
              </w:rPr>
              <m:t>⊥</m:t>
            </m:r>
          </m:sub>
        </m:sSub>
      </m:oMath>
      <w:r>
        <w:t>) to the null space:</w:t>
      </w:r>
    </w:p>
    <w:p w:rsidR="00B16992" w:rsidRDefault="00B16992" w:rsidP="00B16992"/>
    <w:tbl>
      <w:tblPr>
        <w:tblW w:w="0" w:type="auto"/>
        <w:tblLook w:val="04A0" w:firstRow="1" w:lastRow="0" w:firstColumn="1" w:lastColumn="0" w:noHBand="0" w:noVBand="1"/>
      </w:tblPr>
      <w:tblGrid>
        <w:gridCol w:w="635"/>
        <w:gridCol w:w="7604"/>
        <w:gridCol w:w="787"/>
      </w:tblGrid>
      <w:tr w:rsidR="00B16992" w:rsidRPr="00872DF0" w:rsidTr="00B80BF1">
        <w:tc>
          <w:tcPr>
            <w:tcW w:w="635" w:type="dxa"/>
            <w:vAlign w:val="center"/>
          </w:tcPr>
          <w:p w:rsidR="00B16992" w:rsidRPr="00872DF0" w:rsidRDefault="00B16992" w:rsidP="00B80BF1">
            <w:pPr>
              <w:jc w:val="center"/>
              <w:rPr>
                <w:sz w:val="20"/>
              </w:rPr>
            </w:pPr>
          </w:p>
        </w:tc>
        <w:tc>
          <w:tcPr>
            <w:tcW w:w="7604" w:type="dxa"/>
            <w:vAlign w:val="center"/>
          </w:tcPr>
          <w:p w:rsidR="00B16992" w:rsidRPr="00872DF0" w:rsidRDefault="00C525B5" w:rsidP="00B80BF1">
            <w:pPr>
              <w:jc w:val="center"/>
              <w:rPr>
                <w:sz w:val="20"/>
              </w:rPr>
            </w:pPr>
            <m:oMathPara>
              <m:oMath>
                <m:sSub>
                  <m:sSubPr>
                    <m:ctrlPr>
                      <w:rPr>
                        <w:rFonts w:ascii="Cambria Math" w:hAnsi="Cambria Math"/>
                      </w:rPr>
                    </m:ctrlPr>
                  </m:sSubPr>
                  <m:e>
                    <m:r>
                      <w:rPr>
                        <w:rFonts w:ascii="Cambria Math" w:hAnsi="Cambria Math"/>
                      </w:rPr>
                      <m:t>DV</m:t>
                    </m:r>
                  </m:e>
                  <m:sub>
                    <m:r>
                      <w:rPr>
                        <w:rFonts w:ascii="Cambria Math" w:hAnsi="Cambria Math"/>
                      </w:rPr>
                      <m:t>∥</m:t>
                    </m:r>
                  </m:sub>
                </m:sSub>
                <m:r>
                  <w:rPr>
                    <w:rFonts w:ascii="Cambria Math" w:eastAsia="Cambria Math" w:hAnsi="Cambria Math" w:cs="Cambria Math"/>
                    <w:sz w:val="20"/>
                  </w:rPr>
                  <m:t>(i,j)=</m:t>
                </m:r>
                <m:nary>
                  <m:naryPr>
                    <m:chr m:val="∑"/>
                    <m:grow m:val="1"/>
                    <m:ctrlPr>
                      <w:rPr>
                        <w:rFonts w:ascii="Cambria Math" w:hAnsi="Cambria Math"/>
                        <w:sz w:val="20"/>
                      </w:rPr>
                    </m:ctrlPr>
                  </m:naryPr>
                  <m:sub>
                    <m:r>
                      <w:rPr>
                        <w:rFonts w:ascii="Cambria Math" w:eastAsia="Cambria Math" w:hAnsi="Cambria Math" w:cs="Cambria Math"/>
                        <w:sz w:val="20"/>
                      </w:rPr>
                      <m:t>k=1</m:t>
                    </m:r>
                  </m:sub>
                  <m:sup>
                    <m:r>
                      <w:rPr>
                        <w:rFonts w:ascii="Cambria Math" w:eastAsia="Cambria Math" w:hAnsi="Cambria Math" w:cs="Cambria Math"/>
                        <w:sz w:val="20"/>
                      </w:rPr>
                      <m:t>n-d</m:t>
                    </m:r>
                  </m:sup>
                  <m:e>
                    <m:d>
                      <m:dPr>
                        <m:ctrlPr>
                          <w:rPr>
                            <w:rFonts w:ascii="Cambria Math" w:hAnsi="Cambria Math"/>
                            <w:i/>
                            <w:sz w:val="20"/>
                          </w:rPr>
                        </m:ctrlPr>
                      </m:dPr>
                      <m:e>
                        <m:sSubSup>
                          <m:sSubSupPr>
                            <m:ctrlPr>
                              <w:rPr>
                                <w:rFonts w:ascii="Cambria Math" w:hAnsi="Cambria Math"/>
                                <w:sz w:val="20"/>
                              </w:rPr>
                            </m:ctrlPr>
                          </m:sSubSupPr>
                          <m:e>
                            <m:r>
                              <m:rPr>
                                <m:sty m:val="b"/>
                              </m:rPr>
                              <w:rPr>
                                <w:rFonts w:ascii="Cambria Math" w:hAnsi="Cambria Math"/>
                                <w:sz w:val="20"/>
                              </w:rPr>
                              <m:t>N</m:t>
                            </m:r>
                            <m:d>
                              <m:dPr>
                                <m:ctrlPr>
                                  <w:rPr>
                                    <w:rFonts w:ascii="Cambria Math" w:hAnsi="Cambria Math"/>
                                    <w:sz w:val="20"/>
                                  </w:rPr>
                                </m:ctrlPr>
                              </m:dPr>
                              <m:e>
                                <m:r>
                                  <m:rPr>
                                    <m:sty m:val="b"/>
                                  </m:rPr>
                                  <w:rPr>
                                    <w:rFonts w:ascii="Cambria Math" w:hAnsi="Cambria Math"/>
                                    <w:sz w:val="20"/>
                                  </w:rPr>
                                  <m:t>J</m:t>
                                </m:r>
                              </m:e>
                            </m:d>
                          </m:e>
                          <m:sub>
                            <m:r>
                              <w:rPr>
                                <w:rFonts w:ascii="Cambria Math" w:hAnsi="Cambria Math"/>
                                <w:sz w:val="20"/>
                              </w:rPr>
                              <m:t>i</m:t>
                            </m:r>
                          </m:sub>
                          <m:sup>
                            <m:r>
                              <w:rPr>
                                <w:rFonts w:ascii="Cambria Math" w:hAnsi="Cambria Math"/>
                                <w:sz w:val="20"/>
                              </w:rPr>
                              <m:t>T</m:t>
                            </m:r>
                          </m:sup>
                        </m:sSubSup>
                        <m:r>
                          <w:rPr>
                            <w:rFonts w:ascii="Cambria Math" w:hAnsi="Cambria Math"/>
                            <w:sz w:val="20"/>
                          </w:rPr>
                          <m:t xml:space="preserve"> ∙</m:t>
                        </m:r>
                        <m:r>
                          <m:rPr>
                            <m:sty m:val="bi"/>
                          </m:rPr>
                          <w:rPr>
                            <w:rFonts w:ascii="Cambria Math" w:hAnsi="Cambria Math"/>
                            <w:sz w:val="20"/>
                          </w:rPr>
                          <m:t>DV</m:t>
                        </m:r>
                        <m:d>
                          <m:dPr>
                            <m:ctrlPr>
                              <w:rPr>
                                <w:rFonts w:ascii="Cambria Math" w:hAnsi="Cambria Math"/>
                                <w:i/>
                                <w:sz w:val="20"/>
                              </w:rPr>
                            </m:ctrlPr>
                          </m:dPr>
                          <m:e>
                            <m:r>
                              <w:rPr>
                                <w:rFonts w:ascii="Cambria Math" w:hAnsi="Cambria Math"/>
                                <w:sz w:val="20"/>
                              </w:rPr>
                              <m:t>i,j</m:t>
                            </m:r>
                          </m:e>
                        </m:d>
                      </m:e>
                    </m:d>
                    <m:r>
                      <w:rPr>
                        <w:rFonts w:ascii="Cambria Math" w:hAnsi="Cambria Math"/>
                        <w:sz w:val="20"/>
                      </w:rPr>
                      <m:t xml:space="preserve">∙ </m:t>
                    </m:r>
                    <m:sSub>
                      <m:sSubPr>
                        <m:ctrlPr>
                          <w:rPr>
                            <w:rFonts w:ascii="Cambria Math" w:hAnsi="Cambria Math"/>
                            <w:i/>
                            <w:sz w:val="20"/>
                          </w:rPr>
                        </m:ctrlPr>
                      </m:sSubPr>
                      <m:e>
                        <m:r>
                          <m:rPr>
                            <m:sty m:val="bi"/>
                          </m:rPr>
                          <w:rPr>
                            <w:rFonts w:ascii="Cambria Math" w:hAnsi="Cambria Math"/>
                            <w:sz w:val="20"/>
                          </w:rPr>
                          <m:t>N</m:t>
                        </m:r>
                        <m:r>
                          <w:rPr>
                            <w:rFonts w:ascii="Cambria Math" w:hAnsi="Cambria Math"/>
                            <w:sz w:val="20"/>
                          </w:rPr>
                          <m:t>(</m:t>
                        </m:r>
                        <m:r>
                          <m:rPr>
                            <m:sty m:val="bi"/>
                          </m:rPr>
                          <w:rPr>
                            <w:rFonts w:ascii="Cambria Math" w:hAnsi="Cambria Math"/>
                            <w:sz w:val="20"/>
                          </w:rPr>
                          <m:t>J</m:t>
                        </m:r>
                        <m:r>
                          <w:rPr>
                            <w:rFonts w:ascii="Cambria Math" w:hAnsi="Cambria Math"/>
                            <w:sz w:val="20"/>
                          </w:rPr>
                          <m:t>)</m:t>
                        </m:r>
                      </m:e>
                      <m:sub>
                        <m:r>
                          <w:rPr>
                            <w:rFonts w:ascii="Cambria Math" w:hAnsi="Cambria Math"/>
                            <w:sz w:val="20"/>
                          </w:rPr>
                          <m:t>k</m:t>
                        </m:r>
                      </m:sub>
                    </m:sSub>
                  </m:e>
                </m:nary>
              </m:oMath>
            </m:oMathPara>
          </w:p>
        </w:tc>
        <w:tc>
          <w:tcPr>
            <w:tcW w:w="787" w:type="dxa"/>
            <w:vAlign w:val="center"/>
          </w:tcPr>
          <w:p w:rsidR="00B16992" w:rsidRPr="00872DF0" w:rsidRDefault="00B16992" w:rsidP="00B80BF1">
            <w:pPr>
              <w:jc w:val="center"/>
              <w:rPr>
                <w:sz w:val="20"/>
              </w:rPr>
            </w:pPr>
            <w:r w:rsidRPr="00872DF0">
              <w:rPr>
                <w:sz w:val="20"/>
              </w:rPr>
              <w:t>(</w:t>
            </w:r>
            <w:r>
              <w:rPr>
                <w:sz w:val="20"/>
              </w:rPr>
              <w:t>5</w:t>
            </w:r>
            <w:r w:rsidRPr="00872DF0">
              <w:rPr>
                <w:sz w:val="20"/>
              </w:rPr>
              <w:t>)</w:t>
            </w:r>
          </w:p>
        </w:tc>
      </w:tr>
      <w:tr w:rsidR="00B16992" w:rsidTr="00B80BF1">
        <w:tc>
          <w:tcPr>
            <w:tcW w:w="635" w:type="dxa"/>
            <w:vAlign w:val="center"/>
          </w:tcPr>
          <w:p w:rsidR="00B16992" w:rsidRDefault="00B16992" w:rsidP="00B80BF1">
            <w:pPr>
              <w:jc w:val="center"/>
              <w:rPr>
                <w:sz w:val="20"/>
              </w:rPr>
            </w:pPr>
          </w:p>
        </w:tc>
        <w:tc>
          <w:tcPr>
            <w:tcW w:w="7604" w:type="dxa"/>
            <w:vAlign w:val="center"/>
          </w:tcPr>
          <w:p w:rsidR="00B16992" w:rsidRDefault="00C525B5" w:rsidP="00B80BF1">
            <w:pPr>
              <w:jc w:val="center"/>
              <w:rPr>
                <w:sz w:val="20"/>
              </w:rPr>
            </w:pPr>
            <m:oMathPara>
              <m:oMath>
                <m:sSub>
                  <m:sSubPr>
                    <m:ctrlPr>
                      <w:rPr>
                        <w:rFonts w:ascii="Cambria Math" w:hAnsi="Cambria Math"/>
                      </w:rPr>
                    </m:ctrlPr>
                  </m:sSubPr>
                  <m:e>
                    <m:r>
                      <w:rPr>
                        <w:rFonts w:ascii="Cambria Math" w:hAnsi="Cambria Math"/>
                      </w:rPr>
                      <m:t>DV</m:t>
                    </m:r>
                  </m:e>
                  <m:sub>
                    <m:r>
                      <w:rPr>
                        <w:rFonts w:ascii="Cambria Math" w:hAnsi="Cambria Math"/>
                      </w:rPr>
                      <m:t>⊥</m:t>
                    </m:r>
                  </m:sub>
                </m:sSub>
                <m:d>
                  <m:dPr>
                    <m:ctrlPr>
                      <w:rPr>
                        <w:rFonts w:ascii="Cambria Math" w:eastAsia="Cambria Math" w:hAnsi="Cambria Math" w:cs="Cambria Math"/>
                        <w:i/>
                        <w:sz w:val="20"/>
                      </w:rPr>
                    </m:ctrlPr>
                  </m:dPr>
                  <m:e>
                    <m:r>
                      <w:rPr>
                        <w:rFonts w:ascii="Cambria Math" w:eastAsia="Cambria Math" w:hAnsi="Cambria Math" w:cs="Cambria Math"/>
                        <w:sz w:val="20"/>
                      </w:rPr>
                      <m:t>i,j</m:t>
                    </m:r>
                  </m:e>
                </m:d>
                <m:r>
                  <w:rPr>
                    <w:rFonts w:ascii="Cambria Math" w:eastAsia="Cambria Math" w:hAnsi="Cambria Math" w:cs="Cambria Math"/>
                    <w:sz w:val="20"/>
                  </w:rPr>
                  <m:t>=</m:t>
                </m:r>
                <m:r>
                  <m:rPr>
                    <m:sty m:val="bi"/>
                  </m:rPr>
                  <w:rPr>
                    <w:rFonts w:ascii="Cambria Math" w:hAnsi="Cambria Math"/>
                    <w:sz w:val="20"/>
                  </w:rPr>
                  <m:t>DV</m:t>
                </m:r>
                <m:d>
                  <m:dPr>
                    <m:ctrlPr>
                      <w:rPr>
                        <w:rFonts w:ascii="Cambria Math" w:hAnsi="Cambria Math"/>
                        <w:i/>
                        <w:sz w:val="20"/>
                      </w:rPr>
                    </m:ctrlPr>
                  </m:dPr>
                  <m:e>
                    <m:r>
                      <w:rPr>
                        <w:rFonts w:ascii="Cambria Math" w:hAnsi="Cambria Math"/>
                        <w:sz w:val="20"/>
                      </w:rPr>
                      <m:t>i,j</m:t>
                    </m:r>
                  </m:e>
                </m:d>
                <m:r>
                  <w:rPr>
                    <w:rFonts w:ascii="Cambria Math" w:hAnsi="Cambria Math"/>
                    <w:sz w:val="20"/>
                  </w:rPr>
                  <m:t>-</m:t>
                </m:r>
                <m:sSub>
                  <m:sSubPr>
                    <m:ctrlPr>
                      <w:rPr>
                        <w:rFonts w:ascii="Cambria Math" w:hAnsi="Cambria Math"/>
                      </w:rPr>
                    </m:ctrlPr>
                  </m:sSubPr>
                  <m:e>
                    <m:r>
                      <w:rPr>
                        <w:rFonts w:ascii="Cambria Math" w:hAnsi="Cambria Math"/>
                      </w:rPr>
                      <m:t>DV</m:t>
                    </m:r>
                  </m:e>
                  <m:sub>
                    <m:r>
                      <w:rPr>
                        <w:rFonts w:ascii="Cambria Math" w:hAnsi="Cambria Math"/>
                      </w:rPr>
                      <m:t>∥</m:t>
                    </m:r>
                  </m:sub>
                </m:sSub>
                <m:r>
                  <w:rPr>
                    <w:rFonts w:ascii="Cambria Math" w:eastAsia="Cambria Math" w:hAnsi="Cambria Math" w:cs="Cambria Math"/>
                    <w:sz w:val="20"/>
                  </w:rPr>
                  <m:t>(i,j)</m:t>
                </m:r>
              </m:oMath>
            </m:oMathPara>
          </w:p>
        </w:tc>
        <w:tc>
          <w:tcPr>
            <w:tcW w:w="787" w:type="dxa"/>
            <w:vAlign w:val="center"/>
          </w:tcPr>
          <w:p w:rsidR="00B16992" w:rsidRDefault="00B16992" w:rsidP="00B80BF1">
            <w:pPr>
              <w:jc w:val="center"/>
              <w:rPr>
                <w:sz w:val="20"/>
              </w:rPr>
            </w:pPr>
            <w:r>
              <w:rPr>
                <w:sz w:val="20"/>
              </w:rPr>
              <w:t>(6)</w:t>
            </w:r>
          </w:p>
        </w:tc>
      </w:tr>
    </w:tbl>
    <w:p w:rsidR="00B16992" w:rsidRDefault="00B16992" w:rsidP="00B16992"/>
    <w:p w:rsidR="00B16992" w:rsidRDefault="00B16992" w:rsidP="00B16992">
      <w:pPr>
        <w:ind w:firstLine="576"/>
      </w:pPr>
    </w:p>
    <w:p w:rsidR="00B16992" w:rsidRPr="00B16992" w:rsidRDefault="00B16992" w:rsidP="00B16992">
      <w:pPr>
        <w:pStyle w:val="Heading4"/>
        <w:numPr>
          <w:ilvl w:val="0"/>
          <w:numId w:val="0"/>
        </w:numPr>
        <w:ind w:left="864" w:hanging="864"/>
        <w:rPr>
          <w:b/>
        </w:rPr>
      </w:pPr>
      <w:r w:rsidRPr="00B16992">
        <w:rPr>
          <w:b/>
        </w:rPr>
        <w:t>Step 4: Computing the variance of V</w:t>
      </w:r>
      <w:r w:rsidRPr="00B16992">
        <w:rPr>
          <w:b/>
          <w:vertAlign w:val="subscript"/>
        </w:rPr>
        <w:t>UCM</w:t>
      </w:r>
      <w:r w:rsidRPr="00B16992">
        <w:rPr>
          <w:b/>
        </w:rPr>
        <w:t xml:space="preserve"> and V</w:t>
      </w:r>
      <w:r w:rsidRPr="00B16992">
        <w:rPr>
          <w:b/>
          <w:vertAlign w:val="subscript"/>
        </w:rPr>
        <w:t>ORTH</w:t>
      </w:r>
      <w:r w:rsidRPr="00B16992">
        <w:rPr>
          <w:b/>
        </w:rPr>
        <w:t xml:space="preserve"> </w:t>
      </w:r>
    </w:p>
    <w:p w:rsidR="00B16992" w:rsidRDefault="00B16992" w:rsidP="00B16992">
      <w:r>
        <w:t>The variance of these projections were estimated and normalized per degree of freedom of each subspace as:</w:t>
      </w:r>
    </w:p>
    <w:p w:rsidR="00B16992" w:rsidRDefault="00B16992" w:rsidP="00B16992"/>
    <w:tbl>
      <w:tblPr>
        <w:tblW w:w="0" w:type="auto"/>
        <w:tblLook w:val="04A0" w:firstRow="1" w:lastRow="0" w:firstColumn="1" w:lastColumn="0" w:noHBand="0" w:noVBand="1"/>
      </w:tblPr>
      <w:tblGrid>
        <w:gridCol w:w="585"/>
        <w:gridCol w:w="6889"/>
        <w:gridCol w:w="746"/>
      </w:tblGrid>
      <w:tr w:rsidR="00B16992" w:rsidRPr="00872DF0" w:rsidTr="00B80BF1">
        <w:tc>
          <w:tcPr>
            <w:tcW w:w="585" w:type="dxa"/>
            <w:vAlign w:val="center"/>
          </w:tcPr>
          <w:p w:rsidR="00B16992" w:rsidRPr="00872DF0" w:rsidRDefault="00B16992" w:rsidP="00B80BF1">
            <w:pPr>
              <w:jc w:val="center"/>
              <w:rPr>
                <w:sz w:val="20"/>
              </w:rPr>
            </w:pPr>
          </w:p>
        </w:tc>
        <w:tc>
          <w:tcPr>
            <w:tcW w:w="6889" w:type="dxa"/>
            <w:vAlign w:val="center"/>
          </w:tcPr>
          <w:p w:rsidR="00B16992" w:rsidRPr="00872DF0" w:rsidRDefault="00C525B5" w:rsidP="00B80BF1">
            <w:pPr>
              <w:jc w:val="center"/>
              <w:rPr>
                <w:sz w:val="20"/>
              </w:rPr>
            </w:pPr>
            <m:oMathPara>
              <m:oMath>
                <m:sSubSup>
                  <m:sSubSupPr>
                    <m:ctrlPr>
                      <w:rPr>
                        <w:rFonts w:ascii="Cambria Math" w:hAnsi="Cambria Math"/>
                      </w:rPr>
                    </m:ctrlPr>
                  </m:sSubSupPr>
                  <m:e>
                    <m:r>
                      <w:rPr>
                        <w:rFonts w:ascii="Cambria Math" w:hAnsi="Cambria Math"/>
                      </w:rPr>
                      <m:t>σ</m:t>
                    </m:r>
                  </m:e>
                  <m:sub>
                    <m:r>
                      <w:rPr>
                        <w:rFonts w:ascii="Cambria Math" w:hAnsi="Cambria Math"/>
                      </w:rPr>
                      <m:t>∥</m:t>
                    </m:r>
                  </m:sub>
                  <m:sup>
                    <m:r>
                      <w:rPr>
                        <w:rFonts w:ascii="Cambria Math" w:hAnsi="Cambria Math"/>
                      </w:rPr>
                      <m:t>2</m:t>
                    </m:r>
                  </m:sup>
                </m:sSubSup>
                <m:r>
                  <w:rPr>
                    <w:rFonts w:ascii="Cambria Math" w:eastAsia="Cambria Math" w:hAnsi="Cambria Math" w:cs="Cambria Math"/>
                    <w:sz w:val="20"/>
                  </w:rPr>
                  <m:t>(i)=</m:t>
                </m:r>
                <m:f>
                  <m:fPr>
                    <m:ctrlPr>
                      <w:rPr>
                        <w:rFonts w:ascii="Cambria Math" w:hAnsi="Cambria Math"/>
                        <w:sz w:val="20"/>
                      </w:rPr>
                    </m:ctrlPr>
                  </m:fPr>
                  <m:num>
                    <m:nary>
                      <m:naryPr>
                        <m:chr m:val="∑"/>
                        <m:grow m:val="1"/>
                        <m:ctrlPr>
                          <w:rPr>
                            <w:rFonts w:ascii="Cambria Math" w:hAnsi="Cambria Math"/>
                            <w:sz w:val="20"/>
                          </w:rPr>
                        </m:ctrlPr>
                      </m:naryPr>
                      <m:sub>
                        <m:r>
                          <w:rPr>
                            <w:rFonts w:ascii="Cambria Math" w:eastAsia="Cambria Math" w:hAnsi="Cambria Math" w:cs="Cambria Math"/>
                            <w:sz w:val="20"/>
                          </w:rPr>
                          <m:t>j=1</m:t>
                        </m:r>
                      </m:sub>
                      <m:sup>
                        <m:r>
                          <w:rPr>
                            <w:rFonts w:ascii="Cambria Math" w:eastAsia="Cambria Math" w:hAnsi="Cambria Math" w:cs="Cambria Math"/>
                            <w:sz w:val="20"/>
                          </w:rPr>
                          <m:t>N</m:t>
                        </m:r>
                      </m:sup>
                      <m:e>
                        <m:sSubSup>
                          <m:sSubSupPr>
                            <m:ctrlPr>
                              <w:rPr>
                                <w:rFonts w:ascii="Cambria Math" w:hAnsi="Cambria Math"/>
                                <w:i/>
                                <w:sz w:val="20"/>
                              </w:rPr>
                            </m:ctrlPr>
                          </m:sSubSupPr>
                          <m:e>
                            <m:r>
                              <w:rPr>
                                <w:rFonts w:ascii="Cambria Math" w:hAnsi="Cambria Math"/>
                                <w:sz w:val="20"/>
                              </w:rPr>
                              <m:t>DV</m:t>
                            </m:r>
                          </m:e>
                          <m:sub>
                            <m:r>
                              <w:rPr>
                                <w:rFonts w:ascii="Cambria Math" w:hAnsi="Cambria Math"/>
                                <w:sz w:val="20"/>
                              </w:rPr>
                              <m:t>∥</m:t>
                            </m:r>
                          </m:sub>
                          <m:sup>
                            <m:r>
                              <w:rPr>
                                <w:rFonts w:ascii="Cambria Math" w:hAnsi="Cambria Math"/>
                                <w:sz w:val="20"/>
                              </w:rPr>
                              <m:t>2</m:t>
                            </m:r>
                          </m:sup>
                        </m:sSubSup>
                        <m:r>
                          <w:rPr>
                            <w:rFonts w:ascii="Cambria Math" w:hAnsi="Cambria Math"/>
                            <w:sz w:val="20"/>
                          </w:rPr>
                          <m:t>(i,j)</m:t>
                        </m:r>
                      </m:e>
                    </m:nary>
                  </m:num>
                  <m:den>
                    <m:d>
                      <m:dPr>
                        <m:ctrlPr>
                          <w:rPr>
                            <w:rFonts w:ascii="Cambria Math" w:hAnsi="Cambria Math"/>
                            <w:i/>
                            <w:sz w:val="20"/>
                          </w:rPr>
                        </m:ctrlPr>
                      </m:dPr>
                      <m:e>
                        <m:r>
                          <w:rPr>
                            <w:rFonts w:ascii="Cambria Math" w:hAnsi="Cambria Math"/>
                            <w:sz w:val="20"/>
                          </w:rPr>
                          <m:t>n-d</m:t>
                        </m:r>
                      </m:e>
                    </m:d>
                    <m:r>
                      <w:rPr>
                        <w:rFonts w:ascii="Cambria Math" w:hAnsi="Cambria Math"/>
                        <w:sz w:val="20"/>
                      </w:rPr>
                      <m:t>N</m:t>
                    </m:r>
                  </m:den>
                </m:f>
              </m:oMath>
            </m:oMathPara>
          </w:p>
        </w:tc>
        <w:tc>
          <w:tcPr>
            <w:tcW w:w="746" w:type="dxa"/>
            <w:vAlign w:val="center"/>
          </w:tcPr>
          <w:p w:rsidR="00B16992" w:rsidRPr="00872DF0" w:rsidRDefault="00B16992" w:rsidP="00B80BF1">
            <w:pPr>
              <w:jc w:val="center"/>
              <w:rPr>
                <w:sz w:val="20"/>
              </w:rPr>
            </w:pPr>
            <w:r w:rsidRPr="00872DF0">
              <w:rPr>
                <w:sz w:val="20"/>
              </w:rPr>
              <w:t>(</w:t>
            </w:r>
            <w:r>
              <w:rPr>
                <w:sz w:val="20"/>
              </w:rPr>
              <w:t>7</w:t>
            </w:r>
            <w:r w:rsidRPr="00872DF0">
              <w:rPr>
                <w:sz w:val="20"/>
              </w:rPr>
              <w:t>)</w:t>
            </w:r>
          </w:p>
        </w:tc>
      </w:tr>
      <w:tr w:rsidR="00B16992" w:rsidTr="00B80BF1">
        <w:tc>
          <w:tcPr>
            <w:tcW w:w="585" w:type="dxa"/>
            <w:vAlign w:val="center"/>
          </w:tcPr>
          <w:p w:rsidR="00B16992" w:rsidRDefault="00B16992" w:rsidP="00B80BF1">
            <w:pPr>
              <w:jc w:val="center"/>
              <w:rPr>
                <w:sz w:val="20"/>
              </w:rPr>
            </w:pPr>
          </w:p>
        </w:tc>
        <w:tc>
          <w:tcPr>
            <w:tcW w:w="6889" w:type="dxa"/>
            <w:vAlign w:val="center"/>
          </w:tcPr>
          <w:p w:rsidR="00B16992" w:rsidRPr="00D271D4" w:rsidRDefault="00C525B5" w:rsidP="00B80BF1">
            <w:pPr>
              <w:jc w:val="center"/>
              <w:rPr>
                <w:sz w:val="20"/>
              </w:rPr>
            </w:pPr>
            <m:oMathPara>
              <m:oMath>
                <m:sSubSup>
                  <m:sSubSupPr>
                    <m:ctrlPr>
                      <w:rPr>
                        <w:rFonts w:ascii="Cambria Math" w:hAnsi="Cambria Math"/>
                      </w:rPr>
                    </m:ctrlPr>
                  </m:sSubSupPr>
                  <m:e>
                    <m:r>
                      <w:rPr>
                        <w:rFonts w:ascii="Cambria Math" w:hAnsi="Cambria Math"/>
                      </w:rPr>
                      <m:t>σ</m:t>
                    </m:r>
                  </m:e>
                  <m:sub>
                    <m:r>
                      <w:rPr>
                        <w:rFonts w:ascii="Cambria Math" w:hAnsi="Cambria Math"/>
                      </w:rPr>
                      <m:t>⊥</m:t>
                    </m:r>
                  </m:sub>
                  <m:sup>
                    <m:r>
                      <w:rPr>
                        <w:rFonts w:ascii="Cambria Math" w:hAnsi="Cambria Math"/>
                      </w:rPr>
                      <m:t>2</m:t>
                    </m:r>
                  </m:sup>
                </m:sSubSup>
                <m:r>
                  <w:rPr>
                    <w:rFonts w:ascii="Cambria Math" w:eastAsia="Cambria Math" w:hAnsi="Cambria Math" w:cs="Cambria Math"/>
                    <w:sz w:val="20"/>
                  </w:rPr>
                  <m:t>(i)=</m:t>
                </m:r>
                <m:f>
                  <m:fPr>
                    <m:ctrlPr>
                      <w:rPr>
                        <w:rFonts w:ascii="Cambria Math" w:hAnsi="Cambria Math"/>
                        <w:sz w:val="20"/>
                      </w:rPr>
                    </m:ctrlPr>
                  </m:fPr>
                  <m:num>
                    <m:nary>
                      <m:naryPr>
                        <m:chr m:val="∑"/>
                        <m:grow m:val="1"/>
                        <m:ctrlPr>
                          <w:rPr>
                            <w:rFonts w:ascii="Cambria Math" w:hAnsi="Cambria Math"/>
                            <w:sz w:val="20"/>
                          </w:rPr>
                        </m:ctrlPr>
                      </m:naryPr>
                      <m:sub>
                        <m:r>
                          <w:rPr>
                            <w:rFonts w:ascii="Cambria Math" w:eastAsia="Cambria Math" w:hAnsi="Cambria Math" w:cs="Cambria Math"/>
                            <w:sz w:val="20"/>
                          </w:rPr>
                          <m:t>j=1</m:t>
                        </m:r>
                      </m:sub>
                      <m:sup>
                        <m:r>
                          <w:rPr>
                            <w:rFonts w:ascii="Cambria Math" w:eastAsia="Cambria Math" w:hAnsi="Cambria Math" w:cs="Cambria Math"/>
                            <w:sz w:val="20"/>
                          </w:rPr>
                          <m:t>N</m:t>
                        </m:r>
                      </m:sup>
                      <m:e>
                        <m:sSubSup>
                          <m:sSubSupPr>
                            <m:ctrlPr>
                              <w:rPr>
                                <w:rFonts w:ascii="Cambria Math" w:hAnsi="Cambria Math"/>
                                <w:i/>
                                <w:sz w:val="20"/>
                              </w:rPr>
                            </m:ctrlPr>
                          </m:sSubSupPr>
                          <m:e>
                            <m:r>
                              <w:rPr>
                                <w:rFonts w:ascii="Cambria Math" w:hAnsi="Cambria Math"/>
                                <w:sz w:val="20"/>
                              </w:rPr>
                              <m:t>DV</m:t>
                            </m:r>
                          </m:e>
                          <m:sub>
                            <m:r>
                              <w:rPr>
                                <w:rFonts w:ascii="Cambria Math" w:hAnsi="Cambria Math"/>
                                <w:sz w:val="20"/>
                              </w:rPr>
                              <m:t>⊥</m:t>
                            </m:r>
                          </m:sub>
                          <m:sup>
                            <m:r>
                              <w:rPr>
                                <w:rFonts w:ascii="Cambria Math" w:hAnsi="Cambria Math"/>
                                <w:sz w:val="20"/>
                              </w:rPr>
                              <m:t>2</m:t>
                            </m:r>
                          </m:sup>
                        </m:sSubSup>
                        <m:r>
                          <w:rPr>
                            <w:rFonts w:ascii="Cambria Math" w:hAnsi="Cambria Math"/>
                            <w:sz w:val="20"/>
                          </w:rPr>
                          <m:t>(i,j)</m:t>
                        </m:r>
                      </m:e>
                    </m:nary>
                  </m:num>
                  <m:den>
                    <m:r>
                      <w:rPr>
                        <w:rFonts w:ascii="Cambria Math" w:hAnsi="Cambria Math"/>
                        <w:sz w:val="20"/>
                      </w:rPr>
                      <m:t>dN</m:t>
                    </m:r>
                  </m:den>
                </m:f>
              </m:oMath>
            </m:oMathPara>
          </w:p>
        </w:tc>
        <w:tc>
          <w:tcPr>
            <w:tcW w:w="746" w:type="dxa"/>
            <w:vAlign w:val="center"/>
          </w:tcPr>
          <w:p w:rsidR="00B16992" w:rsidRDefault="00B16992" w:rsidP="00B80BF1">
            <w:pPr>
              <w:jc w:val="center"/>
              <w:rPr>
                <w:sz w:val="20"/>
              </w:rPr>
            </w:pPr>
            <w:r>
              <w:rPr>
                <w:sz w:val="20"/>
              </w:rPr>
              <w:t>(8)</w:t>
            </w:r>
          </w:p>
        </w:tc>
      </w:tr>
    </w:tbl>
    <w:p w:rsidR="00B16992" w:rsidRDefault="00B16992" w:rsidP="00B16992"/>
    <w:p w:rsidR="00B16992" w:rsidRDefault="00B16992" w:rsidP="00B16992">
      <w:r>
        <w:t>Variance of goal-irrelevant deviations are parallel to the UCM are indicated as V</w:t>
      </w:r>
      <w:r w:rsidRPr="00B876F4">
        <w:rPr>
          <w:vertAlign w:val="subscript"/>
        </w:rPr>
        <w:t>UCM</w:t>
      </w:r>
      <w:r>
        <w:t xml:space="preserve"> (</w:t>
      </w:r>
      <m:oMath>
        <m:sSubSup>
          <m:sSubSupPr>
            <m:ctrlPr>
              <w:rPr>
                <w:rFonts w:ascii="Cambria Math" w:hAnsi="Cambria Math"/>
              </w:rPr>
            </m:ctrlPr>
          </m:sSubSupPr>
          <m:e>
            <m:r>
              <w:rPr>
                <w:rFonts w:ascii="Cambria Math" w:hAnsi="Cambria Math"/>
              </w:rPr>
              <m:t>σ</m:t>
            </m:r>
          </m:e>
          <m:sub>
            <m:r>
              <w:rPr>
                <w:rFonts w:ascii="Cambria Math" w:hAnsi="Cambria Math"/>
              </w:rPr>
              <m:t>∥</m:t>
            </m:r>
          </m:sub>
          <m:sup>
            <m:r>
              <w:rPr>
                <w:rFonts w:ascii="Cambria Math" w:hAnsi="Cambria Math"/>
              </w:rPr>
              <m:t>2</m:t>
            </m:r>
          </m:sup>
        </m:sSubSup>
        <m:r>
          <w:rPr>
            <w:rFonts w:ascii="Cambria Math" w:eastAsia="Cambria Math" w:hAnsi="Cambria Math" w:cs="Cambria Math"/>
            <w:sz w:val="20"/>
          </w:rPr>
          <m:t>(i)</m:t>
        </m:r>
      </m:oMath>
      <w:r w:rsidRPr="00397976">
        <w:rPr>
          <w:rFonts w:eastAsiaTheme="minorEastAsia"/>
        </w:rPr>
        <w:t>)</w:t>
      </w:r>
      <w:r>
        <w:rPr>
          <w:rFonts w:eastAsiaTheme="minorEastAsia"/>
          <w:sz w:val="20"/>
        </w:rPr>
        <w:t xml:space="preserve"> </w:t>
      </w:r>
      <w:r>
        <w:rPr>
          <w:rFonts w:eastAsiaTheme="minorEastAsia"/>
        </w:rPr>
        <w:t xml:space="preserve">, </w:t>
      </w:r>
      <w:r w:rsidRPr="00D271D4">
        <w:rPr>
          <w:rFonts w:eastAsiaTheme="minorEastAsia"/>
        </w:rPr>
        <w:t>and</w:t>
      </w:r>
      <w:r>
        <w:rPr>
          <w:rFonts w:eastAsiaTheme="minorEastAsia"/>
        </w:rPr>
        <w:t xml:space="preserve"> goal-relevant deviations are orthogonal to the UCM are indicated as V</w:t>
      </w:r>
      <w:r w:rsidRPr="00B876F4">
        <w:rPr>
          <w:rFonts w:eastAsiaTheme="minorEastAsia"/>
          <w:vertAlign w:val="subscript"/>
        </w:rPr>
        <w:t>ORTH</w:t>
      </w:r>
      <w:r>
        <w:rPr>
          <w:rFonts w:eastAsiaTheme="minorEastAsia"/>
        </w:rPr>
        <w:t xml:space="preserve"> (</w:t>
      </w:r>
      <m:oMath>
        <m:sSubSup>
          <m:sSubSupPr>
            <m:ctrlPr>
              <w:rPr>
                <w:rFonts w:ascii="Cambria Math" w:hAnsi="Cambria Math"/>
              </w:rPr>
            </m:ctrlPr>
          </m:sSubSupPr>
          <m:e>
            <m:r>
              <w:rPr>
                <w:rFonts w:ascii="Cambria Math" w:hAnsi="Cambria Math"/>
              </w:rPr>
              <m:t>σ</m:t>
            </m:r>
          </m:e>
          <m:sub>
            <m:r>
              <w:rPr>
                <w:rFonts w:ascii="Cambria Math" w:hAnsi="Cambria Math"/>
              </w:rPr>
              <m:t>⊥</m:t>
            </m:r>
          </m:sub>
          <m:sup>
            <m:r>
              <w:rPr>
                <w:rFonts w:ascii="Cambria Math" w:hAnsi="Cambria Math"/>
              </w:rPr>
              <m:t>2</m:t>
            </m:r>
          </m:sup>
        </m:sSubSup>
        <m:d>
          <m:dPr>
            <m:ctrlPr>
              <w:rPr>
                <w:rFonts w:ascii="Cambria Math" w:eastAsia="Cambria Math" w:hAnsi="Cambria Math" w:cs="Cambria Math"/>
                <w:i/>
                <w:sz w:val="20"/>
              </w:rPr>
            </m:ctrlPr>
          </m:dPr>
          <m:e>
            <m:r>
              <w:rPr>
                <w:rFonts w:ascii="Cambria Math" w:eastAsia="Cambria Math" w:hAnsi="Cambria Math" w:cs="Cambria Math"/>
                <w:sz w:val="20"/>
              </w:rPr>
              <m:t>i</m:t>
            </m:r>
          </m:e>
        </m:d>
      </m:oMath>
      <w:r w:rsidRPr="00397976">
        <w:rPr>
          <w:rFonts w:eastAsiaTheme="minorEastAsia"/>
        </w:rPr>
        <w:t>)</w:t>
      </w:r>
      <w:r>
        <w:rPr>
          <w:rFonts w:eastAsiaTheme="minorEastAsia"/>
        </w:rPr>
        <w:t>. The variances were computed at each time instance and compared across conditions.</w:t>
      </w:r>
      <w:r>
        <w:t xml:space="preserve"> </w:t>
      </w:r>
      <w:r w:rsidRPr="00B009D9">
        <w:t xml:space="preserve">The ratio of variability </w:t>
      </w:r>
      <w:r>
        <w:t>V</w:t>
      </w:r>
      <w:r>
        <w:rPr>
          <w:vertAlign w:val="subscript"/>
        </w:rPr>
        <w:t>RATIO</w:t>
      </w:r>
      <w:r w:rsidRPr="00B009D9">
        <w:t xml:space="preserve"> </w:t>
      </w:r>
      <w:r>
        <w:t xml:space="preserve">was the third UCM parameter and was computed in a form suggested by </w:t>
      </w:r>
      <w:r>
        <w:fldChar w:fldCharType="begin"/>
      </w:r>
      <w:r w:rsidR="00063A07">
        <w:instrText xml:space="preserve"> ADDIN EN.CITE &lt;EndNote&gt;&lt;Cite AuthorYear="1"&gt;&lt;Author&gt;Papi&lt;/Author&gt;&lt;Year&gt;2015&lt;/Year&gt;&lt;RecNum&gt;59&lt;/RecNum&gt;&lt;DisplayText&gt;Papi, Rowe [4]&lt;/DisplayText&gt;&lt;record&gt;&lt;rec-number&gt;59&lt;/rec-number&gt;&lt;foreign-keys&gt;&lt;key app="EN" db-id="sfdptvdtwf59afe5a55vw906v9fazdd9fpxt" timestamp="1605647291"&gt;59&lt;/key&gt;&lt;/foreign-keys&gt;&lt;ref-type name="Journal Article"&gt;17&lt;/ref-type&gt;&lt;contributors&gt;&lt;authors&gt;&lt;author&gt;Papi, Enrica&lt;/author&gt;&lt;author&gt;Rowe, Philip J&lt;/author&gt;&lt;author&gt;Pomeroy, Valerie M&lt;/author&gt;&lt;/authors&gt;&lt;/contributors&gt;&lt;titles&gt;&lt;title&gt;Analysis of gait within the uncontrolled manifold hypothesis: Stabilisation of the centre of mass during gait&lt;/title&gt;&lt;secondary-title&gt;Journal of biomechanics&lt;/secondary-title&gt;&lt;/titles&gt;&lt;periodical&gt;&lt;full-title&gt;Journal of biomechanics&lt;/full-title&gt;&lt;/periodical&gt;&lt;pages&gt;324-331&lt;/pages&gt;&lt;volume&gt;48&lt;/volume&gt;&lt;number&gt;2&lt;/number&gt;&lt;dates&gt;&lt;year&gt;2015&lt;/year&gt;&lt;/dates&gt;&lt;isbn&gt;0021-9290&lt;/isbn&gt;&lt;urls&gt;&lt;/urls&gt;&lt;/record&gt;&lt;/Cite&gt;&lt;/EndNote&gt;</w:instrText>
      </w:r>
      <w:r>
        <w:fldChar w:fldCharType="separate"/>
      </w:r>
      <w:r w:rsidR="00063A07">
        <w:rPr>
          <w:noProof/>
        </w:rPr>
        <w:t>Papi, Rowe [4]</w:t>
      </w:r>
      <w:r>
        <w:fldChar w:fldCharType="end"/>
      </w:r>
      <w:r>
        <w:t>:</w:t>
      </w:r>
    </w:p>
    <w:p w:rsidR="00B16992" w:rsidRDefault="00B16992" w:rsidP="00B16992"/>
    <w:tbl>
      <w:tblPr>
        <w:tblW w:w="0" w:type="auto"/>
        <w:tblLook w:val="04A0" w:firstRow="1" w:lastRow="0" w:firstColumn="1" w:lastColumn="0" w:noHBand="0" w:noVBand="1"/>
      </w:tblPr>
      <w:tblGrid>
        <w:gridCol w:w="635"/>
        <w:gridCol w:w="7604"/>
        <w:gridCol w:w="787"/>
      </w:tblGrid>
      <w:tr w:rsidR="00B16992" w:rsidRPr="00872DF0" w:rsidTr="00B80BF1">
        <w:tc>
          <w:tcPr>
            <w:tcW w:w="635" w:type="dxa"/>
            <w:vAlign w:val="center"/>
          </w:tcPr>
          <w:p w:rsidR="00B16992" w:rsidRPr="00872DF0" w:rsidRDefault="00B16992" w:rsidP="00B80BF1">
            <w:pPr>
              <w:jc w:val="center"/>
              <w:rPr>
                <w:sz w:val="20"/>
              </w:rPr>
            </w:pPr>
          </w:p>
        </w:tc>
        <w:tc>
          <w:tcPr>
            <w:tcW w:w="7604" w:type="dxa"/>
            <w:vAlign w:val="center"/>
          </w:tcPr>
          <w:p w:rsidR="00B16992" w:rsidRPr="00872DF0" w:rsidRDefault="00B16992" w:rsidP="00B80BF1">
            <w:pPr>
              <w:jc w:val="center"/>
              <w:rPr>
                <w:sz w:val="20"/>
              </w:rPr>
            </w:pPr>
            <m:oMathPara>
              <m:oMath>
                <m:r>
                  <w:rPr>
                    <w:rFonts w:ascii="Cambria Math" w:hAnsi="Cambria Math"/>
                  </w:rPr>
                  <m:t>Ratio=</m:t>
                </m:r>
                <m:d>
                  <m:dPr>
                    <m:ctrlPr>
                      <w:rPr>
                        <w:rFonts w:ascii="Cambria Math" w:eastAsia="Cambria Math" w:hAnsi="Cambria Math" w:cs="Cambria Math"/>
                        <w:i/>
                        <w:sz w:val="20"/>
                      </w:rPr>
                    </m:ctrlPr>
                  </m:dPr>
                  <m:e>
                    <m:f>
                      <m:fPr>
                        <m:ctrlPr>
                          <w:rPr>
                            <w:rFonts w:ascii="Cambria Math" w:eastAsia="Cambria Math" w:hAnsi="Cambria Math" w:cs="Cambria Math"/>
                            <w:i/>
                            <w:sz w:val="20"/>
                          </w:rPr>
                        </m:ctrlPr>
                      </m:fPr>
                      <m:num>
                        <m:sSubSup>
                          <m:sSubSupPr>
                            <m:ctrlPr>
                              <w:rPr>
                                <w:rFonts w:ascii="Cambria Math" w:hAnsi="Cambria Math"/>
                              </w:rPr>
                            </m:ctrlPr>
                          </m:sSubSupPr>
                          <m:e>
                            <m:r>
                              <w:rPr>
                                <w:rFonts w:ascii="Cambria Math" w:hAnsi="Cambria Math"/>
                              </w:rPr>
                              <m:t>2σ</m:t>
                            </m:r>
                          </m:e>
                          <m:sub>
                            <m:r>
                              <w:rPr>
                                <w:rFonts w:ascii="Cambria Math" w:hAnsi="Cambria Math"/>
                              </w:rPr>
                              <m:t>∥</m:t>
                            </m:r>
                          </m:sub>
                          <m:sup>
                            <m:r>
                              <w:rPr>
                                <w:rFonts w:ascii="Cambria Math" w:hAnsi="Cambria Math"/>
                              </w:rPr>
                              <m:t>2</m:t>
                            </m:r>
                          </m:sup>
                        </m:sSubSup>
                      </m:num>
                      <m:den>
                        <m:sSubSup>
                          <m:sSubSupPr>
                            <m:ctrlPr>
                              <w:rPr>
                                <w:rFonts w:ascii="Cambria Math" w:hAnsi="Cambria Math"/>
                              </w:rPr>
                            </m:ctrlPr>
                          </m:sSubSupPr>
                          <m:e>
                            <m:r>
                              <w:rPr>
                                <w:rFonts w:ascii="Cambria Math" w:hAnsi="Cambria Math"/>
                              </w:rPr>
                              <m:t>σ</m:t>
                            </m:r>
                          </m:e>
                          <m:sub>
                            <m:r>
                              <w:rPr>
                                <w:rFonts w:ascii="Cambria Math" w:hAnsi="Cambria Math"/>
                              </w:rPr>
                              <m:t>∥</m:t>
                            </m:r>
                          </m:sub>
                          <m:sup>
                            <m:r>
                              <w:rPr>
                                <w:rFonts w:ascii="Cambria Math" w:hAnsi="Cambria Math"/>
                              </w:rPr>
                              <m:t>2</m:t>
                            </m:r>
                          </m:sup>
                        </m:sSubSup>
                        <m:r>
                          <w:rPr>
                            <w:rFonts w:ascii="Cambria Math" w:hAnsi="Cambria Math"/>
                          </w:rPr>
                          <m:t>+</m:t>
                        </m:r>
                        <m:sSubSup>
                          <m:sSubSupPr>
                            <m:ctrlPr>
                              <w:rPr>
                                <w:rFonts w:ascii="Cambria Math" w:hAnsi="Cambria Math"/>
                              </w:rPr>
                            </m:ctrlPr>
                          </m:sSubSupPr>
                          <m:e>
                            <m:r>
                              <w:rPr>
                                <w:rFonts w:ascii="Cambria Math" w:hAnsi="Cambria Math"/>
                              </w:rPr>
                              <m:t>σ</m:t>
                            </m:r>
                          </m:e>
                          <m:sub>
                            <m:r>
                              <w:rPr>
                                <w:rFonts w:ascii="Cambria Math" w:hAnsi="Cambria Math"/>
                              </w:rPr>
                              <m:t>⊥</m:t>
                            </m:r>
                          </m:sub>
                          <m:sup>
                            <m:r>
                              <w:rPr>
                                <w:rFonts w:ascii="Cambria Math" w:hAnsi="Cambria Math"/>
                              </w:rPr>
                              <m:t>2</m:t>
                            </m:r>
                          </m:sup>
                        </m:sSubSup>
                      </m:den>
                    </m:f>
                  </m:e>
                </m:d>
                <m:r>
                  <w:rPr>
                    <w:rFonts w:ascii="Cambria Math" w:eastAsia="Cambria Math" w:hAnsi="Cambria Math" w:cs="Cambria Math"/>
                    <w:sz w:val="20"/>
                  </w:rPr>
                  <m:t>-1</m:t>
                </m:r>
              </m:oMath>
            </m:oMathPara>
          </w:p>
        </w:tc>
        <w:tc>
          <w:tcPr>
            <w:tcW w:w="787" w:type="dxa"/>
            <w:vAlign w:val="center"/>
          </w:tcPr>
          <w:p w:rsidR="00B16992" w:rsidRPr="00872DF0" w:rsidRDefault="00B16992" w:rsidP="00B80BF1">
            <w:pPr>
              <w:jc w:val="center"/>
              <w:rPr>
                <w:sz w:val="20"/>
              </w:rPr>
            </w:pPr>
            <w:r w:rsidRPr="00872DF0">
              <w:rPr>
                <w:sz w:val="20"/>
              </w:rPr>
              <w:t>(</w:t>
            </w:r>
            <w:r>
              <w:rPr>
                <w:sz w:val="20"/>
              </w:rPr>
              <w:t>9</w:t>
            </w:r>
            <w:r w:rsidRPr="00872DF0">
              <w:rPr>
                <w:sz w:val="20"/>
              </w:rPr>
              <w:t>)</w:t>
            </w:r>
          </w:p>
        </w:tc>
      </w:tr>
    </w:tbl>
    <w:p w:rsidR="00B16992" w:rsidRDefault="00B16992" w:rsidP="00B16992"/>
    <w:p w:rsidR="00B16992" w:rsidRDefault="00B16992" w:rsidP="00B16992">
      <w:r>
        <w:t xml:space="preserve">this formulation expresses the ratio in a range from -1 and +1 with 0 as midpoint avoiding the symmetrical and statistical problem related to the original formulation </w:t>
      </w:r>
      <m:oMath>
        <m:sSubSup>
          <m:sSubSupPr>
            <m:ctrlPr>
              <w:rPr>
                <w:rFonts w:ascii="Cambria Math" w:hAnsi="Cambria Math"/>
              </w:rPr>
            </m:ctrlPr>
          </m:sSubSupPr>
          <m:e>
            <m:r>
              <w:rPr>
                <w:rFonts w:ascii="Cambria Math" w:hAnsi="Cambria Math"/>
              </w:rPr>
              <m:t>σ</m:t>
            </m:r>
          </m:e>
          <m:sub>
            <m:r>
              <w:rPr>
                <w:rFonts w:ascii="Cambria Math" w:hAnsi="Cambria Math"/>
              </w:rPr>
              <m:t>∥</m:t>
            </m:r>
          </m:sub>
          <m:sup>
            <m:r>
              <w:rPr>
                <w:rFonts w:ascii="Cambria Math" w:hAnsi="Cambria Math"/>
              </w:rPr>
              <m:t>2</m:t>
            </m:r>
          </m:sup>
        </m:sSubSup>
      </m:oMath>
      <w:r>
        <w:rPr>
          <w:rFonts w:eastAsiaTheme="minorEastAsia"/>
        </w:rPr>
        <w:t>/</w:t>
      </w:r>
      <m:oMath>
        <m:sSubSup>
          <m:sSubSupPr>
            <m:ctrlPr>
              <w:rPr>
                <w:rFonts w:ascii="Cambria Math" w:hAnsi="Cambria Math"/>
              </w:rPr>
            </m:ctrlPr>
          </m:sSubSupPr>
          <m:e>
            <m:r>
              <w:rPr>
                <w:rFonts w:ascii="Cambria Math" w:hAnsi="Cambria Math"/>
              </w:rPr>
              <m:t>σ</m:t>
            </m:r>
          </m:e>
          <m:sub>
            <m:r>
              <w:rPr>
                <w:rFonts w:ascii="Cambria Math" w:hAnsi="Cambria Math"/>
              </w:rPr>
              <m:t>⊥</m:t>
            </m:r>
          </m:sub>
          <m:sup>
            <m:r>
              <w:rPr>
                <w:rFonts w:ascii="Cambria Math" w:hAnsi="Cambria Math"/>
              </w:rPr>
              <m:t>2</m:t>
            </m:r>
          </m:sup>
        </m:sSubSup>
      </m:oMath>
      <w:r>
        <w:rPr>
          <w:rFonts w:eastAsiaTheme="minorEastAsia"/>
        </w:rPr>
        <w:t xml:space="preserve"> </w:t>
      </w:r>
      <w:r>
        <w:rPr>
          <w:rFonts w:eastAsiaTheme="minorEastAsia"/>
        </w:rPr>
        <w:fldChar w:fldCharType="begin"/>
      </w:r>
      <w:r w:rsidR="00063A07">
        <w:rPr>
          <w:rFonts w:eastAsiaTheme="minorEastAsia"/>
        </w:rPr>
        <w:instrText xml:space="preserve"> ADDIN EN.CITE &lt;EndNote&gt;&lt;Cite&gt;&lt;Author&gt;Scholz&lt;/Author&gt;&lt;Year&gt;1999&lt;/Year&gt;&lt;RecNum&gt;56&lt;/RecNum&gt;&lt;DisplayText&gt;[5]&lt;/DisplayText&gt;&lt;record&gt;&lt;rec-number&gt;56&lt;/rec-number&gt;&lt;foreign-keys&gt;&lt;key app="EN" db-id="sfdptvdtwf59afe5a55vw906v9fazdd9fpxt" timestamp="1605647291"&gt;56&lt;/key&gt;&lt;/foreign-keys&gt;&lt;ref-type name="Journal Article"&gt;17&lt;/ref-type&gt;&lt;contributors&gt;&lt;authors&gt;&lt;author&gt;Scholz, John P&lt;/author&gt;&lt;author&gt;Schöner, Gregor&lt;/author&gt;&lt;/authors&gt;&lt;/contributors&gt;&lt;titles&gt;&lt;title&gt;The uncontrolled manifold concept: identifying control variables for a functional task&lt;/title&gt;&lt;secondary-title&gt;Experimental brain research&lt;/secondary-title&gt;&lt;/titles&gt;&lt;periodical&gt;&lt;full-title&gt;Experimental brain research&lt;/full-title&gt;&lt;/periodical&gt;&lt;pages&gt;289-306&lt;/pages&gt;&lt;volume&gt;126&lt;/volume&gt;&lt;number&gt;3&lt;/number&gt;&lt;dates&gt;&lt;year&gt;1999&lt;/year&gt;&lt;/dates&gt;&lt;isbn&gt;0014-4819&lt;/isbn&gt;&lt;urls&gt;&lt;/urls&gt;&lt;/record&gt;&lt;/Cite&gt;&lt;/EndNote&gt;</w:instrText>
      </w:r>
      <w:r>
        <w:rPr>
          <w:rFonts w:eastAsiaTheme="minorEastAsia"/>
        </w:rPr>
        <w:fldChar w:fldCharType="separate"/>
      </w:r>
      <w:r w:rsidR="00063A07">
        <w:rPr>
          <w:rFonts w:eastAsiaTheme="minorEastAsia"/>
          <w:noProof/>
        </w:rPr>
        <w:t>[5]</w:t>
      </w:r>
      <w:r>
        <w:rPr>
          <w:rFonts w:eastAsiaTheme="minorEastAsia"/>
        </w:rPr>
        <w:fldChar w:fldCharType="end"/>
      </w:r>
      <w:r>
        <w:rPr>
          <w:rFonts w:eastAsiaTheme="minorEastAsia"/>
        </w:rPr>
        <w:t>.</w:t>
      </w:r>
      <w:r>
        <w:t xml:space="preserve"> This ratio </w:t>
      </w:r>
      <w:r w:rsidRPr="00702666">
        <w:t>reflect</w:t>
      </w:r>
      <w:r>
        <w:t>s</w:t>
      </w:r>
      <w:r w:rsidRPr="00702666">
        <w:t xml:space="preserve"> the need </w:t>
      </w:r>
      <w:r>
        <w:t>f</w:t>
      </w:r>
      <w:r w:rsidRPr="00702666">
        <w:t>o</w:t>
      </w:r>
      <w:r>
        <w:t>r</w:t>
      </w:r>
      <w:r w:rsidRPr="00702666">
        <w:t xml:space="preserve"> intervention in order to control the </w:t>
      </w:r>
      <w:r w:rsidR="005E6773">
        <w:t>control</w:t>
      </w:r>
      <w:r w:rsidRPr="00702666">
        <w:t xml:space="preserve"> variable </w:t>
      </w:r>
      <w:r>
        <w:t>during landing. I</w:t>
      </w:r>
      <w:r w:rsidRPr="00B009D9">
        <w:t xml:space="preserve">f the ratio is greater than </w:t>
      </w:r>
      <w:r>
        <w:t>0</w:t>
      </w:r>
      <w:r w:rsidRPr="00B009D9">
        <w:t xml:space="preserve">, the effector system has a coordination strategy that produces a stable goal variable and </w:t>
      </w:r>
      <w:r>
        <w:t xml:space="preserve">is </w:t>
      </w:r>
      <w:r w:rsidRPr="00B009D9">
        <w:t>indicative of motor redund</w:t>
      </w:r>
      <w:r>
        <w:t>ancy. On the contrary, ratios less than 0</w:t>
      </w:r>
      <w:r w:rsidRPr="00B009D9">
        <w:t xml:space="preserve"> will indicate that variations in coordination will have a larger effect on the </w:t>
      </w:r>
      <w:r w:rsidR="005E6773">
        <w:t>control</w:t>
      </w:r>
      <w:r w:rsidRPr="00B009D9">
        <w:t xml:space="preserve"> variable. </w:t>
      </w:r>
    </w:p>
    <w:p w:rsidR="00071DBC" w:rsidRDefault="00071DBC" w:rsidP="00B16992"/>
    <w:p w:rsidR="00071DBC" w:rsidRPr="002A19D4" w:rsidRDefault="00071DBC" w:rsidP="00B16992">
      <w:pPr>
        <w:rPr>
          <w:b/>
          <w:i/>
        </w:rPr>
      </w:pPr>
      <w:r w:rsidRPr="002A19D4">
        <w:rPr>
          <w:b/>
          <w:i/>
        </w:rPr>
        <w:t>Comparison of main covariance-based methods</w:t>
      </w:r>
    </w:p>
    <w:p w:rsidR="002D4F28" w:rsidRDefault="002D4F28" w:rsidP="00071DBC">
      <w:r w:rsidRPr="002D4F28">
        <w:t>Among many covariance-based methods (e.g. Principal Component Anal</w:t>
      </w:r>
      <w:r w:rsidR="00E12B55">
        <w:t>ysis</w:t>
      </w:r>
      <w:r w:rsidRPr="002D4F28">
        <w:t xml:space="preserve">), the UCM has an advantage because it uses a geometric function that maps the null space of covariant local body-state variables (e.g. segment angles) to a geometric manifold that represents the equivalent set of solutions that satisfies a global control variable (e.g. effector endpoint </w:t>
      </w:r>
      <w:r w:rsidRPr="002D4F28">
        <w:lastRenderedPageBreak/>
        <w:t xml:space="preserve">position) </w:t>
      </w:r>
      <w:r w:rsidRPr="002D4F28">
        <w:fldChar w:fldCharType="begin"/>
      </w:r>
      <w:r w:rsidR="00063A07">
        <w:instrText xml:space="preserve"> ADDIN EN.CITE &lt;EndNote&gt;&lt;Cite&gt;&lt;Author&gt;Schöner&lt;/Author&gt;&lt;Year&gt;2007&lt;/Year&gt;&lt;RecNum&gt;60&lt;/RecNum&gt;&lt;DisplayText&gt;[6]&lt;/DisplayText&gt;&lt;record&gt;&lt;rec-number&gt;60&lt;/rec-number&gt;&lt;foreign-keys&gt;&lt;key app="EN" db-id="sfdptvdtwf59afe5a55vw906v9fazdd9fpxt" timestamp="1605647291"&gt;60&lt;/key&gt;&lt;/foreign-keys&gt;&lt;ref-type name="Journal Article"&gt;17&lt;/ref-type&gt;&lt;contributors&gt;&lt;authors&gt;&lt;author&gt;Schöner, Gregor&lt;/author&gt;&lt;author&gt;Scholz, John P.&lt;/author&gt;&lt;/authors&gt;&lt;/contributors&gt;&lt;titles&gt;&lt;title&gt;Analyzing Variance in Multi-Degree-of-Freedom Movements: Uncovering Structure Versus Extracting Correlations&lt;/title&gt;&lt;secondary-title&gt;Motor Control&lt;/secondary-title&gt;&lt;/titles&gt;&lt;periodical&gt;&lt;full-title&gt;Motor Control&lt;/full-title&gt;&lt;/periodical&gt;&lt;pages&gt;259-275&lt;/pages&gt;&lt;volume&gt;11&lt;/volume&gt;&lt;number&gt;3&lt;/number&gt;&lt;keywords&gt;&lt;keyword&gt;*MOTOR ability&lt;/keyword&gt;&lt;keyword&gt;*KINESIOLOGY&lt;/keyword&gt;&lt;keyword&gt;ANALYSIS of covariance&lt;/keyword&gt;&lt;keyword&gt;CORRELATION (Statistics)&lt;/keyword&gt;&lt;keyword&gt;MECHANICAL ability&lt;/keyword&gt;&lt;keyword&gt;VARIANCES&lt;/keyword&gt;&lt;keyword&gt;DEGREES of freedom&lt;/keyword&gt;&lt;keyword&gt;coordination&lt;/keyword&gt;&lt;keyword&gt;correlation&lt;/keyword&gt;&lt;keyword&gt;motor variability&lt;/keyword&gt;&lt;keyword&gt;uncontrolled manifold&lt;/keyword&gt;&lt;keyword&gt;variance&lt;/keyword&gt;&lt;/keywords&gt;&lt;dates&gt;&lt;year&gt;2007&lt;/year&gt;&lt;/dates&gt;&lt;isbn&gt;10871640&lt;/isbn&gt;&lt;accession-num&gt;25930243&lt;/accession-num&gt;&lt;urls&gt;&lt;related-urls&gt;&lt;url&gt;http://wallaby.vu.edu.au:2048/login?url=https://search.ebscohost.com/login.aspx?direct=true&amp;amp;db=s3h&amp;amp;AN=25930243&amp;amp;site=ehost-live&lt;/url&gt;&lt;/related-urls&gt;&lt;/urls&gt;&lt;remote-database-name&gt;s3h&lt;/remote-database-name&gt;&lt;remote-database-provider&gt;EBSCOhost&lt;/remote-database-provider&gt;&lt;/record&gt;&lt;/Cite&gt;&lt;/EndNote&gt;</w:instrText>
      </w:r>
      <w:r w:rsidRPr="002D4F28">
        <w:fldChar w:fldCharType="separate"/>
      </w:r>
      <w:r w:rsidR="00063A07">
        <w:rPr>
          <w:noProof/>
        </w:rPr>
        <w:t>[6]</w:t>
      </w:r>
      <w:r w:rsidRPr="002D4F28">
        <w:fldChar w:fldCharType="end"/>
      </w:r>
      <w:r w:rsidRPr="002D4F28">
        <w:t>. From repeated trials</w:t>
      </w:r>
      <w:r w:rsidRPr="002D4F28" w:rsidDel="00F77AA2">
        <w:t xml:space="preserve"> </w:t>
      </w:r>
      <w:r w:rsidRPr="002D4F28">
        <w:t xml:space="preserve">of the task, the observed variability that lies unequally distributed relative to orthogonal dimensions of the manifold (UCM) is an expression of neuromotor organisation by the CNS, which seeks a strategy to achieve stable and flexible goal state solutions with minimal intervention </w:t>
      </w:r>
      <w:r w:rsidRPr="002D4F28">
        <w:fldChar w:fldCharType="begin"/>
      </w:r>
      <w:r w:rsidR="00063A07">
        <w:instrText xml:space="preserve"> ADDIN EN.CITE &lt;EndNote&gt;&lt;Cite&gt;&lt;Author&gt;Todorov&lt;/Author&gt;&lt;Year&gt;2004&lt;/Year&gt;&lt;RecNum&gt;38&lt;/RecNum&gt;&lt;DisplayText&gt;[7]&lt;/DisplayText&gt;&lt;record&gt;&lt;rec-number&gt;38&lt;/rec-number&gt;&lt;foreign-keys&gt;&lt;key app="EN" db-id="sfdptvdtwf59afe5a55vw906v9fazdd9fpxt" timestamp="1605315547"&gt;38&lt;/key&gt;&lt;/foreign-keys&gt;&lt;ref-type name="Journal Article"&gt;17&lt;/ref-type&gt;&lt;contributors&gt;&lt;authors&gt;&lt;author&gt;Todorov, Emanuel&lt;/author&gt;&lt;/authors&gt;&lt;/contributors&gt;&lt;titles&gt;&lt;title&gt;Optimality principles in sensorimotor control&lt;/title&gt;&lt;secondary-title&gt;Nature neuroscience&lt;/secondary-title&gt;&lt;/titles&gt;&lt;periodical&gt;&lt;full-title&gt;Nature neuroscience&lt;/full-title&gt;&lt;/periodical&gt;&lt;pages&gt;907-915&lt;/pages&gt;&lt;volume&gt;7&lt;/volume&gt;&lt;number&gt;9&lt;/number&gt;&lt;dates&gt;&lt;year&gt;2004&lt;/year&gt;&lt;/dates&gt;&lt;urls&gt;&lt;related-urls&gt;&lt;url&gt;https://www.nature.com/articles/nn1309.pdf&lt;/url&gt;&lt;/related-urls&gt;&lt;/urls&gt;&lt;/record&gt;&lt;/Cite&gt;&lt;/EndNote&gt;</w:instrText>
      </w:r>
      <w:r w:rsidRPr="002D4F28">
        <w:fldChar w:fldCharType="separate"/>
      </w:r>
      <w:r w:rsidR="00063A07">
        <w:rPr>
          <w:noProof/>
        </w:rPr>
        <w:t>[7]</w:t>
      </w:r>
      <w:r w:rsidRPr="002D4F28">
        <w:fldChar w:fldCharType="end"/>
      </w:r>
      <w:r w:rsidRPr="002D4F28">
        <w:t>.</w:t>
      </w:r>
    </w:p>
    <w:p w:rsidR="00071DBC" w:rsidRDefault="00071DBC" w:rsidP="00071DBC">
      <w:r>
        <w:t xml:space="preserve">The principal component analysis - PCA method </w:t>
      </w:r>
      <w:r>
        <w:fldChar w:fldCharType="begin"/>
      </w:r>
      <w:r w:rsidR="00063A07">
        <w:instrText xml:space="preserve"> ADDIN EN.CITE &lt;EndNote&gt;&lt;Cite&gt;&lt;Author&gt;Ivanenko&lt;/Author&gt;&lt;Year&gt;2007&lt;/Year&gt;&lt;RecNum&gt;64&lt;/RecNum&gt;&lt;DisplayText&gt;[8]&lt;/DisplayText&gt;&lt;record&gt;&lt;rec-number&gt;64&lt;/rec-number&gt;&lt;foreign-keys&gt;&lt;key app="EN" db-id="sfdptvdtwf59afe5a55vw906v9fazdd9fpxt" timestamp="1605647292"&gt;64&lt;/key&gt;&lt;/foreign-keys&gt;&lt;ref-type name="Journal Article"&gt;17&lt;/ref-type&gt;&lt;contributors&gt;&lt;authors&gt;&lt;author&gt;Ivanenko, Y. P.&lt;/author&gt;&lt;author&gt;Cappellini, G.&lt;/author&gt;&lt;author&gt;Dominici, N.&lt;/author&gt;&lt;author&gt;Poppele, R. E.&lt;/author&gt;&lt;author&gt;Lacquaniti, F.&lt;/author&gt;&lt;/authors&gt;&lt;/contributors&gt;&lt;auth-address&gt;Department of Neuromotor Physiology, Santa Lucia Foundation, 00179 Rome, Italy. y.ivanenko@hsantalucia.it&lt;/auth-address&gt;&lt;titles&gt;&lt;title&gt;Modular control of limb movements during human locomotion&lt;/title&gt;&lt;secondary-title&gt;J Neurosci&lt;/secondary-title&gt;&lt;/titles&gt;&lt;periodical&gt;&lt;full-title&gt;J Neurosci&lt;/full-title&gt;&lt;/periodical&gt;&lt;pages&gt;11149-61&lt;/pages&gt;&lt;volume&gt;27&lt;/volume&gt;&lt;number&gt;41&lt;/number&gt;&lt;edition&gt;2007/10/12&lt;/edition&gt;&lt;keywords&gt;&lt;keyword&gt;Adult&lt;/keyword&gt;&lt;keyword&gt;Biomechanical Phenomena/methods&lt;/keyword&gt;&lt;keyword&gt;Female&lt;/keyword&gt;&lt;keyword&gt;Gait/physiology&lt;/keyword&gt;&lt;keyword&gt;Humans&lt;/keyword&gt;&lt;keyword&gt;Leg/*physiology&lt;/keyword&gt;&lt;keyword&gt;Locomotion/*physiology&lt;/keyword&gt;&lt;keyword&gt;Male&lt;/keyword&gt;&lt;keyword&gt;Movement/*physiology&lt;/keyword&gt;&lt;keyword&gt;Running/physiology&lt;/keyword&gt;&lt;keyword&gt;Walking/physiology&lt;/keyword&gt;&lt;/keywords&gt;&lt;dates&gt;&lt;year&gt;2007&lt;/year&gt;&lt;pub-dates&gt;&lt;date&gt;Oct 10&lt;/date&gt;&lt;/pub-dates&gt;&lt;/dates&gt;&lt;isbn&gt;1529-2401 (Electronic)&amp;#xD;0270-6474 (Linking)&lt;/isbn&gt;&lt;accession-num&gt;17928457&lt;/accession-num&gt;&lt;urls&gt;&lt;related-urls&gt;&lt;url&gt;https://www.ncbi.nlm.nih.gov/pubmed/17928457&lt;/url&gt;&lt;/related-urls&gt;&lt;/urls&gt;&lt;electronic-resource-num&gt;10.1523/JNEUROSCI.2644-07.2007&lt;/electronic-resource-num&gt;&lt;/record&gt;&lt;/Cite&gt;&lt;/EndNote&gt;</w:instrText>
      </w:r>
      <w:r>
        <w:fldChar w:fldCharType="separate"/>
      </w:r>
      <w:r w:rsidR="00063A07">
        <w:rPr>
          <w:noProof/>
        </w:rPr>
        <w:t>[8]</w:t>
      </w:r>
      <w:r>
        <w:fldChar w:fldCharType="end"/>
      </w:r>
      <w:r>
        <w:t xml:space="preserve"> describes how body state variables form collective components without any priori knowledge of geometric relatedness to task goal. This makes PCA methods difficult to interpret. The UCM, goal equivalent manifold - GEM and tolerance noise and covariance - TNC methods are all covariance-based analysis that map body state variables to a task goal (solution manifold). The GEM method </w:t>
      </w:r>
      <w:r>
        <w:fldChar w:fldCharType="begin"/>
      </w:r>
      <w:r w:rsidR="00063A07">
        <w:instrText xml:space="preserve"> ADDIN EN.CITE &lt;EndNote&gt;&lt;Cite&gt;&lt;Author&gt;Cusumano&lt;/Author&gt;&lt;Year&gt;2006&lt;/Year&gt;&lt;RecNum&gt;72&lt;/RecNum&gt;&lt;DisplayText&gt;[9]&lt;/DisplayText&gt;&lt;record&gt;&lt;rec-number&gt;72&lt;/rec-number&gt;&lt;foreign-keys&gt;&lt;key app="EN" db-id="sfdptvdtwf59afe5a55vw906v9fazdd9fpxt" timestamp="1605647294"&gt;72&lt;/key&gt;&lt;/foreign-keys&gt;&lt;ref-type name="Journal Article"&gt;17&lt;/ref-type&gt;&lt;contributors&gt;&lt;authors&gt;&lt;author&gt;Cusumano, Joseph P&lt;/author&gt;&lt;author&gt;Cesari, Paola&lt;/author&gt;&lt;/authors&gt;&lt;/contributors&gt;&lt;titles&gt;&lt;title&gt;Body-goal variability mapping in an aiming task&lt;/title&gt;&lt;secondary-title&gt;Biological cybernetics&lt;/secondary-title&gt;&lt;/titles&gt;&lt;periodical&gt;&lt;full-title&gt;Biological cybernetics&lt;/full-title&gt;&lt;/periodical&gt;&lt;pages&gt;367-379&lt;/pages&gt;&lt;volume&gt;94&lt;/volume&gt;&lt;number&gt;5&lt;/number&gt;&lt;dates&gt;&lt;year&gt;2006&lt;/year&gt;&lt;/dates&gt;&lt;isbn&gt;0340-1200&lt;/isbn&gt;&lt;urls&gt;&lt;/urls&gt;&lt;/record&gt;&lt;/Cite&gt;&lt;/EndNote&gt;</w:instrText>
      </w:r>
      <w:r>
        <w:fldChar w:fldCharType="separate"/>
      </w:r>
      <w:r w:rsidR="00063A07">
        <w:rPr>
          <w:noProof/>
        </w:rPr>
        <w:t>[9]</w:t>
      </w:r>
      <w:r>
        <w:fldChar w:fldCharType="end"/>
      </w:r>
      <w:r>
        <w:t xml:space="preserve"> is conceptually similar to the UCM, except it provides additional information about the error surrounding the task goal. Both GEM and UCM methods can be applied to multiple body state variables </w:t>
      </w:r>
      <w:r>
        <w:fldChar w:fldCharType="begin"/>
      </w:r>
      <w:r w:rsidR="00063A07">
        <w:instrText xml:space="preserve"> ADDIN EN.CITE &lt;EndNote&gt;&lt;Cite&gt;&lt;Author&gt;Dingwell&lt;/Author&gt;&lt;Year&gt;2010&lt;/Year&gt;&lt;RecNum&gt;73&lt;/RecNum&gt;&lt;DisplayText&gt;[10, 11]&lt;/DisplayText&gt;&lt;record&gt;&lt;rec-number&gt;73&lt;/rec-number&gt;&lt;foreign-keys&gt;&lt;key app="EN" db-id="sfdptvdtwf59afe5a55vw906v9fazdd9fpxt" timestamp="1605647294"&gt;73&lt;/key&gt;&lt;/foreign-keys&gt;&lt;ref-type name="Journal Article"&gt;17&lt;/ref-type&gt;&lt;contributors&gt;&lt;authors&gt;&lt;author&gt;Dingwell, Jonathan B&lt;/author&gt;&lt;author&gt;John, Joby&lt;/author&gt;&lt;author&gt;Cusumano, Joseph P&lt;/author&gt;&lt;/authors&gt;&lt;/contributors&gt;&lt;titles&gt;&lt;title&gt;Do humans optimally exploit redundancy to control step variability in walking?&lt;/title&gt;&lt;secondary-title&gt;PLoS Comput Biol&lt;/secondary-title&gt;&lt;/titles&gt;&lt;periodical&gt;&lt;full-title&gt;PLoS Comput Biol&lt;/full-title&gt;&lt;/periodical&gt;&lt;pages&gt;e1000856&lt;/pages&gt;&lt;volume&gt;6&lt;/volume&gt;&lt;number&gt;7&lt;/number&gt;&lt;dates&gt;&lt;year&gt;2010&lt;/year&gt;&lt;/dates&gt;&lt;isbn&gt;1553-7358&lt;/isbn&gt;&lt;urls&gt;&lt;/urls&gt;&lt;/record&gt;&lt;/Cite&gt;&lt;Cite&gt;&lt;Author&gt;Monaco&lt;/Author&gt;&lt;Year&gt;2018&lt;/Year&gt;&lt;RecNum&gt;58&lt;/RecNum&gt;&lt;record&gt;&lt;rec-number&gt;58&lt;/rec-number&gt;&lt;foreign-keys&gt;&lt;key app="EN" db-id="sfdptvdtwf59afe5a55vw906v9fazdd9fpxt" timestamp="1605647291"&gt;58&lt;/key&gt;&lt;/foreign-keys&gt;&lt;ref-type name="Journal Article"&gt;17&lt;/ref-type&gt;&lt;contributors&gt;&lt;authors&gt;&lt;author&gt;Monaco, Vito&lt;/author&gt;&lt;author&gt;Tropea, Peppino&lt;/author&gt;&lt;author&gt;Rinaldi, Lucio A&lt;/author&gt;&lt;author&gt;Micera, Silvestro&lt;/author&gt;&lt;/authors&gt;&lt;/contributors&gt;&lt;titles&gt;&lt;title&gt;Uncontrolled manifold hypothesis: Organization of leg joint variance in humans while walking in a wide range of speeds&lt;/title&gt;&lt;secondary-title&gt;Human movement science&lt;/secondary-title&gt;&lt;/titles&gt;&lt;periodical&gt;&lt;full-title&gt;Human Movement Science&lt;/full-title&gt;&lt;/periodical&gt;&lt;pages&gt;227-235&lt;/pages&gt;&lt;volume&gt;57&lt;/volume&gt;&lt;dates&gt;&lt;year&gt;2018&lt;/year&gt;&lt;/dates&gt;&lt;isbn&gt;0167-9457&lt;/isbn&gt;&lt;urls&gt;&lt;/urls&gt;&lt;/record&gt;&lt;/Cite&gt;&lt;/EndNote&gt;</w:instrText>
      </w:r>
      <w:r>
        <w:fldChar w:fldCharType="separate"/>
      </w:r>
      <w:r w:rsidR="00063A07">
        <w:rPr>
          <w:noProof/>
        </w:rPr>
        <w:t>[10, 11]</w:t>
      </w:r>
      <w:r>
        <w:fldChar w:fldCharType="end"/>
      </w:r>
      <w:r>
        <w:t xml:space="preserve">. The exception is that the GEM method provides additional information about the performance error, which can be beneficial if known a priori that an explicit task goal exists. </w:t>
      </w:r>
    </w:p>
    <w:p w:rsidR="00071DBC" w:rsidRDefault="00071DBC" w:rsidP="00071DBC">
      <w:r>
        <w:t xml:space="preserve">The TNC method </w:t>
      </w:r>
      <w:r>
        <w:fldChar w:fldCharType="begin"/>
      </w:r>
      <w:r w:rsidR="00063A07">
        <w:instrText xml:space="preserve"> ADDIN EN.CITE &lt;EndNote&gt;&lt;Cite&gt;&lt;Author&gt;Müller&lt;/Author&gt;&lt;Year&gt;2003&lt;/Year&gt;&lt;RecNum&gt;32551&lt;/RecNum&gt;&lt;DisplayText&gt;[12]&lt;/DisplayText&gt;&lt;record&gt;&lt;rec-number&gt;32551&lt;/rec-number&gt;&lt;foreign-keys&gt;&lt;key app="EN" db-id="sfdptvdtwf59afe5a55vw906v9fazdd9fpxt" timestamp="1631837381"&gt;32551&lt;/key&gt;&lt;/foreign-keys&gt;&lt;ref-type name="Journal Article"&gt;17&lt;/ref-type&gt;&lt;contributors&gt;&lt;authors&gt;&lt;author&gt;Müller, Hermann&lt;/author&gt;&lt;author&gt;Sternad, Dagmar&lt;/author&gt;&lt;/authors&gt;&lt;/contributors&gt;&lt;titles&gt;&lt;title&gt;A randomization method for the calculation of covariation in multiple nonlinear relations: illustrated with the example of goal-directed movements&lt;/title&gt;&lt;secondary-title&gt;Biological cybernetics&lt;/secondary-title&gt;&lt;/titles&gt;&lt;periodical&gt;&lt;full-title&gt;Biological cybernetics&lt;/full-title&gt;&lt;/periodical&gt;&lt;pages&gt;22-33&lt;/pages&gt;&lt;volume&gt;89&lt;/volume&gt;&lt;number&gt;1&lt;/number&gt;&lt;dates&gt;&lt;year&gt;2003&lt;/year&gt;&lt;/dates&gt;&lt;isbn&gt;1432-0770&lt;/isbn&gt;&lt;urls&gt;&lt;/urls&gt;&lt;/record&gt;&lt;/Cite&gt;&lt;/EndNote&gt;</w:instrText>
      </w:r>
      <w:r>
        <w:fldChar w:fldCharType="separate"/>
      </w:r>
      <w:r w:rsidR="00063A07">
        <w:rPr>
          <w:noProof/>
        </w:rPr>
        <w:t>[12]</w:t>
      </w:r>
      <w:r>
        <w:fldChar w:fldCharType="end"/>
      </w:r>
      <w:r>
        <w:t xml:space="preserve"> differs slightly from both UCM and GEM because it requires a low dimensional mapping function (confined to 2D) that relates body state variables (i.e. position and velocity) with result/goal variables </w:t>
      </w:r>
      <w:r w:rsidR="00EB11E7">
        <w:fldChar w:fldCharType="begin"/>
      </w:r>
      <w:r w:rsidR="00EB11E7">
        <w:instrText xml:space="preserve"> ADDIN EN.CITE &lt;EndNote&gt;&lt;Cite&gt;&lt;Author&gt;Sternad&lt;/Author&gt;&lt;Year&gt;2018&lt;/Year&gt;&lt;RecNum&gt;1365&lt;/RecNum&gt;&lt;DisplayText&gt;[13]&lt;/DisplayText&gt;&lt;record&gt;&lt;rec-number&gt;1365&lt;/rec-number&gt;&lt;foreign-keys&gt;&lt;key app="EN" db-id="vfdxaw0ztfdwwsezaf7vspea2apprzpf0sxe" timestamp="1703256610"&gt;1365&lt;/key&gt;&lt;/foreign-keys&gt;&lt;ref-type name="Journal Article"&gt;17&lt;/ref-type&gt;&lt;contributors&gt;&lt;authors&gt;&lt;author&gt;Sternad, Dagmar&lt;/author&gt;&lt;/authors&gt;&lt;/contributors&gt;&lt;titles&gt;&lt;title&gt;It&amp;apos;s not (only) the mean that matters: variability, noise and exploration in skill learning&lt;/title&gt;&lt;secondary-title&gt;Current opinion in behavioral sciences&lt;/secondary-title&gt;&lt;/titles&gt;&lt;periodical&gt;&lt;full-title&gt;Current opinion in behavioral sciences&lt;/full-title&gt;&lt;/periodical&gt;&lt;pages&gt;183-195&lt;/pages&gt;&lt;volume&gt;20&lt;/volume&gt;&lt;dates&gt;&lt;year&gt;2018&lt;/year&gt;&lt;/dates&gt;&lt;isbn&gt;2352-1546&lt;/isbn&gt;&lt;urls&gt;&lt;/urls&gt;&lt;/record&gt;&lt;/Cite&gt;&lt;/EndNote&gt;</w:instrText>
      </w:r>
      <w:r w:rsidR="00EB11E7">
        <w:fldChar w:fldCharType="separate"/>
      </w:r>
      <w:r w:rsidR="00EB11E7">
        <w:rPr>
          <w:noProof/>
        </w:rPr>
        <w:t>[13]</w:t>
      </w:r>
      <w:r w:rsidR="00EB11E7">
        <w:fldChar w:fldCharType="end"/>
      </w:r>
      <w:r>
        <w:t xml:space="preserve">. The TNC method also requires the design of a task that has an explicit goal to determine the performance error. The TNC method creates a solution manifold in 2D space, where the third dimension defines performance error (conceptually similar to GEM). </w:t>
      </w:r>
    </w:p>
    <w:p w:rsidR="00071DBC" w:rsidRDefault="00071DBC" w:rsidP="00071DBC">
      <w:r>
        <w:t xml:space="preserve">The UCM method has an advantage over PCA because UCM quantifies goal-relevant variance structure, which provides more meaningful insight into the neuromuscular system and control variables (anisotropy of variance along a solution manifold). </w:t>
      </w:r>
    </w:p>
    <w:p w:rsidR="00071DBC" w:rsidRDefault="00071DBC" w:rsidP="00071DBC">
      <w:r>
        <w:t xml:space="preserve">The UCM method has an advantage over the TNC method because it can map multiple body state variables to a task goal. </w:t>
      </w:r>
    </w:p>
    <w:p w:rsidR="00071DBC" w:rsidRDefault="00071DBC">
      <w:r>
        <w:t>While the UCM and GEM methods are similar, the UCM satisfies the objectives of our investigation in the following way. First, our participant runners do not have knowledge of results about a target end-effector position during the impact phase, so we cannot quantify error. Second, the leg effector length and its stiffness are redundant in their contribution to external force, and we don’t know which of these three variables is the goal variable. The UCM analysis will however, show evidence that the CNS controls leg length and orientation, potentially in relation to stiffness.</w:t>
      </w:r>
    </w:p>
    <w:p w:rsidR="00954E67" w:rsidRDefault="00954E67"/>
    <w:p w:rsidR="00954E67" w:rsidRDefault="00954E67"/>
    <w:p w:rsidR="00954E67" w:rsidRDefault="00954E67"/>
    <w:p w:rsidR="00071DBC" w:rsidRPr="002D4F28" w:rsidRDefault="00071DBC">
      <w:pPr>
        <w:rPr>
          <w:b/>
          <w:lang w:val="it-IT"/>
        </w:rPr>
      </w:pPr>
      <w:r w:rsidRPr="002D4F28">
        <w:rPr>
          <w:b/>
          <w:lang w:val="it-IT"/>
        </w:rPr>
        <w:lastRenderedPageBreak/>
        <w:t>References</w:t>
      </w:r>
    </w:p>
    <w:p w:rsidR="00071DBC" w:rsidRPr="002D4F28" w:rsidRDefault="00071DBC">
      <w:pPr>
        <w:rPr>
          <w:lang w:val="it-IT"/>
        </w:rPr>
      </w:pPr>
    </w:p>
    <w:p w:rsidR="00EB11E7" w:rsidRPr="00EB11E7" w:rsidRDefault="00071DBC" w:rsidP="00EB11E7">
      <w:pPr>
        <w:pStyle w:val="EndNoteBibliography"/>
        <w:ind w:left="720" w:hanging="720"/>
      </w:pPr>
      <w:r>
        <w:fldChar w:fldCharType="begin"/>
      </w:r>
      <w:r w:rsidRPr="002D4F28">
        <w:rPr>
          <w:lang w:val="it-IT"/>
        </w:rPr>
        <w:instrText xml:space="preserve"> ADDIN EN.REFLIST </w:instrText>
      </w:r>
      <w:r>
        <w:fldChar w:fldCharType="separate"/>
      </w:r>
      <w:r w:rsidR="00EB11E7" w:rsidRPr="00EB11E7">
        <w:t>1.</w:t>
      </w:r>
      <w:r w:rsidR="00EB11E7" w:rsidRPr="00EB11E7">
        <w:tab/>
        <w:t xml:space="preserve">Diedrichsen, J., R. Shadmehr, and R.B. Ivry, </w:t>
      </w:r>
      <w:r w:rsidR="00EB11E7" w:rsidRPr="00EB11E7">
        <w:rPr>
          <w:i/>
        </w:rPr>
        <w:t>The coordination of movement: optimal feedback control and beyond.</w:t>
      </w:r>
      <w:r w:rsidR="00EB11E7" w:rsidRPr="00EB11E7">
        <w:t xml:space="preserve"> Trends in cognitive sciences, 2010. </w:t>
      </w:r>
      <w:r w:rsidR="00EB11E7" w:rsidRPr="00EB11E7">
        <w:rPr>
          <w:b/>
        </w:rPr>
        <w:t>14</w:t>
      </w:r>
      <w:r w:rsidR="00EB11E7" w:rsidRPr="00EB11E7">
        <w:t>(1): p. 31-39.</w:t>
      </w:r>
    </w:p>
    <w:p w:rsidR="00EB11E7" w:rsidRPr="00EB11E7" w:rsidRDefault="00EB11E7" w:rsidP="00EB11E7">
      <w:pPr>
        <w:pStyle w:val="EndNoteBibliography"/>
        <w:ind w:left="720" w:hanging="720"/>
      </w:pPr>
      <w:r w:rsidRPr="00EB11E7">
        <w:t>2.</w:t>
      </w:r>
      <w:r w:rsidRPr="00EB11E7">
        <w:tab/>
        <w:t xml:space="preserve">Scholz, J.P. and G. Schöner, </w:t>
      </w:r>
      <w:r w:rsidRPr="00EB11E7">
        <w:rPr>
          <w:i/>
        </w:rPr>
        <w:t>The uncontrolled manifold concept: identifying control variables for a functional task.</w:t>
      </w:r>
      <w:r w:rsidRPr="00EB11E7">
        <w:t xml:space="preserve"> Experimental brain research, 1999. </w:t>
      </w:r>
      <w:r w:rsidRPr="00EB11E7">
        <w:rPr>
          <w:b/>
        </w:rPr>
        <w:t>126</w:t>
      </w:r>
      <w:r w:rsidRPr="00EB11E7">
        <w:t>: p. 289-306.</w:t>
      </w:r>
    </w:p>
    <w:p w:rsidR="00EB11E7" w:rsidRPr="00EB11E7" w:rsidRDefault="00EB11E7" w:rsidP="00EB11E7">
      <w:pPr>
        <w:pStyle w:val="EndNoteBibliography"/>
        <w:ind w:left="720" w:hanging="720"/>
      </w:pPr>
      <w:r w:rsidRPr="00EB11E7">
        <w:t>3.</w:t>
      </w:r>
      <w:r w:rsidRPr="00EB11E7">
        <w:tab/>
        <w:t xml:space="preserve">Latash, M.L., J.P. Scholz, and G. Schoner, </w:t>
      </w:r>
      <w:r w:rsidRPr="00EB11E7">
        <w:rPr>
          <w:i/>
        </w:rPr>
        <w:t>Toward a new theory of motor synergies.</w:t>
      </w:r>
      <w:r w:rsidRPr="00EB11E7">
        <w:t xml:space="preserve"> MOTOR CONTROL-CHAMPAIGN-, 2007. </w:t>
      </w:r>
      <w:r w:rsidRPr="00EB11E7">
        <w:rPr>
          <w:b/>
        </w:rPr>
        <w:t>11</w:t>
      </w:r>
      <w:r w:rsidRPr="00EB11E7">
        <w:t>(3): p. 276.</w:t>
      </w:r>
    </w:p>
    <w:p w:rsidR="00EB11E7" w:rsidRPr="00EB11E7" w:rsidRDefault="00EB11E7" w:rsidP="00EB11E7">
      <w:pPr>
        <w:pStyle w:val="EndNoteBibliography"/>
        <w:ind w:left="720" w:hanging="720"/>
      </w:pPr>
      <w:r w:rsidRPr="00EB11E7">
        <w:t>4.</w:t>
      </w:r>
      <w:r w:rsidRPr="00EB11E7">
        <w:tab/>
        <w:t xml:space="preserve">Papi, E., P.J. Rowe, and V.M. Pomeroy, </w:t>
      </w:r>
      <w:r w:rsidRPr="00EB11E7">
        <w:rPr>
          <w:i/>
        </w:rPr>
        <w:t>Analysis of gait within the uncontrolled manifold hypothesis: Stabilisation of the centre of mass during gait.</w:t>
      </w:r>
      <w:r w:rsidRPr="00EB11E7">
        <w:t xml:space="preserve"> Journal of biomechanics, 2015. </w:t>
      </w:r>
      <w:r w:rsidRPr="00EB11E7">
        <w:rPr>
          <w:b/>
        </w:rPr>
        <w:t>48</w:t>
      </w:r>
      <w:r w:rsidRPr="00EB11E7">
        <w:t>(2): p. 324-331.</w:t>
      </w:r>
    </w:p>
    <w:p w:rsidR="00EB11E7" w:rsidRPr="00EB11E7" w:rsidRDefault="00EB11E7" w:rsidP="00EB11E7">
      <w:pPr>
        <w:pStyle w:val="EndNoteBibliography"/>
        <w:ind w:left="720" w:hanging="720"/>
      </w:pPr>
      <w:r w:rsidRPr="00EB11E7">
        <w:t>5.</w:t>
      </w:r>
      <w:r w:rsidRPr="00EB11E7">
        <w:tab/>
        <w:t xml:space="preserve">Scholz, J.P. and G. Schöner, </w:t>
      </w:r>
      <w:r w:rsidRPr="00EB11E7">
        <w:rPr>
          <w:i/>
        </w:rPr>
        <w:t>The uncontrolled manifold concept: identifying control variables for a functional task.</w:t>
      </w:r>
      <w:r w:rsidRPr="00EB11E7">
        <w:t xml:space="preserve"> Experimental brain research, 1999. </w:t>
      </w:r>
      <w:r w:rsidRPr="00EB11E7">
        <w:rPr>
          <w:b/>
        </w:rPr>
        <w:t>126</w:t>
      </w:r>
      <w:r w:rsidRPr="00EB11E7">
        <w:t>(3): p. 289-306.</w:t>
      </w:r>
    </w:p>
    <w:p w:rsidR="00EB11E7" w:rsidRPr="00EB11E7" w:rsidRDefault="00EB11E7" w:rsidP="00EB11E7">
      <w:pPr>
        <w:pStyle w:val="EndNoteBibliography"/>
        <w:ind w:left="720" w:hanging="720"/>
      </w:pPr>
      <w:r w:rsidRPr="00EB11E7">
        <w:t>6.</w:t>
      </w:r>
      <w:r w:rsidRPr="00EB11E7">
        <w:tab/>
        <w:t xml:space="preserve">Schöner, G. and J.P. Scholz, </w:t>
      </w:r>
      <w:r w:rsidRPr="00EB11E7">
        <w:rPr>
          <w:i/>
        </w:rPr>
        <w:t>Analyzing Variance in Multi-Degree-of-Freedom Movements: Uncovering Structure Versus Extracting Correlations.</w:t>
      </w:r>
      <w:r w:rsidRPr="00EB11E7">
        <w:t xml:space="preserve"> Motor Control, 2007. </w:t>
      </w:r>
      <w:r w:rsidRPr="00EB11E7">
        <w:rPr>
          <w:b/>
        </w:rPr>
        <w:t>11</w:t>
      </w:r>
      <w:r w:rsidRPr="00EB11E7">
        <w:t>(3): p. 259-275.</w:t>
      </w:r>
    </w:p>
    <w:p w:rsidR="00EB11E7" w:rsidRPr="00EB11E7" w:rsidRDefault="00EB11E7" w:rsidP="00EB11E7">
      <w:pPr>
        <w:pStyle w:val="EndNoteBibliography"/>
        <w:ind w:left="720" w:hanging="720"/>
      </w:pPr>
      <w:r w:rsidRPr="00EB11E7">
        <w:t>7.</w:t>
      </w:r>
      <w:r w:rsidRPr="00EB11E7">
        <w:tab/>
        <w:t xml:space="preserve">Todorov, E., </w:t>
      </w:r>
      <w:r w:rsidRPr="00EB11E7">
        <w:rPr>
          <w:i/>
        </w:rPr>
        <w:t>Optimality principles in sensorimotor control.</w:t>
      </w:r>
      <w:r w:rsidRPr="00EB11E7">
        <w:t xml:space="preserve"> Nature neuroscience, 2004. </w:t>
      </w:r>
      <w:r w:rsidRPr="00EB11E7">
        <w:rPr>
          <w:b/>
        </w:rPr>
        <w:t>7</w:t>
      </w:r>
      <w:r w:rsidRPr="00EB11E7">
        <w:t>(9): p. 907-915.</w:t>
      </w:r>
    </w:p>
    <w:p w:rsidR="00EB11E7" w:rsidRPr="00EB11E7" w:rsidRDefault="00EB11E7" w:rsidP="00EB11E7">
      <w:pPr>
        <w:pStyle w:val="EndNoteBibliography"/>
        <w:ind w:left="720" w:hanging="720"/>
      </w:pPr>
      <w:r w:rsidRPr="00EB11E7">
        <w:t>8.</w:t>
      </w:r>
      <w:r w:rsidRPr="00EB11E7">
        <w:tab/>
        <w:t xml:space="preserve">Ivanenko, Y.P., et al., </w:t>
      </w:r>
      <w:r w:rsidRPr="00EB11E7">
        <w:rPr>
          <w:i/>
        </w:rPr>
        <w:t>Modular control of limb movements during human locomotion.</w:t>
      </w:r>
      <w:r w:rsidRPr="00EB11E7">
        <w:t xml:space="preserve"> J Neurosci, 2007. </w:t>
      </w:r>
      <w:r w:rsidRPr="00EB11E7">
        <w:rPr>
          <w:b/>
        </w:rPr>
        <w:t>27</w:t>
      </w:r>
      <w:r w:rsidRPr="00EB11E7">
        <w:t>(41): p. 11149-61.</w:t>
      </w:r>
    </w:p>
    <w:p w:rsidR="00EB11E7" w:rsidRPr="00EB11E7" w:rsidRDefault="00EB11E7" w:rsidP="00EB11E7">
      <w:pPr>
        <w:pStyle w:val="EndNoteBibliography"/>
        <w:ind w:left="720" w:hanging="720"/>
      </w:pPr>
      <w:r w:rsidRPr="00EB11E7">
        <w:t>9.</w:t>
      </w:r>
      <w:r w:rsidRPr="00EB11E7">
        <w:tab/>
        <w:t xml:space="preserve">Cusumano, J.P. and P. Cesari, </w:t>
      </w:r>
      <w:r w:rsidRPr="00EB11E7">
        <w:rPr>
          <w:i/>
        </w:rPr>
        <w:t>Body-goal variability mapping in an aiming task.</w:t>
      </w:r>
      <w:r w:rsidRPr="00EB11E7">
        <w:t xml:space="preserve"> Biological cybernetics, 2006. </w:t>
      </w:r>
      <w:r w:rsidRPr="00EB11E7">
        <w:rPr>
          <w:b/>
        </w:rPr>
        <w:t>94</w:t>
      </w:r>
      <w:r w:rsidRPr="00EB11E7">
        <w:t>(5): p. 367-379.</w:t>
      </w:r>
    </w:p>
    <w:p w:rsidR="00EB11E7" w:rsidRPr="00EB11E7" w:rsidRDefault="00EB11E7" w:rsidP="00EB11E7">
      <w:pPr>
        <w:pStyle w:val="EndNoteBibliography"/>
        <w:ind w:left="720" w:hanging="720"/>
      </w:pPr>
      <w:r w:rsidRPr="00EB11E7">
        <w:t>10.</w:t>
      </w:r>
      <w:r w:rsidRPr="00EB11E7">
        <w:tab/>
        <w:t xml:space="preserve">Dingwell, J.B., J. John, and J.P. Cusumano, </w:t>
      </w:r>
      <w:r w:rsidRPr="00EB11E7">
        <w:rPr>
          <w:i/>
        </w:rPr>
        <w:t>Do humans optimally exploit redundancy to control step variability in walking?</w:t>
      </w:r>
      <w:r w:rsidRPr="00EB11E7">
        <w:t xml:space="preserve"> PLoS Comput Biol, 2010. </w:t>
      </w:r>
      <w:r w:rsidRPr="00EB11E7">
        <w:rPr>
          <w:b/>
        </w:rPr>
        <w:t>6</w:t>
      </w:r>
      <w:r w:rsidRPr="00EB11E7">
        <w:t>(7): p. e1000856.</w:t>
      </w:r>
    </w:p>
    <w:p w:rsidR="00EB11E7" w:rsidRPr="00EB11E7" w:rsidRDefault="00EB11E7" w:rsidP="00EB11E7">
      <w:pPr>
        <w:pStyle w:val="EndNoteBibliography"/>
        <w:ind w:left="720" w:hanging="720"/>
      </w:pPr>
      <w:r w:rsidRPr="00EB11E7">
        <w:t>11.</w:t>
      </w:r>
      <w:r w:rsidRPr="00EB11E7">
        <w:tab/>
        <w:t xml:space="preserve">Monaco, V., et al., </w:t>
      </w:r>
      <w:r w:rsidRPr="00EB11E7">
        <w:rPr>
          <w:i/>
        </w:rPr>
        <w:t>Uncontrolled manifold hypothesis: Organization of leg joint variance in humans while walking in a wide range of speeds.</w:t>
      </w:r>
      <w:r w:rsidRPr="00EB11E7">
        <w:t xml:space="preserve"> Human movement science, 2018. </w:t>
      </w:r>
      <w:r w:rsidRPr="00EB11E7">
        <w:rPr>
          <w:b/>
        </w:rPr>
        <w:t>57</w:t>
      </w:r>
      <w:r w:rsidRPr="00EB11E7">
        <w:t>: p. 227-235.</w:t>
      </w:r>
    </w:p>
    <w:p w:rsidR="00EB11E7" w:rsidRPr="00EB11E7" w:rsidRDefault="00EB11E7" w:rsidP="00EB11E7">
      <w:pPr>
        <w:pStyle w:val="EndNoteBibliography"/>
        <w:ind w:left="720" w:hanging="720"/>
      </w:pPr>
      <w:r w:rsidRPr="00EB11E7">
        <w:t>12.</w:t>
      </w:r>
      <w:r w:rsidRPr="00EB11E7">
        <w:tab/>
        <w:t xml:space="preserve">Müller, H. and D. Sternad, </w:t>
      </w:r>
      <w:r w:rsidRPr="00EB11E7">
        <w:rPr>
          <w:i/>
        </w:rPr>
        <w:t>A randomization method for the calculation of covariation in multiple nonlinear relations: illustrated with the example of goal-directed movements.</w:t>
      </w:r>
      <w:r w:rsidRPr="00EB11E7">
        <w:t xml:space="preserve"> Biological cybernetics, 2003. </w:t>
      </w:r>
      <w:r w:rsidRPr="00EB11E7">
        <w:rPr>
          <w:b/>
        </w:rPr>
        <w:t>89</w:t>
      </w:r>
      <w:r w:rsidRPr="00EB11E7">
        <w:t>(1): p. 22-33.</w:t>
      </w:r>
    </w:p>
    <w:p w:rsidR="00EB11E7" w:rsidRPr="00EB11E7" w:rsidRDefault="00EB11E7" w:rsidP="00EB11E7">
      <w:pPr>
        <w:pStyle w:val="EndNoteBibliography"/>
        <w:ind w:left="720" w:hanging="720"/>
      </w:pPr>
      <w:r w:rsidRPr="00EB11E7">
        <w:t>13.</w:t>
      </w:r>
      <w:r w:rsidRPr="00EB11E7">
        <w:tab/>
        <w:t xml:space="preserve">Sternad, D., </w:t>
      </w:r>
      <w:r w:rsidRPr="00EB11E7">
        <w:rPr>
          <w:i/>
        </w:rPr>
        <w:t>It's not (only) the mean that matters: variability, noise and exploration in skill learning.</w:t>
      </w:r>
      <w:r w:rsidRPr="00EB11E7">
        <w:t xml:space="preserve"> Current opinion in behavioral sciences, 2018. </w:t>
      </w:r>
      <w:r w:rsidRPr="00EB11E7">
        <w:rPr>
          <w:b/>
        </w:rPr>
        <w:t>20</w:t>
      </w:r>
      <w:r w:rsidRPr="00EB11E7">
        <w:t>: p. 183-195.</w:t>
      </w:r>
    </w:p>
    <w:p w:rsidR="009324C2" w:rsidRDefault="00071DBC">
      <w:r>
        <w:fldChar w:fldCharType="end"/>
      </w:r>
    </w:p>
    <w:sectPr w:rsidR="009324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F9A" w:rsidRDefault="004F6F9A" w:rsidP="004F6F9A">
      <w:pPr>
        <w:spacing w:line="240" w:lineRule="auto"/>
      </w:pPr>
      <w:r>
        <w:separator/>
      </w:r>
    </w:p>
  </w:endnote>
  <w:endnote w:type="continuationSeparator" w:id="0">
    <w:p w:rsidR="004F6F9A" w:rsidRDefault="004F6F9A" w:rsidP="004F6F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F9A" w:rsidRDefault="004F6F9A" w:rsidP="004F6F9A">
      <w:pPr>
        <w:spacing w:line="240" w:lineRule="auto"/>
      </w:pPr>
      <w:r>
        <w:separator/>
      </w:r>
    </w:p>
  </w:footnote>
  <w:footnote w:type="continuationSeparator" w:id="0">
    <w:p w:rsidR="004F6F9A" w:rsidRDefault="004F6F9A" w:rsidP="004F6F9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D314D"/>
    <w:multiLevelType w:val="hybridMultilevel"/>
    <w:tmpl w:val="10C250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5BD07AE2"/>
    <w:multiLevelType w:val="multilevel"/>
    <w:tmpl w:val="2682D3BE"/>
    <w:lvl w:ilvl="0">
      <w:start w:val="1"/>
      <w:numFmt w:val="decimal"/>
      <w:pStyle w:val="Heading1"/>
      <w:suff w:val="space"/>
      <w:lvlText w:val="%1"/>
      <w:lvlJc w:val="left"/>
      <w:pPr>
        <w:ind w:left="360" w:hanging="360"/>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1006"/>
        </w:tabs>
        <w:ind w:left="1006" w:hanging="864"/>
      </w:pPr>
      <w:rPr>
        <w:rFonts w:hint="default"/>
        <w:b w:val="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dxaw0ztfdwwsezaf7vspea2apprzpf0sxe&quot;&gt;SystmReviw&lt;record-ids&gt;&lt;item&gt;1362&lt;/item&gt;&lt;item&gt;1364&lt;/item&gt;&lt;item&gt;1365&lt;/item&gt;&lt;/record-ids&gt;&lt;/item&gt;&lt;/Libraries&gt;"/>
  </w:docVars>
  <w:rsids>
    <w:rsidRoot w:val="00B16992"/>
    <w:rsid w:val="00063A07"/>
    <w:rsid w:val="00071DBC"/>
    <w:rsid w:val="002A19D4"/>
    <w:rsid w:val="002B5CEB"/>
    <w:rsid w:val="002D4F28"/>
    <w:rsid w:val="003B3186"/>
    <w:rsid w:val="004F6F9A"/>
    <w:rsid w:val="005E6773"/>
    <w:rsid w:val="00954E67"/>
    <w:rsid w:val="00B16992"/>
    <w:rsid w:val="00B75EAE"/>
    <w:rsid w:val="00C525B5"/>
    <w:rsid w:val="00E00A36"/>
    <w:rsid w:val="00E12B55"/>
    <w:rsid w:val="00EB11E7"/>
    <w:rsid w:val="00EB1D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ADB81D"/>
  <w15:chartTrackingRefBased/>
  <w15:docId w15:val="{0FE6001F-B5FC-4873-874F-EC531D62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992"/>
    <w:pPr>
      <w:spacing w:after="0" w:line="360" w:lineRule="auto"/>
      <w:jc w:val="both"/>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B16992"/>
    <w:pPr>
      <w:keepNext/>
      <w:numPr>
        <w:numId w:val="1"/>
      </w:numPr>
      <w:spacing w:before="240" w:after="240" w:line="240" w:lineRule="auto"/>
      <w:jc w:val="center"/>
      <w:outlineLvl w:val="0"/>
    </w:pPr>
    <w:rPr>
      <w:b/>
      <w:caps/>
    </w:rPr>
  </w:style>
  <w:style w:type="paragraph" w:styleId="Heading2">
    <w:name w:val="heading 2"/>
    <w:basedOn w:val="Normal"/>
    <w:next w:val="Normal"/>
    <w:link w:val="Heading2Char"/>
    <w:qFormat/>
    <w:rsid w:val="00B16992"/>
    <w:pPr>
      <w:keepNext/>
      <w:numPr>
        <w:ilvl w:val="1"/>
        <w:numId w:val="1"/>
      </w:numPr>
      <w:spacing w:before="240" w:after="120" w:line="240" w:lineRule="auto"/>
      <w:jc w:val="left"/>
      <w:outlineLvl w:val="1"/>
    </w:pPr>
    <w:rPr>
      <w:b/>
    </w:rPr>
  </w:style>
  <w:style w:type="paragraph" w:styleId="Heading3">
    <w:name w:val="heading 3"/>
    <w:basedOn w:val="Normal"/>
    <w:next w:val="Normal"/>
    <w:link w:val="Heading3Char"/>
    <w:qFormat/>
    <w:rsid w:val="00B16992"/>
    <w:pPr>
      <w:keepNext/>
      <w:numPr>
        <w:ilvl w:val="2"/>
        <w:numId w:val="1"/>
      </w:numPr>
      <w:spacing w:before="240" w:after="120"/>
      <w:outlineLvl w:val="2"/>
    </w:pPr>
    <w:rPr>
      <w:i/>
    </w:rPr>
  </w:style>
  <w:style w:type="paragraph" w:styleId="Heading4">
    <w:name w:val="heading 4"/>
    <w:basedOn w:val="Normal"/>
    <w:next w:val="Normal"/>
    <w:link w:val="Heading4Char"/>
    <w:qFormat/>
    <w:rsid w:val="00B16992"/>
    <w:pPr>
      <w:keepNext/>
      <w:numPr>
        <w:ilvl w:val="3"/>
        <w:numId w:val="1"/>
      </w:numPr>
      <w:tabs>
        <w:tab w:val="clear" w:pos="1006"/>
        <w:tab w:val="num" w:pos="864"/>
      </w:tabs>
      <w:spacing w:before="240" w:after="60"/>
      <w:ind w:left="864"/>
      <w:outlineLvl w:val="3"/>
    </w:pPr>
  </w:style>
  <w:style w:type="paragraph" w:styleId="Heading5">
    <w:name w:val="heading 5"/>
    <w:basedOn w:val="Normal"/>
    <w:next w:val="Normal"/>
    <w:link w:val="Heading5Char"/>
    <w:qFormat/>
    <w:rsid w:val="00B16992"/>
    <w:pPr>
      <w:numPr>
        <w:ilvl w:val="4"/>
        <w:numId w:val="1"/>
      </w:numPr>
      <w:spacing w:before="240" w:after="60"/>
      <w:outlineLvl w:val="4"/>
    </w:pPr>
    <w:rPr>
      <w:sz w:val="22"/>
    </w:rPr>
  </w:style>
  <w:style w:type="paragraph" w:styleId="Heading6">
    <w:name w:val="heading 6"/>
    <w:basedOn w:val="Normal"/>
    <w:next w:val="Normal"/>
    <w:link w:val="Heading6Char"/>
    <w:qFormat/>
    <w:rsid w:val="00B16992"/>
    <w:pPr>
      <w:numPr>
        <w:ilvl w:val="5"/>
        <w:numId w:val="1"/>
      </w:numPr>
      <w:spacing w:before="240" w:after="60"/>
      <w:outlineLvl w:val="5"/>
    </w:pPr>
    <w:rPr>
      <w:i/>
      <w:sz w:val="22"/>
    </w:rPr>
  </w:style>
  <w:style w:type="paragraph" w:styleId="Heading7">
    <w:name w:val="heading 7"/>
    <w:basedOn w:val="Normal"/>
    <w:next w:val="Normal"/>
    <w:link w:val="Heading7Char"/>
    <w:qFormat/>
    <w:rsid w:val="00B16992"/>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B16992"/>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B16992"/>
    <w:pPr>
      <w:numPr>
        <w:ilvl w:val="8"/>
        <w:numId w:val="1"/>
      </w:num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6992"/>
    <w:rPr>
      <w:rFonts w:ascii="Times New Roman" w:eastAsia="Times New Roman" w:hAnsi="Times New Roman" w:cs="Times New Roman"/>
      <w:b/>
      <w:caps/>
      <w:sz w:val="24"/>
      <w:szCs w:val="24"/>
      <w:lang w:val="en-GB"/>
    </w:rPr>
  </w:style>
  <w:style w:type="character" w:customStyle="1" w:styleId="Heading2Char">
    <w:name w:val="Heading 2 Char"/>
    <w:basedOn w:val="DefaultParagraphFont"/>
    <w:link w:val="Heading2"/>
    <w:rsid w:val="00B16992"/>
    <w:rPr>
      <w:rFonts w:ascii="Times New Roman" w:eastAsia="Times New Roman" w:hAnsi="Times New Roman" w:cs="Times New Roman"/>
      <w:b/>
      <w:sz w:val="24"/>
      <w:szCs w:val="24"/>
      <w:lang w:val="en-GB"/>
    </w:rPr>
  </w:style>
  <w:style w:type="character" w:customStyle="1" w:styleId="Heading3Char">
    <w:name w:val="Heading 3 Char"/>
    <w:basedOn w:val="DefaultParagraphFont"/>
    <w:link w:val="Heading3"/>
    <w:rsid w:val="00B16992"/>
    <w:rPr>
      <w:rFonts w:ascii="Times New Roman" w:eastAsia="Times New Roman" w:hAnsi="Times New Roman" w:cs="Times New Roman"/>
      <w:i/>
      <w:sz w:val="24"/>
      <w:szCs w:val="24"/>
      <w:lang w:val="en-GB"/>
    </w:rPr>
  </w:style>
  <w:style w:type="character" w:customStyle="1" w:styleId="Heading4Char">
    <w:name w:val="Heading 4 Char"/>
    <w:basedOn w:val="DefaultParagraphFont"/>
    <w:link w:val="Heading4"/>
    <w:rsid w:val="00B16992"/>
    <w:rPr>
      <w:rFonts w:ascii="Times New Roman" w:eastAsia="Times New Roman" w:hAnsi="Times New Roman" w:cs="Times New Roman"/>
      <w:sz w:val="24"/>
      <w:szCs w:val="24"/>
      <w:lang w:val="en-GB"/>
    </w:rPr>
  </w:style>
  <w:style w:type="character" w:customStyle="1" w:styleId="Heading5Char">
    <w:name w:val="Heading 5 Char"/>
    <w:basedOn w:val="DefaultParagraphFont"/>
    <w:link w:val="Heading5"/>
    <w:rsid w:val="00B16992"/>
    <w:rPr>
      <w:rFonts w:ascii="Times New Roman" w:eastAsia="Times New Roman" w:hAnsi="Times New Roman" w:cs="Times New Roman"/>
      <w:szCs w:val="24"/>
      <w:lang w:val="en-GB"/>
    </w:rPr>
  </w:style>
  <w:style w:type="character" w:customStyle="1" w:styleId="Heading6Char">
    <w:name w:val="Heading 6 Char"/>
    <w:basedOn w:val="DefaultParagraphFont"/>
    <w:link w:val="Heading6"/>
    <w:rsid w:val="00B16992"/>
    <w:rPr>
      <w:rFonts w:ascii="Times New Roman" w:eastAsia="Times New Roman" w:hAnsi="Times New Roman" w:cs="Times New Roman"/>
      <w:i/>
      <w:szCs w:val="24"/>
      <w:lang w:val="en-GB"/>
    </w:rPr>
  </w:style>
  <w:style w:type="character" w:customStyle="1" w:styleId="Heading7Char">
    <w:name w:val="Heading 7 Char"/>
    <w:basedOn w:val="DefaultParagraphFont"/>
    <w:link w:val="Heading7"/>
    <w:rsid w:val="00B16992"/>
    <w:rPr>
      <w:rFonts w:ascii="Arial" w:eastAsia="Times New Roman" w:hAnsi="Arial" w:cs="Times New Roman"/>
      <w:sz w:val="20"/>
      <w:szCs w:val="24"/>
      <w:lang w:val="en-GB"/>
    </w:rPr>
  </w:style>
  <w:style w:type="character" w:customStyle="1" w:styleId="Heading8Char">
    <w:name w:val="Heading 8 Char"/>
    <w:basedOn w:val="DefaultParagraphFont"/>
    <w:link w:val="Heading8"/>
    <w:rsid w:val="00B16992"/>
    <w:rPr>
      <w:rFonts w:ascii="Arial" w:eastAsia="Times New Roman" w:hAnsi="Arial" w:cs="Times New Roman"/>
      <w:i/>
      <w:sz w:val="20"/>
      <w:szCs w:val="24"/>
      <w:lang w:val="en-GB"/>
    </w:rPr>
  </w:style>
  <w:style w:type="character" w:customStyle="1" w:styleId="Heading9Char">
    <w:name w:val="Heading 9 Char"/>
    <w:basedOn w:val="DefaultParagraphFont"/>
    <w:link w:val="Heading9"/>
    <w:rsid w:val="00B16992"/>
    <w:rPr>
      <w:rFonts w:ascii="Arial" w:eastAsia="Times New Roman" w:hAnsi="Arial" w:cs="Times New Roman"/>
      <w:b/>
      <w:i/>
      <w:sz w:val="18"/>
      <w:szCs w:val="24"/>
      <w:lang w:val="en-GB"/>
    </w:rPr>
  </w:style>
  <w:style w:type="paragraph" w:customStyle="1" w:styleId="EndNoteBibliographyTitle">
    <w:name w:val="EndNote Bibliography Title"/>
    <w:basedOn w:val="Normal"/>
    <w:link w:val="EndNoteBibliographyTitleChar"/>
    <w:rsid w:val="00071DBC"/>
    <w:pPr>
      <w:jc w:val="center"/>
    </w:pPr>
    <w:rPr>
      <w:noProof/>
      <w:lang w:val="en-US"/>
    </w:rPr>
  </w:style>
  <w:style w:type="character" w:customStyle="1" w:styleId="EndNoteBibliographyTitleChar">
    <w:name w:val="EndNote Bibliography Title Char"/>
    <w:basedOn w:val="DefaultParagraphFont"/>
    <w:link w:val="EndNoteBibliographyTitle"/>
    <w:rsid w:val="00071DBC"/>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071DBC"/>
    <w:pPr>
      <w:spacing w:line="240" w:lineRule="auto"/>
    </w:pPr>
    <w:rPr>
      <w:noProof/>
      <w:lang w:val="en-US"/>
    </w:rPr>
  </w:style>
  <w:style w:type="character" w:customStyle="1" w:styleId="EndNoteBibliographyChar">
    <w:name w:val="EndNote Bibliography Char"/>
    <w:basedOn w:val="DefaultParagraphFont"/>
    <w:link w:val="EndNoteBibliography"/>
    <w:rsid w:val="00071DBC"/>
    <w:rPr>
      <w:rFonts w:ascii="Times New Roman" w:eastAsia="Times New Roman" w:hAnsi="Times New Roman" w:cs="Times New Roman"/>
      <w:noProof/>
      <w:sz w:val="24"/>
      <w:szCs w:val="24"/>
      <w:lang w:val="en-US"/>
    </w:rPr>
  </w:style>
  <w:style w:type="character" w:styleId="Strong">
    <w:name w:val="Strong"/>
    <w:basedOn w:val="DefaultParagraphFont"/>
    <w:uiPriority w:val="22"/>
    <w:qFormat/>
    <w:rsid w:val="004F6F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3554</Words>
  <Characters>20258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Garofolini</dc:creator>
  <cp:keywords/>
  <dc:description/>
  <cp:lastModifiedBy>Alessandro Garofolini</cp:lastModifiedBy>
  <cp:revision>2</cp:revision>
  <dcterms:created xsi:type="dcterms:W3CDTF">2023-12-22T15:06:00Z</dcterms:created>
  <dcterms:modified xsi:type="dcterms:W3CDTF">2023-12-22T15:06:00Z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dc88d9-fa17-47eb-a208-3e66f59d50e5_Enabled">
    <vt:lpwstr>true</vt:lpwstr>
  </property>
  <property fmtid="{D5CDD505-2E9C-101B-9397-08002B2CF9AE}" pid="3" name="MSIP_Label_d7dc88d9-fa17-47eb-a208-3e66f59d50e5_SetDate">
    <vt:lpwstr>2023-11-15T20:55:36Z</vt:lpwstr>
  </property>
  <property fmtid="{D5CDD505-2E9C-101B-9397-08002B2CF9AE}" pid="4" name="MSIP_Label_d7dc88d9-fa17-47eb-a208-3e66f59d50e5_Method">
    <vt:lpwstr>Standard</vt:lpwstr>
  </property>
  <property fmtid="{D5CDD505-2E9C-101B-9397-08002B2CF9AE}" pid="5" name="MSIP_Label_d7dc88d9-fa17-47eb-a208-3e66f59d50e5_Name">
    <vt:lpwstr>Internal</vt:lpwstr>
  </property>
  <property fmtid="{D5CDD505-2E9C-101B-9397-08002B2CF9AE}" pid="6" name="MSIP_Label_d7dc88d9-fa17-47eb-a208-3e66f59d50e5_SiteId">
    <vt:lpwstr>d51ba343-9258-4ea6-9907-426d8c84ec12</vt:lpwstr>
  </property>
  <property fmtid="{D5CDD505-2E9C-101B-9397-08002B2CF9AE}" pid="7" name="MSIP_Label_d7dc88d9-fa17-47eb-a208-3e66f59d50e5_ActionId">
    <vt:lpwstr>7a19ab5d-f1d3-4227-bea6-f7966572a80e</vt:lpwstr>
  </property>
  <property fmtid="{D5CDD505-2E9C-101B-9397-08002B2CF9AE}" pid="8" name="MSIP_Label_d7dc88d9-fa17-47eb-a208-3e66f59d50e5_ContentBits">
    <vt:lpwstr>0</vt:lpwstr>
  </property>
</Properties>
</file>