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E385" w14:textId="07A90CF8" w:rsidR="00A17972" w:rsidRPr="008E0974" w:rsidRDefault="00A17972" w:rsidP="00A17972">
      <w:pPr>
        <w:spacing w:line="480" w:lineRule="auto"/>
        <w:rPr>
          <w:rFonts w:ascii="Arial" w:hAnsi="Arial" w:cs="Arial"/>
          <w:b/>
          <w:bCs/>
        </w:rPr>
      </w:pPr>
      <w:r w:rsidRPr="008E0974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S1</w:t>
      </w:r>
      <w:r w:rsidR="00D36A7A">
        <w:rPr>
          <w:rFonts w:ascii="Arial" w:hAnsi="Arial" w:cs="Arial"/>
          <w:b/>
          <w:bCs/>
        </w:rPr>
        <w:t>1</w:t>
      </w:r>
      <w:r w:rsidRPr="008E097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Sequences of the p</w:t>
      </w:r>
      <w:r w:rsidRPr="008E0974">
        <w:rPr>
          <w:rFonts w:ascii="Arial" w:hAnsi="Arial" w:cs="Arial"/>
          <w:b/>
          <w:bCs/>
        </w:rPr>
        <w:t xml:space="preserve">rimers </w:t>
      </w:r>
      <w:r>
        <w:rPr>
          <w:rFonts w:ascii="Arial" w:hAnsi="Arial" w:cs="Arial"/>
          <w:b/>
          <w:bCs/>
        </w:rPr>
        <w:t xml:space="preserve">and PCR conditions used to detect the </w:t>
      </w:r>
      <w:r w:rsidRPr="008E0974">
        <w:rPr>
          <w:rFonts w:ascii="Arial" w:hAnsi="Arial" w:cs="Arial"/>
          <w:b/>
          <w:bCs/>
        </w:rPr>
        <w:t xml:space="preserve">presence </w:t>
      </w:r>
      <w:r>
        <w:rPr>
          <w:rFonts w:ascii="Arial" w:hAnsi="Arial" w:cs="Arial"/>
          <w:b/>
          <w:bCs/>
        </w:rPr>
        <w:t xml:space="preserve">of </w:t>
      </w:r>
      <w:r>
        <w:rPr>
          <w:rFonts w:ascii="Arial" w:hAnsi="Arial" w:cs="Arial"/>
          <w:b/>
          <w:bCs/>
          <w:i/>
          <w:iCs/>
        </w:rPr>
        <w:t>Kcnj10</w:t>
      </w:r>
      <w:r w:rsidRPr="008E0974">
        <w:rPr>
          <w:rFonts w:ascii="Arial" w:hAnsi="Arial" w:cs="Arial"/>
          <w:b/>
          <w:bCs/>
        </w:rPr>
        <w:t xml:space="preserve">-ZsGreen </w:t>
      </w:r>
      <w:r>
        <w:rPr>
          <w:rFonts w:ascii="Arial" w:hAnsi="Arial" w:cs="Arial"/>
          <w:b/>
          <w:bCs/>
        </w:rPr>
        <w:t>in the transgenic mice.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2"/>
        <w:gridCol w:w="3733"/>
        <w:gridCol w:w="2148"/>
      </w:tblGrid>
      <w:tr w:rsidR="00A17972" w14:paraId="5FA868C3" w14:textId="77777777" w:rsidTr="00242A85">
        <w:tc>
          <w:tcPr>
            <w:tcW w:w="1122" w:type="dxa"/>
          </w:tcPr>
          <w:p w14:paraId="08D633D8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Primer</w:t>
            </w:r>
          </w:p>
        </w:tc>
        <w:tc>
          <w:tcPr>
            <w:tcW w:w="3733" w:type="dxa"/>
          </w:tcPr>
          <w:p w14:paraId="1C8FA6BC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Sequence of the primer (5’ to 3’)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4DFC35CA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Amplicon size (bp)</w:t>
            </w:r>
          </w:p>
        </w:tc>
      </w:tr>
      <w:tr w:rsidR="00A17972" w14:paraId="66C1B44C" w14:textId="77777777" w:rsidTr="00242A85">
        <w:tc>
          <w:tcPr>
            <w:tcW w:w="1122" w:type="dxa"/>
          </w:tcPr>
          <w:p w14:paraId="5AC7EDA2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F6</w:t>
            </w:r>
          </w:p>
        </w:tc>
        <w:tc>
          <w:tcPr>
            <w:tcW w:w="3733" w:type="dxa"/>
            <w:tcBorders>
              <w:right w:val="single" w:sz="4" w:space="0" w:color="auto"/>
            </w:tcBorders>
          </w:tcPr>
          <w:p w14:paraId="42F4562A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 w:rsidRPr="002E45DA">
              <w:rPr>
                <w:rFonts w:ascii="Arial" w:hAnsi="Arial" w:cs="Arial"/>
              </w:rPr>
              <w:t>GGGTGGCGGCTAGGAATTAG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9A5BD4" w14:textId="77777777" w:rsidR="00A17972" w:rsidRPr="00450CD6" w:rsidRDefault="00A17972" w:rsidP="00242A85">
            <w:pPr>
              <w:spacing w:line="480" w:lineRule="auto"/>
              <w:rPr>
                <w:rFonts w:ascii="Arial" w:hAnsi="Arial" w:cs="Arial"/>
                <w:highlight w:val="yellow"/>
              </w:rPr>
            </w:pPr>
          </w:p>
        </w:tc>
      </w:tr>
      <w:tr w:rsidR="00A17972" w14:paraId="5C4EB539" w14:textId="77777777" w:rsidTr="00242A85">
        <w:tc>
          <w:tcPr>
            <w:tcW w:w="1122" w:type="dxa"/>
          </w:tcPr>
          <w:p w14:paraId="302EB11C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R6</w:t>
            </w:r>
          </w:p>
        </w:tc>
        <w:tc>
          <w:tcPr>
            <w:tcW w:w="3733" w:type="dxa"/>
            <w:tcBorders>
              <w:right w:val="single" w:sz="4" w:space="0" w:color="auto"/>
            </w:tcBorders>
          </w:tcPr>
          <w:p w14:paraId="0A4D4F6C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 w:rsidRPr="002E45DA">
              <w:rPr>
                <w:rFonts w:ascii="Arial" w:hAnsi="Arial" w:cs="Arial"/>
              </w:rPr>
              <w:t>GGTGATCACGAACTTGTGGC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AA51" w14:textId="77777777" w:rsidR="00A17972" w:rsidRPr="00450CD6" w:rsidRDefault="00A17972" w:rsidP="00242A85">
            <w:pPr>
              <w:spacing w:line="480" w:lineRule="auto"/>
              <w:rPr>
                <w:rFonts w:ascii="Arial" w:hAnsi="Arial" w:cs="Arial"/>
                <w:highlight w:val="yellow"/>
              </w:rPr>
            </w:pPr>
            <w:r w:rsidRPr="008E0974">
              <w:rPr>
                <w:rFonts w:ascii="Arial" w:hAnsi="Arial" w:cs="Arial"/>
                <w:color w:val="000000" w:themeColor="text1"/>
              </w:rPr>
              <w:t>156</w:t>
            </w:r>
            <w:r>
              <w:rPr>
                <w:rFonts w:ascii="Arial" w:hAnsi="Arial" w:cs="Arial"/>
                <w:color w:val="000000" w:themeColor="text1"/>
              </w:rPr>
              <w:t xml:space="preserve">  </w:t>
            </w:r>
          </w:p>
        </w:tc>
      </w:tr>
      <w:tr w:rsidR="00A17972" w14:paraId="1DE215C5" w14:textId="77777777" w:rsidTr="00242A85">
        <w:tc>
          <w:tcPr>
            <w:tcW w:w="1122" w:type="dxa"/>
          </w:tcPr>
          <w:p w14:paraId="528B36B4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F1</w:t>
            </w:r>
          </w:p>
        </w:tc>
        <w:tc>
          <w:tcPr>
            <w:tcW w:w="3733" w:type="dxa"/>
            <w:tcBorders>
              <w:right w:val="single" w:sz="4" w:space="0" w:color="auto"/>
            </w:tcBorders>
          </w:tcPr>
          <w:p w14:paraId="41BE7FEA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 w:rsidRPr="002E45DA">
              <w:rPr>
                <w:rFonts w:ascii="Arial" w:hAnsi="Arial" w:cs="Arial"/>
              </w:rPr>
              <w:t>CTTCGCCGAGGACATCTTGT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3E1CC2" w14:textId="77777777" w:rsidR="00A17972" w:rsidRPr="002E45DA" w:rsidRDefault="00A17972" w:rsidP="00242A85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A17972" w14:paraId="66F62547" w14:textId="77777777" w:rsidTr="00242A85">
        <w:tc>
          <w:tcPr>
            <w:tcW w:w="1122" w:type="dxa"/>
          </w:tcPr>
          <w:p w14:paraId="0569F180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</w:t>
            </w:r>
          </w:p>
        </w:tc>
        <w:tc>
          <w:tcPr>
            <w:tcW w:w="3733" w:type="dxa"/>
            <w:tcBorders>
              <w:right w:val="single" w:sz="4" w:space="0" w:color="auto"/>
            </w:tcBorders>
          </w:tcPr>
          <w:p w14:paraId="4C626130" w14:textId="77777777" w:rsidR="00A17972" w:rsidRDefault="00A17972" w:rsidP="00242A85">
            <w:pPr>
              <w:spacing w:line="480" w:lineRule="auto"/>
              <w:rPr>
                <w:rFonts w:ascii="Arial" w:hAnsi="Arial" w:cs="Arial"/>
              </w:rPr>
            </w:pPr>
            <w:r w:rsidRPr="002E45DA">
              <w:rPr>
                <w:rFonts w:ascii="Arial" w:hAnsi="Arial" w:cs="Arial"/>
              </w:rPr>
              <w:t>GAAGTTGAGGGTGGGTGCTT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75649" w14:textId="77777777" w:rsidR="00A17972" w:rsidRPr="00450CD6" w:rsidRDefault="00A17972" w:rsidP="00242A85">
            <w:pPr>
              <w:spacing w:line="480" w:lineRule="auto"/>
              <w:rPr>
                <w:rFonts w:ascii="Arial" w:hAnsi="Arial" w:cs="Arial"/>
                <w:highlight w:val="yellow"/>
              </w:rPr>
            </w:pPr>
            <w:r w:rsidRPr="008E0974">
              <w:rPr>
                <w:rFonts w:ascii="Arial" w:hAnsi="Arial" w:cs="Arial"/>
                <w:color w:val="000000" w:themeColor="text1"/>
              </w:rPr>
              <w:t>924</w:t>
            </w:r>
            <w:r>
              <w:rPr>
                <w:rFonts w:ascii="Arial" w:hAnsi="Arial" w:cs="Arial"/>
                <w:color w:val="000000" w:themeColor="text1"/>
              </w:rPr>
              <w:t xml:space="preserve">  </w:t>
            </w:r>
          </w:p>
        </w:tc>
      </w:tr>
    </w:tbl>
    <w:p w14:paraId="0C011141" w14:textId="77777777" w:rsidR="00A17972" w:rsidRDefault="00A17972" w:rsidP="00A17972">
      <w:pPr>
        <w:spacing w:line="480" w:lineRule="auto"/>
        <w:rPr>
          <w:rFonts w:ascii="Arial" w:hAnsi="Arial" w:cs="Arial"/>
          <w:b/>
          <w:bCs/>
        </w:rPr>
      </w:pPr>
    </w:p>
    <w:p w14:paraId="561821B0" w14:textId="75D5AB83" w:rsidR="00D2680E" w:rsidRDefault="00A17972" w:rsidP="00B63628">
      <w:pPr>
        <w:spacing w:line="480" w:lineRule="auto"/>
      </w:pPr>
      <w:r w:rsidRPr="00F02BD7">
        <w:rPr>
          <w:rFonts w:ascii="Arial" w:hAnsi="Arial" w:cs="Arial"/>
          <w:color w:val="000000"/>
        </w:rPr>
        <w:t>Genotyping PCRs were carried out using My Taq Red Mix (Meridian Bioscience </w:t>
      </w:r>
      <w:r w:rsidRPr="00E7090C">
        <w:rPr>
          <w:rFonts w:ascii="Arial" w:hAnsi="Arial" w:cs="Arial"/>
          <w:color w:val="000000" w:themeColor="text1"/>
        </w:rPr>
        <w:t xml:space="preserve"># BIO-25044, </w:t>
      </w:r>
      <w:proofErr w:type="spellStart"/>
      <w:r w:rsidRPr="00E7090C">
        <w:rPr>
          <w:rFonts w:ascii="Arial" w:hAnsi="Arial" w:cs="Arial"/>
          <w:color w:val="000000" w:themeColor="text1"/>
        </w:rPr>
        <w:t>Cinncinati</w:t>
      </w:r>
      <w:proofErr w:type="spellEnd"/>
      <w:r w:rsidRPr="00E7090C">
        <w:rPr>
          <w:rFonts w:ascii="Arial" w:hAnsi="Arial" w:cs="Arial"/>
          <w:color w:val="000000" w:themeColor="text1"/>
        </w:rPr>
        <w:t>, OH</w:t>
      </w:r>
      <w:r w:rsidRPr="00F02BD7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 xml:space="preserve">according to manufacturer’s instructions, </w:t>
      </w:r>
      <w:r w:rsidRPr="00F02BD7">
        <w:rPr>
          <w:rFonts w:ascii="Arial" w:hAnsi="Arial" w:cs="Arial"/>
          <w:color w:val="000000"/>
        </w:rPr>
        <w:t>using one cycle of denaturation at 94</w:t>
      </w:r>
      <w:r w:rsidRPr="00F02BD7">
        <w:rPr>
          <w:rFonts w:ascii="Arial" w:hAnsi="Arial" w:cs="Arial"/>
          <w:color w:val="000000"/>
          <w:vertAlign w:val="superscript"/>
        </w:rPr>
        <w:t>o</w:t>
      </w:r>
      <w:r w:rsidRPr="00F02BD7">
        <w:rPr>
          <w:rFonts w:ascii="Arial" w:hAnsi="Arial" w:cs="Arial"/>
          <w:color w:val="000000"/>
        </w:rPr>
        <w:t xml:space="preserve">C for </w:t>
      </w:r>
      <w:r>
        <w:rPr>
          <w:rFonts w:ascii="Arial" w:hAnsi="Arial" w:cs="Arial"/>
          <w:color w:val="000000"/>
        </w:rPr>
        <w:t>3</w:t>
      </w:r>
      <w:r w:rsidRPr="00F02BD7">
        <w:rPr>
          <w:rFonts w:ascii="Arial" w:hAnsi="Arial" w:cs="Arial"/>
          <w:color w:val="000000"/>
        </w:rPr>
        <w:t xml:space="preserve"> min, 35 cycles of denaturation at 95</w:t>
      </w:r>
      <w:r w:rsidRPr="00F02BD7">
        <w:rPr>
          <w:rFonts w:ascii="Arial" w:hAnsi="Arial" w:cs="Arial"/>
          <w:color w:val="000000"/>
          <w:vertAlign w:val="superscript"/>
        </w:rPr>
        <w:t>o</w:t>
      </w:r>
      <w:r w:rsidRPr="00F02BD7">
        <w:rPr>
          <w:rFonts w:ascii="Arial" w:hAnsi="Arial" w:cs="Arial"/>
          <w:color w:val="000000"/>
        </w:rPr>
        <w:t>C for 15 s, annealing at 59</w:t>
      </w:r>
      <w:r w:rsidRPr="00F02BD7">
        <w:rPr>
          <w:rFonts w:ascii="Arial" w:hAnsi="Arial" w:cs="Arial"/>
          <w:color w:val="000000"/>
          <w:vertAlign w:val="superscript"/>
        </w:rPr>
        <w:t>o</w:t>
      </w:r>
      <w:r w:rsidRPr="00F02BD7">
        <w:rPr>
          <w:rFonts w:ascii="Arial" w:hAnsi="Arial" w:cs="Arial"/>
          <w:color w:val="000000"/>
        </w:rPr>
        <w:t>C for 30 s, and extension at 72</w:t>
      </w:r>
      <w:r w:rsidRPr="00F02BD7">
        <w:rPr>
          <w:rFonts w:ascii="Arial" w:hAnsi="Arial" w:cs="Arial"/>
          <w:color w:val="000000"/>
          <w:vertAlign w:val="superscript"/>
        </w:rPr>
        <w:t>o</w:t>
      </w:r>
      <w:r w:rsidRPr="00F02BD7">
        <w:rPr>
          <w:rFonts w:ascii="Arial" w:hAnsi="Arial" w:cs="Arial"/>
          <w:color w:val="000000"/>
        </w:rPr>
        <w:t>C for 1 min, followed by a final extension at 72</w:t>
      </w:r>
      <w:r w:rsidRPr="00F02BD7">
        <w:rPr>
          <w:rFonts w:ascii="Arial" w:hAnsi="Arial" w:cs="Arial"/>
          <w:color w:val="000000"/>
          <w:vertAlign w:val="superscript"/>
        </w:rPr>
        <w:t>o</w:t>
      </w:r>
      <w:r w:rsidRPr="00F02BD7">
        <w:rPr>
          <w:rFonts w:ascii="Arial" w:hAnsi="Arial" w:cs="Arial"/>
          <w:color w:val="000000"/>
        </w:rPr>
        <w:t>C for 7 min.</w:t>
      </w:r>
      <w:r w:rsidR="00B63628">
        <w:t xml:space="preserve"> </w:t>
      </w:r>
    </w:p>
    <w:sectPr w:rsidR="00D26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72"/>
    <w:rsid w:val="00A17972"/>
    <w:rsid w:val="00B63628"/>
    <w:rsid w:val="00C467F8"/>
    <w:rsid w:val="00D2680E"/>
    <w:rsid w:val="00D3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423E7"/>
  <w15:chartTrackingRefBased/>
  <w15:docId w15:val="{71CB0B3A-03C9-46E9-8B8D-31009555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Strepay, Dillon (NIH/NIDCD) [V]</dc:creator>
  <cp:keywords/>
  <dc:description/>
  <cp:lastModifiedBy>Strepay, Dillon (NIH/NIDCD) [V]</cp:lastModifiedBy>
  <cp:revision>2</cp:revision>
  <dcterms:created xsi:type="dcterms:W3CDTF">2024-01-04T18:00:00Z</dcterms:created>
  <dcterms:modified xsi:type="dcterms:W3CDTF">2024-01-04T18:00:00Z</dcterms:modified>
</cp:coreProperties>
</file>