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B42A7" w14:textId="77777777" w:rsidR="00F34A31" w:rsidRPr="00791C70" w:rsidRDefault="00F34A31" w:rsidP="00504884">
      <w:pPr>
        <w:widowControl/>
        <w:spacing w:line="360" w:lineRule="auto"/>
        <w:rPr>
          <w:rFonts w:ascii="Palatino Linotype" w:eastAsia="宋体" w:hAnsi="Palatino Linotype" w:cs="宋体"/>
          <w:kern w:val="0"/>
          <w:szCs w:val="21"/>
        </w:rPr>
      </w:pPr>
      <w:r w:rsidRPr="00791C70">
        <w:rPr>
          <w:rFonts w:ascii="Palatino Linotype" w:eastAsia="宋体" w:hAnsi="Palatino Linotype" w:cs="宋体"/>
          <w:b/>
          <w:bCs/>
          <w:color w:val="000000"/>
          <w:kern w:val="0"/>
          <w:szCs w:val="21"/>
        </w:rPr>
        <w:t xml:space="preserve">SUPPLEMENTARY MATERIAL CAPTIONS </w:t>
      </w:r>
    </w:p>
    <w:p w14:paraId="75DC348E"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t>Supplementary Figure 1.</w:t>
      </w:r>
      <w:r w:rsidRPr="00504884">
        <w:rPr>
          <w:rFonts w:ascii="Palatino Linotype" w:eastAsia="宋体" w:hAnsi="Palatino Linotype" w:cs="宋体"/>
          <w:color w:val="000000"/>
          <w:kern w:val="0"/>
          <w:szCs w:val="21"/>
        </w:rPr>
        <w:t xml:space="preserve"> Clinical characteristics in the original cohort. (A), (B), (C), (D) The violin plot of the clinical characteristics of patients. Component comparison was conducted using Welch's one-way ANOVA and Games-Howell test. ND, blue; IGT, orange; DEP, green.</w:t>
      </w:r>
    </w:p>
    <w:p w14:paraId="1BD92F63"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t>Supplementary Figure 2.</w:t>
      </w:r>
      <w:r w:rsidRPr="00504884">
        <w:rPr>
          <w:rFonts w:ascii="Palatino Linotype" w:eastAsia="宋体" w:hAnsi="Palatino Linotype" w:cs="宋体"/>
          <w:color w:val="000000"/>
          <w:kern w:val="0"/>
          <w:szCs w:val="21"/>
        </w:rPr>
        <w:t xml:space="preserve"> Correlation of immunocyte infiltration in the pancreatic islet microenvironment of DEP patients (*p &lt; 0.05; **p ≤ 0.01)</w:t>
      </w:r>
    </w:p>
    <w:p w14:paraId="75FBAFEB"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t>Supplementary Figure 3.</w:t>
      </w:r>
      <w:r w:rsidRPr="00504884">
        <w:rPr>
          <w:rFonts w:ascii="Palatino Linotype" w:eastAsia="宋体" w:hAnsi="Palatino Linotype" w:cs="宋体"/>
          <w:color w:val="000000"/>
          <w:kern w:val="0"/>
          <w:szCs w:val="21"/>
        </w:rPr>
        <w:t xml:space="preserve"> The clinical characteristics and the sum of normalized score in the restricted cohort. (A), (B), (C), (D) The violin plot of the clinical characteristics between different diabetes status. ND, blue; IGT-A, </w:t>
      </w:r>
      <w:proofErr w:type="spellStart"/>
      <w:r w:rsidRPr="00504884">
        <w:rPr>
          <w:rFonts w:ascii="Palatino Linotype" w:eastAsia="宋体" w:hAnsi="Palatino Linotype" w:cs="宋体"/>
          <w:color w:val="000000"/>
          <w:kern w:val="0"/>
          <w:szCs w:val="21"/>
        </w:rPr>
        <w:t>darkcyan</w:t>
      </w:r>
      <w:proofErr w:type="spellEnd"/>
      <w:r w:rsidRPr="00504884">
        <w:rPr>
          <w:rFonts w:ascii="Palatino Linotype" w:eastAsia="宋体" w:hAnsi="Palatino Linotype" w:cs="宋体"/>
          <w:color w:val="000000"/>
          <w:kern w:val="0"/>
          <w:szCs w:val="21"/>
        </w:rPr>
        <w:t xml:space="preserve">; IGT-B, </w:t>
      </w:r>
      <w:proofErr w:type="spellStart"/>
      <w:r w:rsidRPr="00504884">
        <w:rPr>
          <w:rFonts w:ascii="Palatino Linotype" w:eastAsia="宋体" w:hAnsi="Palatino Linotype" w:cs="宋体"/>
          <w:color w:val="000000"/>
          <w:kern w:val="0"/>
          <w:szCs w:val="21"/>
        </w:rPr>
        <w:t>darkorange</w:t>
      </w:r>
      <w:proofErr w:type="spellEnd"/>
      <w:r w:rsidRPr="00504884">
        <w:rPr>
          <w:rFonts w:ascii="Palatino Linotype" w:eastAsia="宋体" w:hAnsi="Palatino Linotype" w:cs="宋体"/>
          <w:color w:val="000000"/>
          <w:kern w:val="0"/>
          <w:szCs w:val="21"/>
        </w:rPr>
        <w:t>; DEP, green. (E), (F), (G), (H) Correlation be-tween the clinical parameters and the sum of normalized score in the restricted cohort. Pearson’s correlation coefficient was used to check the association. The grey line is the fitted curve.</w:t>
      </w:r>
    </w:p>
    <w:p w14:paraId="5398CB19"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t xml:space="preserve">Supplementary Figure 4. </w:t>
      </w:r>
      <w:r w:rsidRPr="00504884">
        <w:rPr>
          <w:rFonts w:ascii="Palatino Linotype" w:eastAsia="宋体" w:hAnsi="Palatino Linotype" w:cs="宋体"/>
          <w:color w:val="000000"/>
          <w:kern w:val="0"/>
          <w:szCs w:val="21"/>
        </w:rPr>
        <w:t>The normalized score for different immunocytes across the pairwise group in the GSE164416 dataset. Component comparison using Student’s t-test and the Games-Howell test (NS, p &gt; 0.05; *p &lt; 0.05; **p ≤ 0.01; ***p ≤ 0.001).</w:t>
      </w:r>
    </w:p>
    <w:p w14:paraId="27B45A52"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t>Supplementary Figure 5.</w:t>
      </w:r>
      <w:r w:rsidRPr="00504884">
        <w:rPr>
          <w:rFonts w:ascii="Palatino Linotype" w:eastAsia="宋体" w:hAnsi="Palatino Linotype" w:cs="宋体"/>
          <w:color w:val="000000"/>
          <w:kern w:val="0"/>
          <w:szCs w:val="21"/>
        </w:rPr>
        <w:t xml:space="preserve"> The normalized score for different immune cells across the pairwise group. (A), (B), (C) The split violin plot of the normalized score for different immune cells across the pairwise group. Component comparison using Student’s t-test and the Games-Howell test (NS, p &gt; 0.05; *p &lt; 0.05; **p ≤ 0.01; ***p ≤ 0.001).</w:t>
      </w:r>
    </w:p>
    <w:p w14:paraId="4CF9C644"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t xml:space="preserve">Supplementary Figure 6. </w:t>
      </w:r>
      <w:r w:rsidRPr="00504884">
        <w:rPr>
          <w:rFonts w:ascii="Palatino Linotype" w:eastAsia="宋体" w:hAnsi="Palatino Linotype" w:cs="宋体"/>
          <w:color w:val="000000"/>
          <w:kern w:val="0"/>
          <w:szCs w:val="21"/>
        </w:rPr>
        <w:t>The receiver operating characteristic (ROC) curves for the clinical characteristics and B2M of DP patients. (A) The ROC curves in the GSE164416 dataset. (B) The ROC curves in the GSE76895 dataset.</w:t>
      </w:r>
    </w:p>
    <w:p w14:paraId="25380DAD"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t xml:space="preserve">Supplementary Figure 7. </w:t>
      </w:r>
      <w:r w:rsidRPr="00504884">
        <w:rPr>
          <w:rFonts w:ascii="Palatino Linotype" w:eastAsia="宋体" w:hAnsi="Palatino Linotype" w:cs="宋体"/>
          <w:color w:val="000000"/>
          <w:kern w:val="0"/>
          <w:szCs w:val="21"/>
        </w:rPr>
        <w:t>The expression of biomarkers in the independent cohort. (A) The relative abundance of cells based on marker genes in the GSE76895 cohort. (B) The violin plot of the expression of B2M from the animal models. (C) The violin plot of the expression of B2M from the patient tis-sue. (D) The immunohistochemical results of B2M between the normal tissue and the adenocarcinoma tissue.</w:t>
      </w:r>
    </w:p>
    <w:p w14:paraId="727159B2"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t xml:space="preserve">Supplementary Table 1. </w:t>
      </w:r>
      <w:r w:rsidRPr="00504884">
        <w:rPr>
          <w:rFonts w:ascii="Palatino Linotype" w:eastAsia="宋体" w:hAnsi="Palatino Linotype" w:cs="宋体"/>
          <w:color w:val="000000"/>
          <w:kern w:val="0"/>
          <w:szCs w:val="21"/>
        </w:rPr>
        <w:t xml:space="preserve">Baseline clinical characteristic of patients in the GSE164416 dataset. </w:t>
      </w:r>
    </w:p>
    <w:p w14:paraId="018AF62F" w14:textId="77777777" w:rsidR="00504884" w:rsidRPr="00504884" w:rsidRDefault="00504884" w:rsidP="00504884">
      <w:pPr>
        <w:widowControl/>
        <w:spacing w:line="360" w:lineRule="auto"/>
        <w:rPr>
          <w:rFonts w:ascii="Palatino Linotype" w:eastAsia="宋体" w:hAnsi="Palatino Linotype" w:cs="宋体"/>
          <w:color w:val="000000"/>
          <w:kern w:val="0"/>
          <w:szCs w:val="21"/>
        </w:rPr>
      </w:pPr>
      <w:r w:rsidRPr="00504884">
        <w:rPr>
          <w:rFonts w:ascii="Palatino Linotype" w:eastAsia="宋体" w:hAnsi="Palatino Linotype" w:cs="宋体"/>
          <w:b/>
          <w:bCs/>
          <w:color w:val="000000"/>
          <w:kern w:val="0"/>
          <w:szCs w:val="21"/>
        </w:rPr>
        <w:lastRenderedPageBreak/>
        <w:t xml:space="preserve">Supplementary Table 2. </w:t>
      </w:r>
      <w:r w:rsidRPr="00504884">
        <w:rPr>
          <w:rFonts w:ascii="Palatino Linotype" w:eastAsia="宋体" w:hAnsi="Palatino Linotype" w:cs="宋体"/>
          <w:color w:val="000000"/>
          <w:kern w:val="0"/>
          <w:szCs w:val="21"/>
        </w:rPr>
        <w:t>Baseline clinical characteristic of patients in the GSE76895 dataset.</w:t>
      </w:r>
    </w:p>
    <w:p w14:paraId="684F6816" w14:textId="4B130792" w:rsidR="00F34A31" w:rsidRPr="00504884" w:rsidRDefault="00504884" w:rsidP="00504884">
      <w:pPr>
        <w:widowControl/>
        <w:spacing w:line="360" w:lineRule="auto"/>
        <w:rPr>
          <w:rFonts w:ascii="Palatino Linotype" w:hAnsi="Palatino Linotype"/>
          <w:szCs w:val="21"/>
        </w:rPr>
      </w:pPr>
      <w:r w:rsidRPr="00504884">
        <w:rPr>
          <w:rFonts w:ascii="Palatino Linotype" w:eastAsia="宋体" w:hAnsi="Palatino Linotype" w:cs="宋体"/>
          <w:b/>
          <w:bCs/>
          <w:color w:val="000000"/>
          <w:kern w:val="0"/>
          <w:szCs w:val="21"/>
        </w:rPr>
        <w:t xml:space="preserve">Supplementary Table 3. </w:t>
      </w:r>
      <w:r w:rsidRPr="00504884">
        <w:rPr>
          <w:rFonts w:ascii="Palatino Linotype" w:eastAsia="宋体" w:hAnsi="Palatino Linotype" w:cs="宋体"/>
          <w:color w:val="000000"/>
          <w:kern w:val="0"/>
          <w:szCs w:val="21"/>
        </w:rPr>
        <w:t>Difference analysis results across pairwise group comparisons.</w:t>
      </w:r>
    </w:p>
    <w:sectPr w:rsidR="00F34A31" w:rsidRPr="005048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DE4DF" w14:textId="77777777" w:rsidR="007779E7" w:rsidRDefault="007779E7" w:rsidP="00504884">
      <w:r>
        <w:separator/>
      </w:r>
    </w:p>
  </w:endnote>
  <w:endnote w:type="continuationSeparator" w:id="0">
    <w:p w14:paraId="0FA57C8F" w14:textId="77777777" w:rsidR="007779E7" w:rsidRDefault="007779E7" w:rsidP="0050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72D14" w14:textId="77777777" w:rsidR="007779E7" w:rsidRDefault="007779E7" w:rsidP="00504884">
      <w:r>
        <w:separator/>
      </w:r>
    </w:p>
  </w:footnote>
  <w:footnote w:type="continuationSeparator" w:id="0">
    <w:p w14:paraId="169C2491" w14:textId="77777777" w:rsidR="007779E7" w:rsidRDefault="007779E7" w:rsidP="005048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A31"/>
    <w:rsid w:val="00183A2B"/>
    <w:rsid w:val="001F5E0E"/>
    <w:rsid w:val="0026796D"/>
    <w:rsid w:val="004D76BC"/>
    <w:rsid w:val="00504884"/>
    <w:rsid w:val="00695FCF"/>
    <w:rsid w:val="006F6043"/>
    <w:rsid w:val="007779E7"/>
    <w:rsid w:val="00791C70"/>
    <w:rsid w:val="009E7C81"/>
    <w:rsid w:val="00B647B2"/>
    <w:rsid w:val="00F34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AE5E09"/>
  <w14:defaultImageDpi w14:val="32767"/>
  <w15:chartTrackingRefBased/>
  <w15:docId w15:val="{32D58236-6E57-4F97-9003-450A32AAC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4884"/>
    <w:pPr>
      <w:tabs>
        <w:tab w:val="center" w:pos="4153"/>
        <w:tab w:val="right" w:pos="8306"/>
      </w:tabs>
      <w:snapToGrid w:val="0"/>
      <w:jc w:val="center"/>
    </w:pPr>
    <w:rPr>
      <w:sz w:val="18"/>
      <w:szCs w:val="18"/>
    </w:rPr>
  </w:style>
  <w:style w:type="character" w:customStyle="1" w:styleId="a4">
    <w:name w:val="页眉 字符"/>
    <w:basedOn w:val="a0"/>
    <w:link w:val="a3"/>
    <w:uiPriority w:val="99"/>
    <w:rsid w:val="00504884"/>
    <w:rPr>
      <w:sz w:val="18"/>
      <w:szCs w:val="18"/>
    </w:rPr>
  </w:style>
  <w:style w:type="paragraph" w:styleId="a5">
    <w:name w:val="footer"/>
    <w:basedOn w:val="a"/>
    <w:link w:val="a6"/>
    <w:uiPriority w:val="99"/>
    <w:unhideWhenUsed/>
    <w:rsid w:val="00504884"/>
    <w:pPr>
      <w:tabs>
        <w:tab w:val="center" w:pos="4153"/>
        <w:tab w:val="right" w:pos="8306"/>
      </w:tabs>
      <w:snapToGrid w:val="0"/>
      <w:jc w:val="left"/>
    </w:pPr>
    <w:rPr>
      <w:sz w:val="18"/>
      <w:szCs w:val="18"/>
    </w:rPr>
  </w:style>
  <w:style w:type="character" w:customStyle="1" w:styleId="a6">
    <w:name w:val="页脚 字符"/>
    <w:basedOn w:val="a0"/>
    <w:link w:val="a5"/>
    <w:uiPriority w:val="99"/>
    <w:rsid w:val="0050488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267661">
      <w:bodyDiv w:val="1"/>
      <w:marLeft w:val="0"/>
      <w:marRight w:val="0"/>
      <w:marTop w:val="0"/>
      <w:marBottom w:val="0"/>
      <w:divBdr>
        <w:top w:val="none" w:sz="0" w:space="0" w:color="auto"/>
        <w:left w:val="none" w:sz="0" w:space="0" w:color="auto"/>
        <w:bottom w:val="none" w:sz="0" w:space="0" w:color="auto"/>
        <w:right w:val="none" w:sz="0" w:space="0" w:color="auto"/>
      </w:divBdr>
      <w:divsChild>
        <w:div w:id="1461416358">
          <w:marLeft w:val="0"/>
          <w:marRight w:val="0"/>
          <w:marTop w:val="0"/>
          <w:marBottom w:val="0"/>
          <w:divBdr>
            <w:top w:val="none" w:sz="0" w:space="0" w:color="auto"/>
            <w:left w:val="none" w:sz="0" w:space="0" w:color="auto"/>
            <w:bottom w:val="none" w:sz="0" w:space="0" w:color="auto"/>
            <w:right w:val="none" w:sz="0" w:space="0" w:color="auto"/>
          </w:divBdr>
        </w:div>
        <w:div w:id="160317166">
          <w:marLeft w:val="0"/>
          <w:marRight w:val="0"/>
          <w:marTop w:val="0"/>
          <w:marBottom w:val="0"/>
          <w:divBdr>
            <w:top w:val="none" w:sz="0" w:space="0" w:color="auto"/>
            <w:left w:val="none" w:sz="0" w:space="0" w:color="auto"/>
            <w:bottom w:val="none" w:sz="0" w:space="0" w:color="auto"/>
            <w:right w:val="none" w:sz="0" w:space="0" w:color="auto"/>
          </w:divBdr>
        </w:div>
        <w:div w:id="1063941515">
          <w:marLeft w:val="0"/>
          <w:marRight w:val="0"/>
          <w:marTop w:val="0"/>
          <w:marBottom w:val="0"/>
          <w:divBdr>
            <w:top w:val="none" w:sz="0" w:space="0" w:color="auto"/>
            <w:left w:val="none" w:sz="0" w:space="0" w:color="auto"/>
            <w:bottom w:val="none" w:sz="0" w:space="0" w:color="auto"/>
            <w:right w:val="none" w:sz="0" w:space="0" w:color="auto"/>
          </w:divBdr>
        </w:div>
        <w:div w:id="2017686972">
          <w:marLeft w:val="0"/>
          <w:marRight w:val="0"/>
          <w:marTop w:val="0"/>
          <w:marBottom w:val="0"/>
          <w:divBdr>
            <w:top w:val="none" w:sz="0" w:space="0" w:color="auto"/>
            <w:left w:val="none" w:sz="0" w:space="0" w:color="auto"/>
            <w:bottom w:val="none" w:sz="0" w:space="0" w:color="auto"/>
            <w:right w:val="none" w:sz="0" w:space="0" w:color="auto"/>
          </w:divBdr>
        </w:div>
        <w:div w:id="1285959884">
          <w:marLeft w:val="0"/>
          <w:marRight w:val="0"/>
          <w:marTop w:val="0"/>
          <w:marBottom w:val="0"/>
          <w:divBdr>
            <w:top w:val="none" w:sz="0" w:space="0" w:color="auto"/>
            <w:left w:val="none" w:sz="0" w:space="0" w:color="auto"/>
            <w:bottom w:val="none" w:sz="0" w:space="0" w:color="auto"/>
            <w:right w:val="none" w:sz="0" w:space="0" w:color="auto"/>
          </w:divBdr>
        </w:div>
        <w:div w:id="262498097">
          <w:marLeft w:val="0"/>
          <w:marRight w:val="0"/>
          <w:marTop w:val="0"/>
          <w:marBottom w:val="0"/>
          <w:divBdr>
            <w:top w:val="none" w:sz="0" w:space="0" w:color="auto"/>
            <w:left w:val="none" w:sz="0" w:space="0" w:color="auto"/>
            <w:bottom w:val="none" w:sz="0" w:space="0" w:color="auto"/>
            <w:right w:val="none" w:sz="0" w:space="0" w:color="auto"/>
          </w:divBdr>
        </w:div>
        <w:div w:id="2075157342">
          <w:marLeft w:val="0"/>
          <w:marRight w:val="0"/>
          <w:marTop w:val="0"/>
          <w:marBottom w:val="0"/>
          <w:divBdr>
            <w:top w:val="none" w:sz="0" w:space="0" w:color="auto"/>
            <w:left w:val="none" w:sz="0" w:space="0" w:color="auto"/>
            <w:bottom w:val="none" w:sz="0" w:space="0" w:color="auto"/>
            <w:right w:val="none" w:sz="0" w:space="0" w:color="auto"/>
          </w:divBdr>
        </w:div>
        <w:div w:id="837959750">
          <w:marLeft w:val="0"/>
          <w:marRight w:val="0"/>
          <w:marTop w:val="0"/>
          <w:marBottom w:val="0"/>
          <w:divBdr>
            <w:top w:val="none" w:sz="0" w:space="0" w:color="auto"/>
            <w:left w:val="none" w:sz="0" w:space="0" w:color="auto"/>
            <w:bottom w:val="none" w:sz="0" w:space="0" w:color="auto"/>
            <w:right w:val="none" w:sz="0" w:space="0" w:color="auto"/>
          </w:divBdr>
        </w:div>
        <w:div w:id="1703746383">
          <w:marLeft w:val="0"/>
          <w:marRight w:val="0"/>
          <w:marTop w:val="0"/>
          <w:marBottom w:val="0"/>
          <w:divBdr>
            <w:top w:val="none" w:sz="0" w:space="0" w:color="auto"/>
            <w:left w:val="none" w:sz="0" w:space="0" w:color="auto"/>
            <w:bottom w:val="none" w:sz="0" w:space="0" w:color="auto"/>
            <w:right w:val="none" w:sz="0" w:space="0" w:color="auto"/>
          </w:divBdr>
        </w:div>
        <w:div w:id="1157959670">
          <w:marLeft w:val="0"/>
          <w:marRight w:val="0"/>
          <w:marTop w:val="0"/>
          <w:marBottom w:val="0"/>
          <w:divBdr>
            <w:top w:val="none" w:sz="0" w:space="0" w:color="auto"/>
            <w:left w:val="none" w:sz="0" w:space="0" w:color="auto"/>
            <w:bottom w:val="none" w:sz="0" w:space="0" w:color="auto"/>
            <w:right w:val="none" w:sz="0" w:space="0" w:color="auto"/>
          </w:divBdr>
        </w:div>
        <w:div w:id="1786733028">
          <w:marLeft w:val="0"/>
          <w:marRight w:val="0"/>
          <w:marTop w:val="0"/>
          <w:marBottom w:val="0"/>
          <w:divBdr>
            <w:top w:val="none" w:sz="0" w:space="0" w:color="auto"/>
            <w:left w:val="none" w:sz="0" w:space="0" w:color="auto"/>
            <w:bottom w:val="none" w:sz="0" w:space="0" w:color="auto"/>
            <w:right w:val="none" w:sz="0" w:space="0" w:color="auto"/>
          </w:divBdr>
        </w:div>
        <w:div w:id="348605641">
          <w:marLeft w:val="0"/>
          <w:marRight w:val="0"/>
          <w:marTop w:val="0"/>
          <w:marBottom w:val="0"/>
          <w:divBdr>
            <w:top w:val="none" w:sz="0" w:space="0" w:color="auto"/>
            <w:left w:val="none" w:sz="0" w:space="0" w:color="auto"/>
            <w:bottom w:val="none" w:sz="0" w:space="0" w:color="auto"/>
            <w:right w:val="none" w:sz="0" w:space="0" w:color="auto"/>
          </w:divBdr>
        </w:div>
        <w:div w:id="1358851859">
          <w:marLeft w:val="0"/>
          <w:marRight w:val="0"/>
          <w:marTop w:val="0"/>
          <w:marBottom w:val="0"/>
          <w:divBdr>
            <w:top w:val="none" w:sz="0" w:space="0" w:color="auto"/>
            <w:left w:val="none" w:sz="0" w:space="0" w:color="auto"/>
            <w:bottom w:val="none" w:sz="0" w:space="0" w:color="auto"/>
            <w:right w:val="none" w:sz="0" w:space="0" w:color="auto"/>
          </w:divBdr>
        </w:div>
        <w:div w:id="1723483375">
          <w:marLeft w:val="0"/>
          <w:marRight w:val="0"/>
          <w:marTop w:val="0"/>
          <w:marBottom w:val="0"/>
          <w:divBdr>
            <w:top w:val="none" w:sz="0" w:space="0" w:color="auto"/>
            <w:left w:val="none" w:sz="0" w:space="0" w:color="auto"/>
            <w:bottom w:val="none" w:sz="0" w:space="0" w:color="auto"/>
            <w:right w:val="none" w:sz="0" w:space="0" w:color="auto"/>
          </w:divBdr>
        </w:div>
        <w:div w:id="633681717">
          <w:marLeft w:val="0"/>
          <w:marRight w:val="0"/>
          <w:marTop w:val="0"/>
          <w:marBottom w:val="0"/>
          <w:divBdr>
            <w:top w:val="none" w:sz="0" w:space="0" w:color="auto"/>
            <w:left w:val="none" w:sz="0" w:space="0" w:color="auto"/>
            <w:bottom w:val="none" w:sz="0" w:space="0" w:color="auto"/>
            <w:right w:val="none" w:sz="0" w:space="0" w:color="auto"/>
          </w:divBdr>
        </w:div>
        <w:div w:id="135293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362</Words>
  <Characters>2065</Characters>
  <Application>Microsoft Office Word</Application>
  <DocSecurity>0</DocSecurity>
  <Lines>17</Lines>
  <Paragraphs>4</Paragraphs>
  <ScaleCrop>false</ScaleCrop>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zhen</dc:creator>
  <cp:keywords/>
  <dc:description/>
  <cp:lastModifiedBy>zhen wang</cp:lastModifiedBy>
  <cp:revision>40</cp:revision>
  <dcterms:created xsi:type="dcterms:W3CDTF">2023-05-14T12:53:00Z</dcterms:created>
  <dcterms:modified xsi:type="dcterms:W3CDTF">2023-11-05T08:48:00Z</dcterms:modified>
</cp:coreProperties>
</file>