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6B434" w14:textId="77777777" w:rsidR="00DA4076" w:rsidRDefault="00DA4076" w:rsidP="00DA4076">
      <w:pPr>
        <w:rPr>
          <w:rFonts w:ascii="Arial" w:hAnsi="Arial" w:cs="Arial"/>
          <w:b/>
          <w:bCs/>
          <w:sz w:val="20"/>
          <w:szCs w:val="20"/>
        </w:rPr>
      </w:pPr>
      <w:r w:rsidRPr="00254397">
        <w:rPr>
          <w:rFonts w:ascii="Arial" w:hAnsi="Arial" w:cs="Arial"/>
          <w:b/>
          <w:bCs/>
          <w:sz w:val="20"/>
          <w:szCs w:val="20"/>
        </w:rPr>
        <w:t>SUPPLEMENTAL</w:t>
      </w:r>
      <w:bookmarkStart w:id="0" w:name="_GoBack"/>
      <w:bookmarkEnd w:id="0"/>
    </w:p>
    <w:p w14:paraId="235C34F0" w14:textId="77777777" w:rsidR="00DA4076" w:rsidRDefault="00DA4076" w:rsidP="00DA407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Table S1: </w:t>
      </w:r>
      <w:r w:rsidRPr="001A299E">
        <w:rPr>
          <w:rFonts w:ascii="Arial" w:hAnsi="Arial" w:cs="Arial"/>
        </w:rPr>
        <w:t xml:space="preserve">Additional </w:t>
      </w:r>
      <w:r>
        <w:rPr>
          <w:rFonts w:ascii="Arial" w:hAnsi="Arial" w:cs="Arial"/>
        </w:rPr>
        <w:t>parameter estimates for permeability.</w:t>
      </w:r>
    </w:p>
    <w:p w14:paraId="2367B361" w14:textId="77777777" w:rsidR="00DA4076" w:rsidRPr="00254397" w:rsidRDefault="00DA4076" w:rsidP="00DA407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2"/>
        <w:gridCol w:w="1086"/>
        <w:gridCol w:w="1090"/>
        <w:gridCol w:w="1162"/>
        <w:gridCol w:w="1081"/>
        <w:gridCol w:w="2433"/>
      </w:tblGrid>
      <w:tr w:rsidR="00DA4076" w:rsidRPr="0011431F" w14:paraId="4D4348CB" w14:textId="77777777" w:rsidTr="000E339E">
        <w:trPr>
          <w:trHeight w:val="46"/>
        </w:trPr>
        <w:tc>
          <w:tcPr>
            <w:tcW w:w="2062" w:type="dxa"/>
            <w:tcBorders>
              <w:bottom w:val="single" w:sz="24" w:space="0" w:color="auto"/>
            </w:tcBorders>
          </w:tcPr>
          <w:p w14:paraId="5C59620F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Drug</w:t>
            </w:r>
          </w:p>
        </w:tc>
        <w:tc>
          <w:tcPr>
            <w:tcW w:w="1086" w:type="dxa"/>
            <w:tcBorders>
              <w:bottom w:val="single" w:sz="24" w:space="0" w:color="auto"/>
            </w:tcBorders>
            <w:vAlign w:val="bottom"/>
          </w:tcPr>
          <w:p w14:paraId="6C13C0C6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P (%RSE)</w:t>
            </w:r>
          </w:p>
        </w:tc>
        <w:tc>
          <w:tcPr>
            <w:tcW w:w="1090" w:type="dxa"/>
            <w:tcBorders>
              <w:bottom w:val="single" w:sz="24" w:space="0" w:color="auto"/>
            </w:tcBorders>
            <w:vAlign w:val="bottom"/>
          </w:tcPr>
          <w:p w14:paraId="4CD75847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CL</w:t>
            </w:r>
            <w:r w:rsidRPr="0011431F">
              <w:rPr>
                <w:rFonts w:ascii="Arial" w:hAnsi="Arial" w:cs="Arial"/>
                <w:b/>
                <w:bCs/>
                <w:vertAlign w:val="subscript"/>
              </w:rPr>
              <w:t>int</w:t>
            </w:r>
            <w:r w:rsidRPr="0099777B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r w:rsidRPr="0011431F">
              <w:rPr>
                <w:rFonts w:ascii="Arial" w:hAnsi="Arial" w:cs="Arial"/>
                <w:b/>
                <w:bCs/>
              </w:rPr>
              <w:t xml:space="preserve"> (%RSE)</w:t>
            </w:r>
          </w:p>
        </w:tc>
        <w:tc>
          <w:tcPr>
            <w:tcW w:w="1162" w:type="dxa"/>
            <w:tcBorders>
              <w:bottom w:val="single" w:sz="24" w:space="0" w:color="auto"/>
            </w:tcBorders>
            <w:vAlign w:val="bottom"/>
          </w:tcPr>
          <w:p w14:paraId="7C626871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K</w:t>
            </w:r>
            <w:r w:rsidRPr="0099777B">
              <w:rPr>
                <w:rFonts w:ascii="Arial" w:hAnsi="Arial" w:cs="Arial"/>
                <w:b/>
                <w:bCs/>
                <w:vertAlign w:val="subscript"/>
              </w:rPr>
              <w:t>m</w:t>
            </w:r>
            <w:r w:rsidRPr="0011431F">
              <w:rPr>
                <w:rFonts w:ascii="Arial" w:hAnsi="Arial" w:cs="Arial"/>
                <w:b/>
                <w:bCs/>
              </w:rPr>
              <w:t xml:space="preserve"> (%RSE)</w:t>
            </w:r>
          </w:p>
        </w:tc>
        <w:tc>
          <w:tcPr>
            <w:tcW w:w="1081" w:type="dxa"/>
            <w:tcBorders>
              <w:bottom w:val="single" w:sz="24" w:space="0" w:color="auto"/>
            </w:tcBorders>
            <w:vAlign w:val="bottom"/>
          </w:tcPr>
          <w:p w14:paraId="664DB048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T</w:t>
            </w:r>
            <w:r w:rsidRPr="0011431F">
              <w:rPr>
                <w:rFonts w:ascii="Arial" w:hAnsi="Arial" w:cs="Arial"/>
                <w:b/>
                <w:bCs/>
                <w:vertAlign w:val="subscript"/>
              </w:rPr>
              <w:t>deg</w:t>
            </w:r>
            <w:r>
              <w:rPr>
                <w:rFonts w:ascii="Arial" w:hAnsi="Arial" w:cs="Arial"/>
                <w:b/>
                <w:bCs/>
                <w:vertAlign w:val="superscript"/>
              </w:rPr>
              <w:t>b</w:t>
            </w:r>
            <w:r w:rsidRPr="0011431F">
              <w:rPr>
                <w:rFonts w:ascii="Arial" w:hAnsi="Arial" w:cs="Arial"/>
                <w:b/>
                <w:bCs/>
              </w:rPr>
              <w:t xml:space="preserve"> (%RSE)</w:t>
            </w:r>
          </w:p>
        </w:tc>
        <w:tc>
          <w:tcPr>
            <w:tcW w:w="2433" w:type="dxa"/>
            <w:tcBorders>
              <w:bottom w:val="single" w:sz="24" w:space="0" w:color="auto"/>
            </w:tcBorders>
          </w:tcPr>
          <w:p w14:paraId="4D70B676" w14:textId="77777777" w:rsidR="00DA4076" w:rsidRDefault="00DA4076" w:rsidP="000E339E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11431F">
              <w:rPr>
                <w:rFonts w:ascii="Arial" w:hAnsi="Arial" w:cs="Arial"/>
                <w:b/>
                <w:bCs/>
              </w:rPr>
              <w:t>Residual Variance</w:t>
            </w:r>
            <w:r w:rsidRPr="0099777B">
              <w:rPr>
                <w:rFonts w:ascii="Arial" w:hAnsi="Arial" w:cs="Arial"/>
                <w:b/>
                <w:bCs/>
                <w:vertAlign w:val="superscript"/>
              </w:rPr>
              <w:t>c</w:t>
            </w:r>
            <w:r>
              <w:rPr>
                <w:rFonts w:ascii="Arial" w:hAnsi="Arial" w:cs="Arial"/>
                <w:b/>
                <w:bCs/>
                <w:vertAlign w:val="superscript"/>
              </w:rPr>
              <w:t xml:space="preserve"> </w:t>
            </w:r>
          </w:p>
          <w:p w14:paraId="7814B3D1" w14:textId="77777777" w:rsidR="00DA4076" w:rsidRPr="0099777B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99777B">
              <w:rPr>
                <w:rFonts w:ascii="Arial" w:hAnsi="Arial" w:cs="Arial"/>
                <w:b/>
                <w:bCs/>
              </w:rPr>
              <w:t>(%RSE)</w:t>
            </w:r>
          </w:p>
        </w:tc>
      </w:tr>
      <w:tr w:rsidR="00DA4076" w:rsidRPr="0011431F" w14:paraId="65853AF9" w14:textId="77777777" w:rsidTr="000E339E">
        <w:trPr>
          <w:trHeight w:val="46"/>
        </w:trPr>
        <w:tc>
          <w:tcPr>
            <w:tcW w:w="2062" w:type="dxa"/>
          </w:tcPr>
          <w:p w14:paraId="294C74EE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6" w:type="dxa"/>
            <w:vAlign w:val="center"/>
          </w:tcPr>
          <w:p w14:paraId="752E987D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nm/s</w:t>
            </w:r>
          </w:p>
        </w:tc>
        <w:tc>
          <w:tcPr>
            <w:tcW w:w="1090" w:type="dxa"/>
            <w:vAlign w:val="center"/>
          </w:tcPr>
          <w:p w14:paraId="179CDEEF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mL/min</w:t>
            </w:r>
          </w:p>
        </w:tc>
        <w:tc>
          <w:tcPr>
            <w:tcW w:w="1162" w:type="dxa"/>
            <w:vAlign w:val="center"/>
          </w:tcPr>
          <w:p w14:paraId="78214379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 w:rsidRPr="0011431F">
              <w:rPr>
                <w:rFonts w:ascii="Arial" w:hAnsi="Arial" w:cs="Arial"/>
                <w:b/>
                <w:bCs/>
              </w:rPr>
              <w:t>μg/mL</w:t>
            </w:r>
          </w:p>
        </w:tc>
        <w:tc>
          <w:tcPr>
            <w:tcW w:w="1081" w:type="dxa"/>
            <w:vAlign w:val="center"/>
          </w:tcPr>
          <w:p w14:paraId="2F267231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hour</w:t>
            </w:r>
          </w:p>
        </w:tc>
        <w:tc>
          <w:tcPr>
            <w:tcW w:w="2433" w:type="dxa"/>
            <w:vAlign w:val="center"/>
          </w:tcPr>
          <w:p w14:paraId="70F797BE" w14:textId="77777777" w:rsidR="00DA4076" w:rsidRPr="0011431F" w:rsidRDefault="00DA4076" w:rsidP="000E339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A4076" w:rsidRPr="0011431F" w14:paraId="17FA44B3" w14:textId="77777777" w:rsidTr="000E339E">
        <w:trPr>
          <w:trHeight w:val="378"/>
        </w:trPr>
        <w:tc>
          <w:tcPr>
            <w:tcW w:w="2062" w:type="dxa"/>
          </w:tcPr>
          <w:p w14:paraId="4334527A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Aztreonam</w:t>
            </w:r>
          </w:p>
        </w:tc>
        <w:tc>
          <w:tcPr>
            <w:tcW w:w="1086" w:type="dxa"/>
          </w:tcPr>
          <w:p w14:paraId="494CDB00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4.69 (10.3%)</w:t>
            </w:r>
          </w:p>
        </w:tc>
        <w:tc>
          <w:tcPr>
            <w:tcW w:w="1090" w:type="dxa"/>
          </w:tcPr>
          <w:p w14:paraId="247A702F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 w:rsidRPr="00D52CAF">
              <w:rPr>
                <w:rFonts w:ascii="Arial" w:hAnsi="Arial" w:cs="Arial"/>
                <w:color w:val="000000"/>
              </w:rPr>
              <w:t>10.3 (11.4%)</w:t>
            </w:r>
          </w:p>
        </w:tc>
        <w:tc>
          <w:tcPr>
            <w:tcW w:w="1162" w:type="dxa"/>
          </w:tcPr>
          <w:p w14:paraId="082E851B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 (8.3%)</w:t>
            </w:r>
          </w:p>
        </w:tc>
        <w:tc>
          <w:tcPr>
            <w:tcW w:w="1081" w:type="dxa"/>
          </w:tcPr>
          <w:p w14:paraId="7BB521F7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15,400 (15.7%)</w:t>
            </w:r>
          </w:p>
        </w:tc>
        <w:tc>
          <w:tcPr>
            <w:tcW w:w="2433" w:type="dxa"/>
          </w:tcPr>
          <w:p w14:paraId="6EE4F3AB" w14:textId="77777777" w:rsidR="00DA4076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  <w:r w:rsidRPr="0011431F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0.0526 (15.5%)</w:t>
            </w:r>
          </w:p>
          <w:p w14:paraId="6064D989" w14:textId="77777777" w:rsidR="00DA4076" w:rsidRPr="0099777B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  <w:r>
              <w:rPr>
                <w:rFonts w:ascii="Arial" w:hAnsi="Arial" w:cs="Arial"/>
                <w:vertAlign w:val="subscript"/>
              </w:rPr>
              <w:t>i</w:t>
            </w:r>
            <w:r>
              <w:rPr>
                <w:rFonts w:ascii="Arial" w:hAnsi="Arial" w:cs="Arial"/>
              </w:rPr>
              <w:t xml:space="preserve"> = 0.157 (19.3%)</w:t>
            </w:r>
          </w:p>
        </w:tc>
      </w:tr>
      <w:tr w:rsidR="00DA4076" w:rsidRPr="0011431F" w14:paraId="787780FC" w14:textId="77777777" w:rsidTr="000E339E">
        <w:trPr>
          <w:trHeight w:val="152"/>
        </w:trPr>
        <w:tc>
          <w:tcPr>
            <w:tcW w:w="2062" w:type="dxa"/>
            <w:shd w:val="clear" w:color="auto" w:fill="F2F2F2" w:themeFill="background1" w:themeFillShade="F2"/>
          </w:tcPr>
          <w:p w14:paraId="772A3807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Piperacillin</w:t>
            </w:r>
          </w:p>
        </w:tc>
        <w:tc>
          <w:tcPr>
            <w:tcW w:w="1086" w:type="dxa"/>
            <w:shd w:val="clear" w:color="auto" w:fill="F2F2F2" w:themeFill="background1" w:themeFillShade="F2"/>
          </w:tcPr>
          <w:p w14:paraId="29B45CCE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124 (11.8%)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14:paraId="075912D9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 w:rsidRPr="00D52CAF">
              <w:rPr>
                <w:rFonts w:ascii="Arial" w:hAnsi="Arial" w:cs="Arial"/>
                <w:color w:val="000000"/>
              </w:rPr>
              <w:t>15.6 (10.4%)</w:t>
            </w:r>
          </w:p>
        </w:tc>
        <w:tc>
          <w:tcPr>
            <w:tcW w:w="1162" w:type="dxa"/>
            <w:shd w:val="clear" w:color="auto" w:fill="F2F2F2" w:themeFill="background1" w:themeFillShade="F2"/>
          </w:tcPr>
          <w:p w14:paraId="7F34B14C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5.26 (20.1%)</w:t>
            </w:r>
          </w:p>
        </w:tc>
        <w:tc>
          <w:tcPr>
            <w:tcW w:w="1081" w:type="dxa"/>
            <w:shd w:val="clear" w:color="auto" w:fill="F2F2F2" w:themeFill="background1" w:themeFillShade="F2"/>
          </w:tcPr>
          <w:p w14:paraId="23829FBB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4730 (10.0%)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65368ACB" w14:textId="77777777" w:rsidR="00DA4076" w:rsidRPr="0011431F" w:rsidRDefault="00DA4076" w:rsidP="000E339E">
            <w:pPr>
              <w:spacing w:line="2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SD</w:t>
            </w:r>
            <w:r w:rsidRPr="00975261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  <w:color w:val="000000"/>
              </w:rPr>
              <w:t>0.241 (15.5%)</w:t>
            </w:r>
          </w:p>
        </w:tc>
      </w:tr>
      <w:tr w:rsidR="00DA4076" w:rsidRPr="0011431F" w14:paraId="13DB36A0" w14:textId="77777777" w:rsidTr="000E339E">
        <w:trPr>
          <w:trHeight w:val="220"/>
        </w:trPr>
        <w:tc>
          <w:tcPr>
            <w:tcW w:w="2062" w:type="dxa"/>
          </w:tcPr>
          <w:p w14:paraId="1B9C2B53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Ceftazidime</w:t>
            </w:r>
          </w:p>
        </w:tc>
        <w:tc>
          <w:tcPr>
            <w:tcW w:w="1086" w:type="dxa"/>
          </w:tcPr>
          <w:p w14:paraId="5136D8A8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152 (5.29%)</w:t>
            </w:r>
          </w:p>
        </w:tc>
        <w:tc>
          <w:tcPr>
            <w:tcW w:w="1090" w:type="dxa"/>
          </w:tcPr>
          <w:p w14:paraId="40228623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D52CAF">
              <w:rPr>
                <w:rFonts w:ascii="Arial" w:hAnsi="Arial" w:cs="Arial"/>
                <w:color w:val="000000"/>
              </w:rPr>
              <w:t>1.39 (8.8</w:t>
            </w:r>
            <w:r>
              <w:rPr>
                <w:rFonts w:ascii="Arial" w:hAnsi="Arial" w:cs="Arial"/>
                <w:color w:val="000000"/>
              </w:rPr>
              <w:t>0</w:t>
            </w:r>
            <w:r w:rsidRPr="00D52CAF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1162" w:type="dxa"/>
          </w:tcPr>
          <w:p w14:paraId="0780D625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20.7 (14.3%)</w:t>
            </w:r>
          </w:p>
        </w:tc>
        <w:tc>
          <w:tcPr>
            <w:tcW w:w="1081" w:type="dxa"/>
          </w:tcPr>
          <w:p w14:paraId="74A3EC5B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4680 (6.00%)</w:t>
            </w:r>
          </w:p>
        </w:tc>
        <w:tc>
          <w:tcPr>
            <w:tcW w:w="2433" w:type="dxa"/>
          </w:tcPr>
          <w:p w14:paraId="4FAF51A0" w14:textId="77777777" w:rsidR="00DA4076" w:rsidRPr="0011431F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  <w:r w:rsidRPr="00975261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  <w:color w:val="000000"/>
              </w:rPr>
              <w:t>0.187 (11.1%)</w:t>
            </w:r>
          </w:p>
        </w:tc>
      </w:tr>
      <w:tr w:rsidR="00DA4076" w:rsidRPr="0011431F" w14:paraId="38058348" w14:textId="77777777" w:rsidTr="000E339E">
        <w:trPr>
          <w:trHeight w:val="441"/>
        </w:trPr>
        <w:tc>
          <w:tcPr>
            <w:tcW w:w="2062" w:type="dxa"/>
            <w:shd w:val="clear" w:color="auto" w:fill="F2F2F2" w:themeFill="background1" w:themeFillShade="F2"/>
          </w:tcPr>
          <w:p w14:paraId="5BCB673F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Cefepime</w:t>
            </w:r>
          </w:p>
        </w:tc>
        <w:tc>
          <w:tcPr>
            <w:tcW w:w="1086" w:type="dxa"/>
            <w:shd w:val="clear" w:color="auto" w:fill="F2F2F2" w:themeFill="background1" w:themeFillShade="F2"/>
          </w:tcPr>
          <w:p w14:paraId="2544D4E6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161 (21.3%)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14:paraId="5CA83C71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D52CAF">
              <w:rPr>
                <w:rFonts w:ascii="Arial" w:hAnsi="Arial" w:cs="Arial"/>
                <w:color w:val="000000"/>
              </w:rPr>
              <w:t>0.564 (24.2%)</w:t>
            </w:r>
          </w:p>
        </w:tc>
        <w:tc>
          <w:tcPr>
            <w:tcW w:w="1162" w:type="dxa"/>
            <w:shd w:val="clear" w:color="auto" w:fill="F2F2F2" w:themeFill="background1" w:themeFillShade="F2"/>
          </w:tcPr>
          <w:p w14:paraId="3D23A06E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9.99 (12.1%)</w:t>
            </w:r>
          </w:p>
        </w:tc>
        <w:tc>
          <w:tcPr>
            <w:tcW w:w="1081" w:type="dxa"/>
            <w:shd w:val="clear" w:color="auto" w:fill="F2F2F2" w:themeFill="background1" w:themeFillShade="F2"/>
          </w:tcPr>
          <w:p w14:paraId="1ACE6C96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2480 (8.50%)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7C287B0C" w14:textId="77777777" w:rsidR="00DA4076" w:rsidRPr="0011431F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  <w:r w:rsidRPr="00975261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  <w:color w:val="000000"/>
              </w:rPr>
              <w:t>0.264 (8.4%)</w:t>
            </w:r>
          </w:p>
        </w:tc>
      </w:tr>
      <w:tr w:rsidR="00DA4076" w:rsidRPr="0011431F" w14:paraId="24FFB38E" w14:textId="77777777" w:rsidTr="000E339E">
        <w:trPr>
          <w:trHeight w:val="433"/>
        </w:trPr>
        <w:tc>
          <w:tcPr>
            <w:tcW w:w="2062" w:type="dxa"/>
          </w:tcPr>
          <w:p w14:paraId="468A27D0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Imipenem</w:t>
            </w:r>
          </w:p>
        </w:tc>
        <w:tc>
          <w:tcPr>
            <w:tcW w:w="1086" w:type="dxa"/>
          </w:tcPr>
          <w:p w14:paraId="3D263B6B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22,700 (3.14%)</w:t>
            </w:r>
          </w:p>
        </w:tc>
        <w:tc>
          <w:tcPr>
            <w:tcW w:w="1090" w:type="dxa"/>
          </w:tcPr>
          <w:p w14:paraId="7EC23E13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D52CAF">
              <w:rPr>
                <w:rFonts w:ascii="Arial" w:hAnsi="Arial" w:cs="Arial"/>
                <w:color w:val="000000"/>
              </w:rPr>
              <w:t>9.11 (8.8</w:t>
            </w:r>
            <w:r>
              <w:rPr>
                <w:rFonts w:ascii="Arial" w:hAnsi="Arial" w:cs="Arial"/>
                <w:color w:val="000000"/>
              </w:rPr>
              <w:t>0</w:t>
            </w:r>
            <w:r w:rsidRPr="00D52CAF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1162" w:type="dxa"/>
          </w:tcPr>
          <w:p w14:paraId="7CD466AB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17.8 (22.4%)</w:t>
            </w:r>
          </w:p>
        </w:tc>
        <w:tc>
          <w:tcPr>
            <w:tcW w:w="1081" w:type="dxa"/>
          </w:tcPr>
          <w:p w14:paraId="7B73B36A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420 (9.50%)</w:t>
            </w:r>
          </w:p>
        </w:tc>
        <w:tc>
          <w:tcPr>
            <w:tcW w:w="2433" w:type="dxa"/>
          </w:tcPr>
          <w:p w14:paraId="20B6EF1B" w14:textId="77777777" w:rsidR="00DA4076" w:rsidRPr="0011431F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SD</w:t>
            </w:r>
            <w:r w:rsidRPr="00975261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  <w:color w:val="000000"/>
              </w:rPr>
              <w:t>0.338 (14.2%)</w:t>
            </w:r>
          </w:p>
        </w:tc>
      </w:tr>
      <w:tr w:rsidR="00DA4076" w:rsidRPr="0011431F" w14:paraId="2E1A0C12" w14:textId="77777777" w:rsidTr="000E339E">
        <w:trPr>
          <w:trHeight w:val="220"/>
        </w:trPr>
        <w:tc>
          <w:tcPr>
            <w:tcW w:w="2062" w:type="dxa"/>
            <w:shd w:val="clear" w:color="auto" w:fill="F2F2F2" w:themeFill="background1" w:themeFillShade="F2"/>
          </w:tcPr>
          <w:p w14:paraId="009812C6" w14:textId="77777777" w:rsidR="00DA4076" w:rsidRPr="00C03446" w:rsidRDefault="00DA4076" w:rsidP="000E339E">
            <w:pPr>
              <w:spacing w:line="2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03446">
              <w:rPr>
                <w:rFonts w:ascii="Arial" w:hAnsi="Arial" w:cs="Arial"/>
                <w:b/>
                <w:bCs/>
              </w:rPr>
              <w:t>Meropenem</w:t>
            </w:r>
          </w:p>
        </w:tc>
        <w:tc>
          <w:tcPr>
            <w:tcW w:w="1086" w:type="dxa"/>
            <w:shd w:val="clear" w:color="auto" w:fill="F2F2F2" w:themeFill="background1" w:themeFillShade="F2"/>
          </w:tcPr>
          <w:p w14:paraId="6514F4A5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11431F">
              <w:rPr>
                <w:rFonts w:ascii="Arial" w:hAnsi="Arial" w:cs="Arial"/>
              </w:rPr>
              <w:t>2010 (6.49%)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14:paraId="6FFA390E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 w:rsidRPr="00D52CAF">
              <w:rPr>
                <w:rFonts w:ascii="Arial" w:hAnsi="Arial" w:cs="Arial"/>
                <w:color w:val="000000"/>
              </w:rPr>
              <w:t>13.9 (12%)</w:t>
            </w:r>
          </w:p>
        </w:tc>
        <w:tc>
          <w:tcPr>
            <w:tcW w:w="1162" w:type="dxa"/>
            <w:shd w:val="clear" w:color="auto" w:fill="F2F2F2" w:themeFill="background1" w:themeFillShade="F2"/>
          </w:tcPr>
          <w:p w14:paraId="6D6BAE97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9.11 (16.4%)</w:t>
            </w:r>
          </w:p>
        </w:tc>
        <w:tc>
          <w:tcPr>
            <w:tcW w:w="1081" w:type="dxa"/>
            <w:shd w:val="clear" w:color="auto" w:fill="F2F2F2" w:themeFill="background1" w:themeFillShade="F2"/>
          </w:tcPr>
          <w:p w14:paraId="5715D542" w14:textId="77777777" w:rsidR="00DA4076" w:rsidRPr="0011431F" w:rsidRDefault="00DA4076" w:rsidP="000E339E">
            <w:pPr>
              <w:spacing w:line="2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1810 (7.00%)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7BA32F4C" w14:textId="77777777" w:rsidR="00DA4076" w:rsidRDefault="00DA4076" w:rsidP="000E339E">
            <w:pPr>
              <w:spacing w:line="2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SD</w:t>
            </w:r>
            <w:r w:rsidRPr="00975261">
              <w:rPr>
                <w:rFonts w:ascii="Arial" w:hAnsi="Arial" w:cs="Arial"/>
                <w:vertAlign w:val="subscript"/>
              </w:rPr>
              <w:t>s</w:t>
            </w:r>
            <w:r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  <w:color w:val="000000"/>
              </w:rPr>
              <w:t>0.0527 (22.9%)</w:t>
            </w:r>
          </w:p>
          <w:p w14:paraId="3E5A6D25" w14:textId="77777777" w:rsidR="00DA4076" w:rsidRPr="0099777B" w:rsidRDefault="00DA4076" w:rsidP="000E339E">
            <w:pPr>
              <w:spacing w:line="2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SD</w:t>
            </w:r>
            <w:r>
              <w:rPr>
                <w:rFonts w:ascii="Arial" w:hAnsi="Arial" w:cs="Arial"/>
                <w:color w:val="000000"/>
                <w:vertAlign w:val="subscript"/>
              </w:rPr>
              <w:t>i</w:t>
            </w:r>
            <w:r>
              <w:rPr>
                <w:rFonts w:ascii="Arial" w:hAnsi="Arial" w:cs="Arial"/>
                <w:color w:val="000000"/>
              </w:rPr>
              <w:t xml:space="preserve"> = 0.134 (27.5%)</w:t>
            </w:r>
          </w:p>
        </w:tc>
      </w:tr>
      <w:tr w:rsidR="00DA4076" w:rsidRPr="0011431F" w14:paraId="7128DE15" w14:textId="77777777" w:rsidTr="000E339E">
        <w:trPr>
          <w:trHeight w:val="220"/>
        </w:trPr>
        <w:tc>
          <w:tcPr>
            <w:tcW w:w="8914" w:type="dxa"/>
            <w:gridSpan w:val="6"/>
            <w:vAlign w:val="bottom"/>
          </w:tcPr>
          <w:p w14:paraId="384DCA08" w14:textId="77777777" w:rsidR="00DA4076" w:rsidRDefault="00DA4076" w:rsidP="000E339E">
            <w:pPr>
              <w:rPr>
                <w:rFonts w:ascii="Arial" w:hAnsi="Arial" w:cs="Arial"/>
                <w:vertAlign w:val="subscript"/>
              </w:rPr>
            </w:pPr>
            <w:r w:rsidRPr="0011431F">
              <w:rPr>
                <w:rFonts w:ascii="Arial" w:hAnsi="Arial" w:cs="Arial"/>
                <w:vertAlign w:val="superscript"/>
              </w:rPr>
              <w:t>a</w:t>
            </w:r>
            <w:r w:rsidRPr="0011431F">
              <w:rPr>
                <w:rFonts w:ascii="Arial" w:hAnsi="Arial" w:cs="Arial"/>
              </w:rPr>
              <w:t>CL</w:t>
            </w:r>
            <w:r w:rsidRPr="0011431F">
              <w:rPr>
                <w:rFonts w:ascii="Arial" w:hAnsi="Arial" w:cs="Arial"/>
                <w:vertAlign w:val="subscript"/>
              </w:rPr>
              <w:t>int</w:t>
            </w:r>
            <w:r w:rsidRPr="0011431F">
              <w:rPr>
                <w:rFonts w:ascii="Arial" w:hAnsi="Arial" w:cs="Arial"/>
              </w:rPr>
              <w:t xml:space="preserve"> = V</w:t>
            </w:r>
            <w:r w:rsidRPr="0011431F">
              <w:rPr>
                <w:rFonts w:ascii="Arial" w:hAnsi="Arial" w:cs="Arial"/>
                <w:vertAlign w:val="subscript"/>
              </w:rPr>
              <w:t>max</w:t>
            </w:r>
            <w:r>
              <w:rPr>
                <w:rFonts w:ascii="Arial" w:hAnsi="Arial" w:cs="Arial"/>
                <w:vertAlign w:val="subscript"/>
              </w:rPr>
              <w:t xml:space="preserve"> </w:t>
            </w:r>
            <w:r w:rsidRPr="0011431F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11431F">
              <w:rPr>
                <w:rFonts w:ascii="Arial" w:hAnsi="Arial" w:cs="Arial"/>
              </w:rPr>
              <w:t>K</w:t>
            </w:r>
            <w:r w:rsidRPr="0011431F">
              <w:rPr>
                <w:rFonts w:ascii="Arial" w:hAnsi="Arial" w:cs="Arial"/>
                <w:vertAlign w:val="subscript"/>
              </w:rPr>
              <w:t>m</w:t>
            </w:r>
          </w:p>
          <w:p w14:paraId="1B4C774A" w14:textId="77777777" w:rsidR="00DA4076" w:rsidRPr="0099777B" w:rsidRDefault="00DA4076" w:rsidP="000E339E">
            <w:pPr>
              <w:rPr>
                <w:rFonts w:ascii="Arial" w:hAnsi="Arial" w:cs="Arial"/>
                <w:vertAlign w:val="subscript"/>
              </w:rPr>
            </w:pPr>
            <w:r w:rsidRPr="0099777B">
              <w:rPr>
                <w:rFonts w:ascii="Arial" w:hAnsi="Arial" w:cs="Arial"/>
                <w:vertAlign w:val="superscript"/>
              </w:rPr>
              <w:t>b</w:t>
            </w:r>
            <w:r>
              <w:rPr>
                <w:rFonts w:ascii="Arial" w:hAnsi="Arial" w:cs="Arial"/>
              </w:rPr>
              <w:t>k</w:t>
            </w:r>
            <w:r>
              <w:rPr>
                <w:rFonts w:ascii="Arial" w:hAnsi="Arial" w:cs="Arial"/>
                <w:vertAlign w:val="subscript"/>
              </w:rPr>
              <w:t>deg</w:t>
            </w:r>
            <w:r>
              <w:rPr>
                <w:rFonts w:ascii="Arial" w:hAnsi="Arial" w:cs="Arial"/>
              </w:rPr>
              <w:t xml:space="preserve"> = ln(2) / T</w:t>
            </w:r>
            <w:r>
              <w:rPr>
                <w:rFonts w:ascii="Arial" w:hAnsi="Arial" w:cs="Arial"/>
                <w:vertAlign w:val="subscript"/>
              </w:rPr>
              <w:t>deg</w:t>
            </w:r>
          </w:p>
          <w:p w14:paraId="5F891850" w14:textId="77777777" w:rsidR="00DA4076" w:rsidRDefault="00DA4076" w:rsidP="000E339E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c</w:t>
            </w:r>
            <w:r>
              <w:rPr>
                <w:rFonts w:ascii="Arial" w:hAnsi="Arial" w:cs="Arial"/>
              </w:rPr>
              <w:t>Var(Y) = (SD</w:t>
            </w:r>
            <w:r>
              <w:rPr>
                <w:rFonts w:ascii="Arial" w:hAnsi="Arial" w:cs="Arial"/>
                <w:vertAlign w:val="subscript"/>
              </w:rPr>
              <w:t xml:space="preserve">s </w:t>
            </w:r>
            <w:r>
              <w:rPr>
                <w:rFonts w:ascii="Arial" w:hAnsi="Arial" w:cs="Arial"/>
              </w:rPr>
              <w:t>• Y + SD</w:t>
            </w:r>
            <w:r w:rsidRPr="0011431F">
              <w:rPr>
                <w:rFonts w:ascii="Arial" w:hAnsi="Arial" w:cs="Arial"/>
                <w:vertAlign w:val="subscript"/>
              </w:rPr>
              <w:t>i</w:t>
            </w:r>
            <w:r>
              <w:rPr>
                <w:rFonts w:ascii="Arial" w:hAnsi="Arial" w:cs="Arial"/>
              </w:rPr>
              <w:t>)</w:t>
            </w:r>
            <w:r w:rsidRPr="0099777B">
              <w:rPr>
                <w:rFonts w:ascii="Arial" w:hAnsi="Arial" w:cs="Arial"/>
                <w:vertAlign w:val="superscript"/>
              </w:rPr>
              <w:t>2</w:t>
            </w:r>
          </w:p>
          <w:p w14:paraId="2976AB60" w14:textId="77777777" w:rsidR="00DA4076" w:rsidRDefault="00DA4076" w:rsidP="000E339E">
            <w:pPr>
              <w:rPr>
                <w:rFonts w:ascii="Arial" w:hAnsi="Arial" w:cs="Arial"/>
                <w:vertAlign w:val="superscript"/>
              </w:rPr>
            </w:pPr>
          </w:p>
          <w:p w14:paraId="48995472" w14:textId="77777777" w:rsidR="00DA4076" w:rsidRDefault="00DA4076" w:rsidP="000E339E">
            <w:pPr>
              <w:rPr>
                <w:rFonts w:ascii="Arial" w:hAnsi="Arial" w:cs="Arial"/>
                <w:vertAlign w:val="superscript"/>
              </w:rPr>
            </w:pPr>
          </w:p>
          <w:p w14:paraId="3D4979B3" w14:textId="77777777" w:rsidR="00DA4076" w:rsidRDefault="00DA4076" w:rsidP="000E33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Table S2: </w:t>
            </w:r>
            <w:r w:rsidRPr="00D838A8">
              <w:rPr>
                <w:rFonts w:ascii="Arial" w:hAnsi="Arial" w:cs="Arial"/>
                <w:sz w:val="20"/>
                <w:szCs w:val="20"/>
              </w:rPr>
              <w:t>Primers used for RT-PCR</w:t>
            </w:r>
          </w:p>
          <w:p w14:paraId="46CE8B2A" w14:textId="77777777" w:rsidR="00DA4076" w:rsidRDefault="00DA4076" w:rsidP="000E339E">
            <w:pPr>
              <w:rPr>
                <w:rFonts w:ascii="Arial" w:hAnsi="Arial" w:cs="Arial"/>
              </w:rPr>
            </w:pPr>
          </w:p>
          <w:tbl>
            <w:tblPr>
              <w:tblW w:w="8160" w:type="dxa"/>
              <w:tblLook w:val="04A0" w:firstRow="1" w:lastRow="0" w:firstColumn="1" w:lastColumn="0" w:noHBand="0" w:noVBand="1"/>
            </w:tblPr>
            <w:tblGrid>
              <w:gridCol w:w="1840"/>
              <w:gridCol w:w="3140"/>
              <w:gridCol w:w="3180"/>
            </w:tblGrid>
            <w:tr w:rsidR="00DA4076" w:rsidRPr="008A53AE" w14:paraId="348D9DE0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BD9A81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Transcript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DD3550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Forward Primer</w:t>
                  </w:r>
                </w:p>
              </w:tc>
              <w:tc>
                <w:tcPr>
                  <w:tcW w:w="3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52E7A7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Reverse Primer</w:t>
                  </w:r>
                </w:p>
              </w:tc>
            </w:tr>
            <w:tr w:rsidR="00DA4076" w:rsidRPr="008A53AE" w14:paraId="31986A1D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EE7AA9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pbp1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46888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TGATTGCCGAAGATGGCACT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AF9A8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ATTGTTGGTGGTCCCGGTTT</w:t>
                  </w:r>
                </w:p>
              </w:tc>
            </w:tr>
            <w:tr w:rsidR="00DA4076" w:rsidRPr="008A53AE" w14:paraId="2820C64E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2BAA56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pbp2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3269E1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AGATCCGGTGCGCGTTATAG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49EE6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ATCGCCAAAGACGGCATGTA</w:t>
                  </w:r>
                </w:p>
              </w:tc>
            </w:tr>
            <w:tr w:rsidR="00DA4076" w:rsidRPr="008A53AE" w14:paraId="5193B5FD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6475C8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pbp3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072C29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TACAGAGTCATCCCCACGCT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5E4B3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TTTCTCCACCCCTTCGATGC</w:t>
                  </w:r>
                </w:p>
              </w:tc>
            </w:tr>
            <w:tr w:rsidR="00DA4076" w:rsidRPr="008A53AE" w14:paraId="48CE4E8F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B99AA1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spy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6DE5A9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GTTGCCTCTACTCTGGCTCTG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104FB2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GAGCATCGGTCAGGTTCAGG</w:t>
                  </w:r>
                </w:p>
              </w:tc>
            </w:tr>
            <w:tr w:rsidR="00DA4076" w:rsidRPr="008A53AE" w14:paraId="59008EB3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A89732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proC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BD2B70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TATCGCCCAGCACTTTGGTC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382C18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CAGGTACAGCCGGGACAAAT</w:t>
                  </w:r>
                </w:p>
              </w:tc>
            </w:tr>
            <w:tr w:rsidR="00DA4076" w:rsidRPr="008A53AE" w14:paraId="131303BF" w14:textId="77777777" w:rsidTr="000E339E">
              <w:trPr>
                <w:trHeight w:val="290"/>
              </w:trPr>
              <w:tc>
                <w:tcPr>
                  <w:tcW w:w="18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6F5E25" w14:textId="77777777" w:rsidR="00DA4076" w:rsidRPr="008A53AE" w:rsidRDefault="00DA4076" w:rsidP="000E339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</w:rPr>
                    <w:t>gyrA</w:t>
                  </w:r>
                </w:p>
              </w:tc>
              <w:tc>
                <w:tcPr>
                  <w:tcW w:w="31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7B6140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GTGACCCGTCGTACGATTTT</w:t>
                  </w:r>
                </w:p>
              </w:tc>
              <w:tc>
                <w:tcPr>
                  <w:tcW w:w="3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4E8361" w14:textId="77777777" w:rsidR="00DA4076" w:rsidRPr="008A53AE" w:rsidRDefault="00DA4076" w:rsidP="000E339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8A53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GATAATCGGGTCGATGTTGG</w:t>
                  </w:r>
                </w:p>
              </w:tc>
            </w:tr>
          </w:tbl>
          <w:p w14:paraId="5B837241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CC30679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40DC2826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8FD0BA0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7EB3E073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5B6881F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6910047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13C476AB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73092D8C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4225533D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2CF71CE9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1F1CD0A4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2F7CEDAF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66B71EB3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1A21A7D9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1830FC1D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2A449491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240442B6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2801742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17092256" w14:textId="77777777" w:rsidR="00DA4076" w:rsidRDefault="00DA4076" w:rsidP="000E339E">
            <w:pPr>
              <w:rPr>
                <w:rFonts w:ascii="Arial" w:hAnsi="Arial" w:cs="Arial"/>
              </w:rPr>
            </w:pPr>
          </w:p>
          <w:p w14:paraId="5476EB2C" w14:textId="77777777" w:rsidR="00DA4076" w:rsidRPr="0011431F" w:rsidRDefault="00DA4076" w:rsidP="000E339E">
            <w:pPr>
              <w:rPr>
                <w:rFonts w:ascii="Arial" w:hAnsi="Arial" w:cs="Arial"/>
              </w:rPr>
            </w:pPr>
          </w:p>
        </w:tc>
      </w:tr>
    </w:tbl>
    <w:p w14:paraId="47DCC96F" w14:textId="77777777" w:rsidR="00DA4076" w:rsidRDefault="00DA4076" w:rsidP="00DA40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Figure S1: </w:t>
      </w:r>
      <w:r>
        <w:rPr>
          <w:rFonts w:ascii="Arial" w:hAnsi="Arial" w:cs="Arial"/>
        </w:rPr>
        <w:t xml:space="preserve">Population analysis profiles for </w:t>
      </w:r>
      <w:r w:rsidRPr="001A299E">
        <w:rPr>
          <w:rFonts w:ascii="Arial" w:hAnsi="Arial" w:cs="Arial"/>
        </w:rPr>
        <w:t xml:space="preserve">resistant subpopulations represent growth on MHA plates imbued with </w:t>
      </w:r>
      <w:r>
        <w:rPr>
          <w:rFonts w:ascii="Arial" w:hAnsi="Arial" w:cs="Arial"/>
        </w:rPr>
        <w:t>p</w:t>
      </w:r>
      <w:r w:rsidRPr="001A299E">
        <w:rPr>
          <w:rFonts w:ascii="Arial" w:hAnsi="Arial" w:cs="Arial"/>
        </w:rPr>
        <w:t xml:space="preserve">olymyxin B or </w:t>
      </w:r>
      <w:r>
        <w:rPr>
          <w:rFonts w:ascii="Arial" w:hAnsi="Arial" w:cs="Arial"/>
        </w:rPr>
        <w:t>a</w:t>
      </w:r>
      <w:r w:rsidRPr="001A299E">
        <w:rPr>
          <w:rFonts w:ascii="Arial" w:hAnsi="Arial" w:cs="Arial"/>
        </w:rPr>
        <w:t>ztreonam/</w:t>
      </w:r>
      <w:r>
        <w:rPr>
          <w:rFonts w:ascii="Arial" w:hAnsi="Arial" w:cs="Arial"/>
        </w:rPr>
        <w:t>a</w:t>
      </w:r>
      <w:r w:rsidRPr="001A299E">
        <w:rPr>
          <w:rFonts w:ascii="Arial" w:hAnsi="Arial" w:cs="Arial"/>
        </w:rPr>
        <w:t xml:space="preserve">vibactam or </w:t>
      </w:r>
      <w:r>
        <w:rPr>
          <w:rFonts w:ascii="Arial" w:hAnsi="Arial" w:cs="Arial"/>
        </w:rPr>
        <w:t>c</w:t>
      </w:r>
      <w:r w:rsidRPr="001A299E">
        <w:rPr>
          <w:rFonts w:ascii="Arial" w:hAnsi="Arial" w:cs="Arial"/>
        </w:rPr>
        <w:t>eftazidime throughout the HFIM experiment.</w:t>
      </w:r>
    </w:p>
    <w:p w14:paraId="7C288043" w14:textId="77777777" w:rsidR="00DA4076" w:rsidRDefault="00DA4076" w:rsidP="00DA4076">
      <w:pPr>
        <w:rPr>
          <w:rFonts w:ascii="Arial" w:hAnsi="Arial" w:cs="Arial"/>
          <w:sz w:val="20"/>
          <w:szCs w:val="20"/>
        </w:rPr>
      </w:pPr>
      <w:r w:rsidRPr="001A299E">
        <w:rPr>
          <w:rFonts w:ascii="Arial" w:hAnsi="Arial" w:cs="Arial"/>
          <w:sz w:val="20"/>
          <w:szCs w:val="20"/>
        </w:rPr>
        <w:object w:dxaOrig="9747" w:dyaOrig="4891" w14:anchorId="490220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35.15pt" o:ole="">
            <v:imagedata r:id="rId6" o:title=""/>
          </v:shape>
          <o:OLEObject Type="Embed" ProgID="Unknown" ShapeID="_x0000_i1025" DrawAspect="Content" ObjectID="_1768045915" r:id="rId7"/>
        </w:object>
      </w:r>
    </w:p>
    <w:p w14:paraId="38CD7B7B" w14:textId="77777777" w:rsidR="00DA4076" w:rsidRPr="00502342" w:rsidRDefault="00DA4076" w:rsidP="00DA4076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02342">
        <w:rPr>
          <w:rFonts w:ascii="Arial" w:hAnsi="Arial" w:cs="Arial"/>
          <w:sz w:val="20"/>
          <w:szCs w:val="20"/>
        </w:rPr>
        <w:t>To assess permeability, serial samples were collected to quantify degradation rates of each beta-lactam at 9 different time points: 1, 2, 5, 10, 15, 30, 60, 90, and 120 mins. Samples were diluted 1:5 in methanol+IS stock to precipitate proteins then centrifuged at 15000 rcf for 5 mins. Finally, supernatant from each sample was diluted 1:10 in HPLC water for subsequent chromatographic separation.</w:t>
      </w:r>
      <w:r>
        <w:rPr>
          <w:rFonts w:ascii="Arial" w:hAnsi="Arial" w:cs="Arial"/>
          <w:sz w:val="20"/>
          <w:szCs w:val="20"/>
        </w:rPr>
        <w:t xml:space="preserve"> </w:t>
      </w:r>
      <w:r w:rsidRPr="00502342">
        <w:rPr>
          <w:rFonts w:ascii="Arial" w:hAnsi="Arial" w:cs="Arial"/>
          <w:sz w:val="20"/>
          <w:szCs w:val="20"/>
        </w:rPr>
        <w:t>Separation was performed on Shimadzu Prominence HPLC then quantified on a Sciex API 3000 Triple Quadrupole mass spectrometer with ESI ionization positive mode. Drugs were separated on a Waters XSelect C18 3.5um</w:t>
      </w:r>
      <w:r>
        <w:rPr>
          <w:rFonts w:ascii="Arial" w:hAnsi="Arial" w:cs="Arial"/>
          <w:sz w:val="20"/>
          <w:szCs w:val="20"/>
        </w:rPr>
        <w:t xml:space="preserve"> </w:t>
      </w:r>
      <w:r w:rsidRPr="00502342">
        <w:rPr>
          <w:rFonts w:ascii="Arial" w:hAnsi="Arial" w:cs="Arial"/>
          <w:sz w:val="20"/>
          <w:szCs w:val="20"/>
        </w:rPr>
        <w:t>2.1x100mm column. The mobile phase consisted of 10mM ammonium acetate pH 5 (Phase A) and 90/10 acetonitrile/water + 10mM ammonium acetate (Phase B). Gradient elution was used and was based on compounds that were used. For aztreonam, ceftazidime, and cefepime, 2% B from 0 to 4.9 mins, 80%B 5 to 6 mins, 95%B 6.1 to 10 mins, and 2%B 10.1 to 14 mins. For meropenem, imipenem, and piperacillin, 1% B from 0 to 5.9 mins, 80%B 6 to 6.1 mins, 95%B 6.1 to 10 mins, and 2%B 10.1 to 14 mins.</w:t>
      </w:r>
    </w:p>
    <w:p w14:paraId="79FF7080" w14:textId="21253697" w:rsidR="00774076" w:rsidRPr="00BC2DB8" w:rsidRDefault="00DA4076" w:rsidP="00BC2DB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02342">
        <w:rPr>
          <w:rFonts w:ascii="Arial" w:hAnsi="Arial" w:cs="Arial"/>
          <w:sz w:val="20"/>
          <w:szCs w:val="20"/>
        </w:rPr>
        <w:lastRenderedPageBreak/>
        <w:t>Multiple reaction monitoring was used to quantify each beta-lactam and optimized to identify the following parent/product ions: aztreonam m/z 436 to 312; ceftazidime m/z 547 to 468, cefepime m/z 481 to 395; imipenem m/z 300 to 169; meropenem m/z 284 to 140; and piperacillin m/z 518 to 142. Isotopically labeled internal standards were included for each beta-lactam, except for imipenem which was normalized using isotopically labeled ceftazidime-d6. (all from Toronto Research Chemicals, Toronto, CA) The lower limit of quantification was determined to be the following for each drug: 0.1 mg/L aztreonam, 0.1 mg/L ceftazidime, 0.1 mg/L cefepime, 0.1 mg/L imipenem, 0.1 mg/L meropenem, and 0.3 mg/L piperacillin.</w:t>
      </w:r>
    </w:p>
    <w:sectPr w:rsidR="00774076" w:rsidRPr="00BC2DB8" w:rsidSect="003B6C68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BAF53" w14:textId="77777777" w:rsidR="00000000" w:rsidRDefault="003B6C68">
      <w:pPr>
        <w:spacing w:after="0" w:line="240" w:lineRule="auto"/>
      </w:pPr>
      <w:r>
        <w:separator/>
      </w:r>
    </w:p>
  </w:endnote>
  <w:endnote w:type="continuationSeparator" w:id="0">
    <w:p w14:paraId="00986AB9" w14:textId="77777777" w:rsidR="00000000" w:rsidRDefault="003B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DCD43" w14:textId="77777777" w:rsidR="00000000" w:rsidRDefault="003B6C68">
      <w:pPr>
        <w:spacing w:after="0" w:line="240" w:lineRule="auto"/>
      </w:pPr>
      <w:r>
        <w:separator/>
      </w:r>
    </w:p>
  </w:footnote>
  <w:footnote w:type="continuationSeparator" w:id="0">
    <w:p w14:paraId="496E90DA" w14:textId="77777777" w:rsidR="00000000" w:rsidRDefault="003B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06358" w14:textId="77777777" w:rsidR="00BC2DB8" w:rsidRPr="00F127F7" w:rsidRDefault="00BC2DB8" w:rsidP="00DE7FE7">
    <w:pPr>
      <w:pStyle w:val="Header"/>
      <w:jc w:val="right"/>
    </w:pPr>
    <w:r>
      <w:t xml:space="preserve">Combating pan-resistant </w:t>
    </w:r>
    <w:r w:rsidRPr="00C06589">
      <w:rPr>
        <w:i/>
        <w:iCs/>
      </w:rPr>
      <w:t>K. pneumoniae</w:t>
    </w:r>
    <w:r>
      <w:t xml:space="preserve">, Kaur </w:t>
    </w:r>
    <w:r w:rsidRPr="00CF1F47">
      <w:rPr>
        <w:i/>
        <w:iCs/>
      </w:rPr>
      <w:t>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6"/>
    <w:rsid w:val="00037FAB"/>
    <w:rsid w:val="003B6C68"/>
    <w:rsid w:val="00665D1A"/>
    <w:rsid w:val="00774076"/>
    <w:rsid w:val="00BC2DB8"/>
    <w:rsid w:val="00DA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7E617D"/>
  <w15:chartTrackingRefBased/>
  <w15:docId w15:val="{0E73A7FC-5BD5-4534-B92D-239837F5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076"/>
    <w:rPr>
      <w:rFonts w:eastAsia="SimSu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4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076"/>
    <w:rPr>
      <w:rFonts w:eastAsia="SimSun"/>
      <w:kern w:val="0"/>
      <w14:ligatures w14:val="none"/>
    </w:rPr>
  </w:style>
  <w:style w:type="table" w:styleId="TableGrid">
    <w:name w:val="Table Grid"/>
    <w:basedOn w:val="TableNormal"/>
    <w:uiPriority w:val="39"/>
    <w:rsid w:val="00DA4076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A4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Naseer Kaur</dc:creator>
  <cp:keywords/>
  <dc:description/>
  <cp:lastModifiedBy>Jeevitha T.</cp:lastModifiedBy>
  <cp:revision>3</cp:revision>
  <dcterms:created xsi:type="dcterms:W3CDTF">2023-11-02T00:58:00Z</dcterms:created>
  <dcterms:modified xsi:type="dcterms:W3CDTF">2024-01-29T09:35:00Z</dcterms:modified>
</cp:coreProperties>
</file>