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4344" w14:textId="11251D83" w:rsidR="00E66C67" w:rsidRPr="00ED709D" w:rsidRDefault="00E66C67" w:rsidP="00E66C67">
      <w:pPr>
        <w:rPr>
          <w:rFonts w:ascii="Times New Roman" w:hAnsi="Times New Roman" w:cs="Times New Roman"/>
          <w:noProof/>
          <w:sz w:val="24"/>
          <w:szCs w:val="24"/>
        </w:rPr>
      </w:pPr>
      <w:r w:rsidRPr="00ED709D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 w:rsidRPr="00ED7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Figure</w:t>
      </w:r>
    </w:p>
    <w:p w14:paraId="40F2DAC7" w14:textId="77777777" w:rsidR="00E66C67" w:rsidRPr="00ED709D" w:rsidRDefault="00E66C67" w:rsidP="00E66C67">
      <w:pPr>
        <w:rPr>
          <w:rFonts w:ascii="Times New Roman" w:hAnsi="Times New Roman" w:cs="Times New Roman"/>
          <w:noProof/>
          <w:sz w:val="24"/>
          <w:szCs w:val="24"/>
        </w:rPr>
      </w:pPr>
    </w:p>
    <w:p w14:paraId="28A2AB5A" w14:textId="531A2C3C" w:rsidR="00E66C67" w:rsidRPr="00ED709D" w:rsidRDefault="0061335F" w:rsidP="00E66C6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D709D">
        <w:rPr>
          <w:noProof/>
        </w:rPr>
        <w:drawing>
          <wp:inline distT="0" distB="0" distL="0" distR="0" wp14:anchorId="243872F1" wp14:editId="119C4FC9">
            <wp:extent cx="5274310" cy="5627077"/>
            <wp:effectExtent l="0" t="0" r="2540" b="0"/>
            <wp:docPr id="14932696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3"/>
                    <a:stretch/>
                  </pic:blipFill>
                  <pic:spPr bwMode="auto">
                    <a:xfrm>
                      <a:off x="0" y="0"/>
                      <a:ext cx="5274310" cy="562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84D5E" w14:textId="0D00109D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  <w:r w:rsidRPr="00ED709D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 w:rsidRPr="00ED7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Figure 1. Risk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cores,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ene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xpression, ROC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urves, and KM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urvival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urves in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ifferent CGGA </w:t>
      </w:r>
      <w:r w:rsidR="006B4E55" w:rsidRPr="00ED709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atabases. </w:t>
      </w:r>
      <w:r w:rsidRPr="00ED709D">
        <w:rPr>
          <w:rFonts w:ascii="Times New Roman" w:hAnsi="Times New Roman" w:cs="Times New Roman"/>
          <w:sz w:val="24"/>
          <w:szCs w:val="24"/>
        </w:rPr>
        <w:t xml:space="preserve">Risk score, survival status, and 4 gene expression in the CGGA-mRNA-array_301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ED709D">
        <w:rPr>
          <w:rFonts w:ascii="Times New Roman" w:hAnsi="Times New Roman" w:cs="Times New Roman"/>
          <w:sz w:val="24"/>
          <w:szCs w:val="24"/>
        </w:rPr>
        <w:t xml:space="preserve">, the CGGA-mRNAseq_325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ED709D">
        <w:rPr>
          <w:rFonts w:ascii="Times New Roman" w:hAnsi="Times New Roman" w:cs="Times New Roman"/>
          <w:sz w:val="24"/>
          <w:szCs w:val="24"/>
        </w:rPr>
        <w:t xml:space="preserve">, and the CGGA-mRNAseq_693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ED709D">
        <w:rPr>
          <w:rFonts w:ascii="Times New Roman" w:hAnsi="Times New Roman" w:cs="Times New Roman"/>
          <w:sz w:val="24"/>
          <w:szCs w:val="24"/>
        </w:rPr>
        <w:t>.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sz w:val="24"/>
          <w:szCs w:val="24"/>
        </w:rPr>
        <w:t xml:space="preserve">ROC curves and AUCs for the 4 gene features in the CGGA-mRNA-array_301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ED709D">
        <w:rPr>
          <w:rFonts w:ascii="Times New Roman" w:hAnsi="Times New Roman" w:cs="Times New Roman"/>
          <w:sz w:val="24"/>
          <w:szCs w:val="24"/>
        </w:rPr>
        <w:t xml:space="preserve">, the CGGA-mRNAseq_325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ED709D">
        <w:rPr>
          <w:rFonts w:ascii="Times New Roman" w:hAnsi="Times New Roman" w:cs="Times New Roman"/>
          <w:sz w:val="24"/>
          <w:szCs w:val="24"/>
        </w:rPr>
        <w:t xml:space="preserve">, and the CGGA-mRNAseq_693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Pr="00ED709D">
        <w:rPr>
          <w:rFonts w:ascii="Times New Roman" w:hAnsi="Times New Roman" w:cs="Times New Roman"/>
          <w:sz w:val="24"/>
          <w:szCs w:val="24"/>
        </w:rPr>
        <w:t xml:space="preserve">. Distribution of KM survival curves for the 4 gene features in the CGGA-mRNA-array_301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ED709D">
        <w:rPr>
          <w:rFonts w:ascii="Times New Roman" w:hAnsi="Times New Roman" w:cs="Times New Roman"/>
          <w:sz w:val="24"/>
          <w:szCs w:val="24"/>
        </w:rPr>
        <w:t xml:space="preserve">, the CGGA-mRNAseq_325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ED709D">
        <w:rPr>
          <w:rFonts w:ascii="Times New Roman" w:hAnsi="Times New Roman" w:cs="Times New Roman"/>
          <w:sz w:val="24"/>
          <w:szCs w:val="24"/>
        </w:rPr>
        <w:t xml:space="preserve">, and the CGGA-mRNAseq_693 database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(I)</w:t>
      </w:r>
      <w:r w:rsidRPr="00ED709D">
        <w:rPr>
          <w:rFonts w:ascii="Times New Roman" w:hAnsi="Times New Roman" w:cs="Times New Roman"/>
          <w:sz w:val="24"/>
          <w:szCs w:val="24"/>
        </w:rPr>
        <w:t>.</w:t>
      </w:r>
    </w:p>
    <w:p w14:paraId="1E8CD416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4565BC67" w14:textId="376E0667" w:rsidR="00E66C67" w:rsidRPr="00ED709D" w:rsidRDefault="00D87C0A" w:rsidP="00E66C6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87C0A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drawing>
          <wp:inline distT="0" distB="0" distL="0" distR="0" wp14:anchorId="12F87D1B" wp14:editId="7498D9BC">
            <wp:extent cx="5274310" cy="4251325"/>
            <wp:effectExtent l="0" t="0" r="254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B334534B-B1C4-5DC3-9861-005CB5A1A6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B334534B-B1C4-5DC3-9861-005CB5A1A6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07AB" w14:textId="63D73E2B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  <w:r w:rsidRPr="00ED709D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 w:rsidRPr="00ED7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Figure 2. Prognostic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erformance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nalysis of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isk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odels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ased on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linical </w:t>
      </w:r>
      <w:r w:rsidR="000036F0" w:rsidRPr="00ED70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haracteristics. A.</w:t>
      </w:r>
      <w:r w:rsidRPr="00ED709D">
        <w:rPr>
          <w:rFonts w:ascii="Times New Roman" w:hAnsi="Times New Roman" w:cs="Times New Roman"/>
          <w:sz w:val="24"/>
          <w:szCs w:val="24"/>
        </w:rPr>
        <w:t xml:space="preserve"> According to RiskScore, the patients in the G2 group were divided into two groups with significant prognosis.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ED709D">
        <w:rPr>
          <w:rFonts w:ascii="Times New Roman" w:hAnsi="Times New Roman" w:cs="Times New Roman"/>
          <w:sz w:val="24"/>
          <w:szCs w:val="24"/>
        </w:rPr>
        <w:t xml:space="preserve"> According to RiskScore, patients in the G3 group were divided into two groups with significant prognosis.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C. </w:t>
      </w:r>
      <w:r w:rsidRPr="00ED709D">
        <w:rPr>
          <w:rFonts w:ascii="Times New Roman" w:hAnsi="Times New Roman" w:cs="Times New Roman"/>
          <w:sz w:val="24"/>
          <w:szCs w:val="24"/>
        </w:rPr>
        <w:t xml:space="preserve">According to RiskScore, the female group was divided into two groups with significant prognosis.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ED709D">
        <w:rPr>
          <w:rFonts w:ascii="Times New Roman" w:hAnsi="Times New Roman" w:cs="Times New Roman"/>
          <w:sz w:val="24"/>
          <w:szCs w:val="24"/>
        </w:rPr>
        <w:t xml:space="preserve">Patients in the male group were divided into two groups according to RiskScore.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E.</w:t>
      </w:r>
      <w:r w:rsidRPr="00ED709D">
        <w:rPr>
          <w:rFonts w:ascii="Times New Roman" w:hAnsi="Times New Roman" w:cs="Times New Roman"/>
          <w:sz w:val="24"/>
          <w:szCs w:val="24"/>
        </w:rPr>
        <w:t xml:space="preserve"> Patients aged ≥60 years were divided into two groups with significant prognosis according to RiskScore.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F.</w:t>
      </w:r>
      <w:r w:rsidRPr="00ED709D">
        <w:rPr>
          <w:rFonts w:ascii="Times New Roman" w:hAnsi="Times New Roman" w:cs="Times New Roman"/>
          <w:sz w:val="24"/>
          <w:szCs w:val="24"/>
        </w:rPr>
        <w:t xml:space="preserve"> According to RiskScore, patients with ages &lt; 60 were divided into two groups with significant prognosis.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G. </w:t>
      </w:r>
      <w:r w:rsidRPr="00ED709D">
        <w:rPr>
          <w:rFonts w:ascii="Times New Roman" w:hAnsi="Times New Roman" w:cs="Times New Roman"/>
          <w:sz w:val="24"/>
          <w:szCs w:val="24"/>
        </w:rPr>
        <w:t xml:space="preserve">Patients in IDH WT group were divided into two groups according to RiskScore, and the prognosis was significant.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H. </w:t>
      </w:r>
      <w:r w:rsidRPr="00ED709D">
        <w:rPr>
          <w:rFonts w:ascii="Times New Roman" w:hAnsi="Times New Roman" w:cs="Times New Roman"/>
          <w:sz w:val="24"/>
          <w:szCs w:val="24"/>
        </w:rPr>
        <w:t>Patients with IDH mutation were divided into two groups according to RiskScore, and the prognosis was significant.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I. </w:t>
      </w:r>
      <w:r w:rsidRPr="00ED709D">
        <w:rPr>
          <w:rFonts w:ascii="Times New Roman" w:hAnsi="Times New Roman" w:cs="Times New Roman"/>
          <w:sz w:val="24"/>
          <w:szCs w:val="24"/>
        </w:rPr>
        <w:t>RiskScore scores in G2 and G3.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J. </w:t>
      </w:r>
      <w:r w:rsidRPr="00ED709D">
        <w:rPr>
          <w:rFonts w:ascii="Times New Roman" w:hAnsi="Times New Roman" w:cs="Times New Roman"/>
          <w:sz w:val="24"/>
          <w:szCs w:val="24"/>
        </w:rPr>
        <w:t>RiskScore scores in IDH WT and IDH mutation groups.</w:t>
      </w:r>
    </w:p>
    <w:p w14:paraId="717FDD05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0176D3F2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0F402162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74605CF6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0A829923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6DFE4938" w14:textId="77777777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</w:p>
    <w:p w14:paraId="01E53AA8" w14:textId="5207ECF6" w:rsidR="00E66C67" w:rsidRPr="00ED709D" w:rsidRDefault="00E66C67" w:rsidP="00E17FC8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D709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1A8079" wp14:editId="5D33BDA4">
            <wp:extent cx="5027582" cy="3308985"/>
            <wp:effectExtent l="0" t="0" r="1905" b="0"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0D056CCB-B98D-C3DD-15E3-D5A3833B0A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0D056CCB-B98D-C3DD-15E3-D5A3833B0A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4668" t="8730"/>
                    <a:stretch/>
                  </pic:blipFill>
                  <pic:spPr bwMode="auto">
                    <a:xfrm>
                      <a:off x="0" y="0"/>
                      <a:ext cx="5028100" cy="3309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F07F8" w14:textId="78F4A0AC" w:rsidR="00E66C67" w:rsidRPr="00ED709D" w:rsidRDefault="00E66C67" w:rsidP="00E66C67">
      <w:pPr>
        <w:rPr>
          <w:rFonts w:ascii="Times New Roman" w:hAnsi="Times New Roman" w:cs="Times New Roman"/>
          <w:sz w:val="24"/>
          <w:szCs w:val="24"/>
        </w:rPr>
      </w:pPr>
      <w:r w:rsidRPr="00ED709D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 w:rsidRPr="00ED7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Figure 3. Functions of ACTN1, LAMC3, AQP1, and NRM in proliferation and migration of </w:t>
      </w:r>
      <w:r w:rsidR="0061335F" w:rsidRPr="00ED709D">
        <w:rPr>
          <w:rFonts w:ascii="Times New Roman" w:hAnsi="Times New Roman" w:cs="Times New Roman"/>
          <w:b/>
          <w:bCs/>
          <w:sz w:val="24"/>
          <w:szCs w:val="24"/>
        </w:rPr>
        <w:t>grade II/III glioma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335F" w:rsidRPr="00ED709D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ells.</w:t>
      </w:r>
      <w:r w:rsidRPr="00ED7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ED709D">
        <w:rPr>
          <w:rFonts w:ascii="Times New Roman" w:hAnsi="Times New Roman" w:cs="Times New Roman"/>
          <w:sz w:val="24"/>
          <w:szCs w:val="24"/>
        </w:rPr>
        <w:t xml:space="preserve">Effects of knockdown of indicated genes on cell migratory abilities by wound healing assays in SW1733 cells.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ED709D">
        <w:t xml:space="preserve"> </w:t>
      </w:r>
      <w:r w:rsidRPr="00ED709D">
        <w:rPr>
          <w:rFonts w:ascii="Times New Roman" w:hAnsi="Times New Roman" w:cs="Times New Roman"/>
          <w:sz w:val="24"/>
          <w:szCs w:val="24"/>
        </w:rPr>
        <w:t xml:space="preserve">Statistical results of wound healing assays </w:t>
      </w:r>
      <w:r w:rsidRPr="00ED709D">
        <w:rPr>
          <w:rFonts w:ascii="Times New Roman" w:hAnsi="Times New Roman" w:cs="Times New Roman" w:hint="eastAsia"/>
          <w:sz w:val="24"/>
          <w:szCs w:val="24"/>
        </w:rPr>
        <w:t>in</w:t>
      </w:r>
      <w:r w:rsidRPr="00ED709D">
        <w:rPr>
          <w:rFonts w:ascii="Times New Roman" w:hAnsi="Times New Roman" w:cs="Times New Roman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ED709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C.</w:t>
      </w:r>
      <w:r w:rsidRPr="00ED709D">
        <w:rPr>
          <w:rFonts w:ascii="Times New Roman" w:hAnsi="Times New Roman" w:cs="Times New Roman"/>
          <w:sz w:val="24"/>
          <w:szCs w:val="24"/>
        </w:rPr>
        <w:t xml:space="preserve"> Effects of knockdown of indicated genes on cell proliferation by EdU assay in SW1733 cells for 24 h. </w:t>
      </w:r>
    </w:p>
    <w:p w14:paraId="4F5E604B" w14:textId="77777777" w:rsidR="001006EA" w:rsidRPr="00ED709D" w:rsidRDefault="001006EA"/>
    <w:p w14:paraId="39A015A4" w14:textId="3747FEE8" w:rsidR="0061335F" w:rsidRPr="00ED709D" w:rsidRDefault="0061335F">
      <w:pPr>
        <w:widowControl/>
        <w:jc w:val="left"/>
      </w:pPr>
      <w:r w:rsidRPr="00ED709D">
        <w:br w:type="page"/>
      </w:r>
    </w:p>
    <w:p w14:paraId="600AD1D6" w14:textId="7B1FF059" w:rsidR="0051060F" w:rsidRPr="00ED709D" w:rsidRDefault="0061335F" w:rsidP="00E17FC8">
      <w:pPr>
        <w:jc w:val="center"/>
      </w:pPr>
      <w:r w:rsidRPr="00ED709D">
        <w:rPr>
          <w:noProof/>
        </w:rPr>
        <w:lastRenderedPageBreak/>
        <w:drawing>
          <wp:inline distT="0" distB="0" distL="0" distR="0" wp14:anchorId="7619A76A" wp14:editId="26E132CF">
            <wp:extent cx="5274310" cy="4327525"/>
            <wp:effectExtent l="0" t="0" r="2540" b="0"/>
            <wp:docPr id="5767574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AA855" w14:textId="523AFFE9" w:rsidR="003A7759" w:rsidRPr="00ED709D" w:rsidRDefault="003A7759" w:rsidP="003A7759">
      <w:r w:rsidRPr="00ED709D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 w:rsidRPr="00ED7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Figure 4.</w:t>
      </w:r>
      <w:r w:rsidR="00193144"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6E3" w:rsidRPr="00ED709D">
        <w:rPr>
          <w:rFonts w:ascii="Times New Roman" w:hAnsi="Times New Roman" w:cs="Times New Roman"/>
          <w:b/>
          <w:bCs/>
          <w:sz w:val="24"/>
          <w:szCs w:val="24"/>
        </w:rPr>
        <w:t>Correlation analysis: PDCD1 with ACTN1, LAMC3, AQP1, NRM, and exhaustion-related molecules in TCGA samples</w:t>
      </w:r>
      <w:r w:rsidR="000B06E3" w:rsidRPr="00ED709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0B06E3"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ED709D">
        <w:rPr>
          <w:rFonts w:ascii="Times New Roman" w:hAnsi="Times New Roman" w:cs="Times New Roman"/>
          <w:sz w:val="24"/>
          <w:szCs w:val="24"/>
        </w:rPr>
        <w:t xml:space="preserve">Correlation between PDCD1 and ACTN1.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ED709D">
        <w:rPr>
          <w:rFonts w:ascii="Times New Roman" w:hAnsi="Times New Roman" w:cs="Times New Roman"/>
          <w:sz w:val="24"/>
          <w:szCs w:val="24"/>
        </w:rPr>
        <w:t xml:space="preserve">Correlation between PDCD1 and LAMC3.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ED709D">
        <w:rPr>
          <w:rFonts w:ascii="Times New Roman" w:hAnsi="Times New Roman" w:cs="Times New Roman"/>
          <w:sz w:val="24"/>
          <w:szCs w:val="24"/>
        </w:rPr>
        <w:t xml:space="preserve">Correlation between PDCD1 and AQP1.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ED709D">
        <w:rPr>
          <w:rFonts w:ascii="Times New Roman" w:hAnsi="Times New Roman" w:cs="Times New Roman"/>
          <w:sz w:val="24"/>
          <w:szCs w:val="24"/>
        </w:rPr>
        <w:t xml:space="preserve">Correlation between PDCD1 and NRM. 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D709D">
        <w:rPr>
          <w:rFonts w:ascii="Times New Roman" w:hAnsi="Times New Roman" w:cs="Times New Roman"/>
          <w:sz w:val="24"/>
          <w:szCs w:val="24"/>
        </w:rPr>
        <w:t>.</w:t>
      </w:r>
      <w:r w:rsidR="00E17FC8" w:rsidRPr="00ED709D">
        <w:rPr>
          <w:rFonts w:ascii="Times New Roman" w:hAnsi="Times New Roman" w:cs="Times New Roman"/>
          <w:sz w:val="24"/>
          <w:szCs w:val="24"/>
        </w:rPr>
        <w:t xml:space="preserve"> Heatmap of the correlation between ACTN1, LAMC3, AQP1, and NRM and the expression of 39 exhaustion-related molecules, TCGA samples sorted by </w:t>
      </w:r>
      <w:r w:rsidR="00407C25" w:rsidRPr="00ED709D">
        <w:rPr>
          <w:rFonts w:ascii="Times New Roman" w:hAnsi="Times New Roman" w:cs="Times New Roman"/>
          <w:sz w:val="24"/>
          <w:szCs w:val="24"/>
        </w:rPr>
        <w:t xml:space="preserve">PDCD1 </w:t>
      </w:r>
      <w:r w:rsidR="00E17FC8" w:rsidRPr="00ED709D">
        <w:rPr>
          <w:rFonts w:ascii="Times New Roman" w:hAnsi="Times New Roman" w:cs="Times New Roman"/>
          <w:sz w:val="24"/>
          <w:szCs w:val="24"/>
        </w:rPr>
        <w:t>expression.</w:t>
      </w:r>
    </w:p>
    <w:p w14:paraId="22A02319" w14:textId="4558B353" w:rsidR="003A7759" w:rsidRPr="00ED709D" w:rsidRDefault="003A7759" w:rsidP="003A7759"/>
    <w:p w14:paraId="6435C82B" w14:textId="746F376B" w:rsidR="003A7759" w:rsidRPr="00ED709D" w:rsidRDefault="003A7759" w:rsidP="003A7759"/>
    <w:p w14:paraId="0383E642" w14:textId="7E4D0A62" w:rsidR="0061335F" w:rsidRPr="00ED709D" w:rsidRDefault="0061335F"/>
    <w:p w14:paraId="1B77BCB2" w14:textId="77777777" w:rsidR="0061335F" w:rsidRPr="00ED709D" w:rsidRDefault="0061335F"/>
    <w:p w14:paraId="2510BB52" w14:textId="4D3CB0D7" w:rsidR="0061335F" w:rsidRPr="00ED709D" w:rsidRDefault="0061335F">
      <w:pPr>
        <w:widowControl/>
        <w:jc w:val="left"/>
      </w:pPr>
      <w:r w:rsidRPr="00ED709D">
        <w:br w:type="page"/>
      </w:r>
    </w:p>
    <w:p w14:paraId="2C5911AE" w14:textId="77777777" w:rsidR="0061335F" w:rsidRPr="00ED709D" w:rsidRDefault="0061335F"/>
    <w:p w14:paraId="764EAF81" w14:textId="4AB95A10" w:rsidR="0051060F" w:rsidRPr="00ED709D" w:rsidRDefault="0051060F">
      <w:pPr>
        <w:rPr>
          <w:rFonts w:ascii="Times New Roman" w:hAnsi="Times New Roman" w:cs="Times New Roman"/>
          <w:sz w:val="24"/>
          <w:szCs w:val="24"/>
        </w:rPr>
      </w:pP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Table S1. List of 132 EMT-associated genes related to </w:t>
      </w:r>
      <w:r w:rsidR="0061335F" w:rsidRPr="00ED709D">
        <w:rPr>
          <w:rFonts w:ascii="Times New Roman" w:hAnsi="Times New Roman" w:cs="Times New Roman"/>
          <w:b/>
          <w:bCs/>
          <w:sz w:val="24"/>
          <w:szCs w:val="24"/>
        </w:rPr>
        <w:t>grade II/III gliomas</w:t>
      </w: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 prognosis.</w:t>
      </w:r>
      <w:r w:rsidRPr="00ED709D">
        <w:rPr>
          <w:rFonts w:ascii="Times New Roman" w:hAnsi="Times New Roman" w:cs="Times New Roman"/>
          <w:sz w:val="24"/>
          <w:szCs w:val="24"/>
        </w:rPr>
        <w:t xml:space="preserve"> The expression profiles of 200 EMT-associated genes were extracted from TCGA LGG data. Univariate Cox regression analysis was performed using the coxph function in R to identify genes significantly associated with </w:t>
      </w:r>
      <w:r w:rsidR="0061335F" w:rsidRPr="00ED709D">
        <w:rPr>
          <w:rFonts w:ascii="Times New Roman" w:hAnsi="Times New Roman" w:cs="Times New Roman"/>
          <w:sz w:val="24"/>
          <w:szCs w:val="24"/>
        </w:rPr>
        <w:t>grade II/III gliomas</w:t>
      </w:r>
      <w:r w:rsidRPr="00ED709D">
        <w:rPr>
          <w:rFonts w:ascii="Times New Roman" w:hAnsi="Times New Roman" w:cs="Times New Roman"/>
          <w:sz w:val="24"/>
          <w:szCs w:val="24"/>
        </w:rPr>
        <w:t xml:space="preserve"> prognosis (P &lt; 0.05). This table lists the 132 EMT-associated genes that were found to be significantly related to prognosis in </w:t>
      </w:r>
      <w:r w:rsidR="0061335F" w:rsidRPr="00ED709D">
        <w:rPr>
          <w:rFonts w:ascii="Times New Roman" w:hAnsi="Times New Roman" w:cs="Times New Roman"/>
          <w:sz w:val="24"/>
          <w:szCs w:val="24"/>
        </w:rPr>
        <w:t>grade II/III gliomas</w:t>
      </w:r>
      <w:r w:rsidRPr="00ED709D">
        <w:rPr>
          <w:rFonts w:ascii="Times New Roman" w:hAnsi="Times New Roman" w:cs="Times New Roman"/>
          <w:sz w:val="24"/>
          <w:szCs w:val="24"/>
        </w:rPr>
        <w:t xml:space="preserve"> patients.</w:t>
      </w:r>
    </w:p>
    <w:p w14:paraId="40269EF0" w14:textId="77777777" w:rsidR="0051060F" w:rsidRPr="00ED709D" w:rsidRDefault="005106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BB2B7E" w14:textId="77777777" w:rsidR="0051060F" w:rsidRPr="00ED709D" w:rsidRDefault="0051060F"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Table S2. Differentially expressed genes (DEGs) between C1 and C2 molecular subtypes. </w:t>
      </w:r>
      <w:r w:rsidRPr="00ED709D">
        <w:rPr>
          <w:rFonts w:ascii="Times New Roman" w:hAnsi="Times New Roman" w:cs="Times New Roman"/>
          <w:sz w:val="24"/>
          <w:szCs w:val="24"/>
        </w:rPr>
        <w:t>Gene expression profiles of C1 and C2 molecular subtypes were compared using the limma package in R. Genes with |log2FC| &gt; 1 and FDR &lt; 0.01 were considered differentially expressed. A total of 1535 DEGs were identified, including 1291 up-regulated and 244 down-regulated genes in C1 compared to C2 subtypes. The table lists the DEGs along with their log2FC and FDR values.</w:t>
      </w:r>
      <w:r w:rsidRPr="00ED709D">
        <w:t xml:space="preserve"> </w:t>
      </w:r>
    </w:p>
    <w:p w14:paraId="7F012B1D" w14:textId="77777777" w:rsidR="0051060F" w:rsidRPr="00ED709D" w:rsidRDefault="0051060F"/>
    <w:p w14:paraId="5D87144D" w14:textId="06DC8A88" w:rsidR="0051060F" w:rsidRPr="00ED709D" w:rsidRDefault="0051060F">
      <w:pPr>
        <w:rPr>
          <w:rFonts w:ascii="Times New Roman" w:hAnsi="Times New Roman" w:cs="Times New Roman"/>
          <w:sz w:val="24"/>
          <w:szCs w:val="24"/>
        </w:rPr>
      </w:pPr>
      <w:r w:rsidRPr="00ED709D">
        <w:rPr>
          <w:rFonts w:ascii="Times New Roman" w:hAnsi="Times New Roman" w:cs="Times New Roman"/>
          <w:b/>
          <w:bCs/>
          <w:sz w:val="24"/>
          <w:szCs w:val="24"/>
        </w:rPr>
        <w:t xml:space="preserve">Table S3. Prognosis-related genes identified by univariate Cox regression analysis. </w:t>
      </w:r>
      <w:r w:rsidRPr="00ED709D">
        <w:rPr>
          <w:rFonts w:ascii="Times New Roman" w:hAnsi="Times New Roman" w:cs="Times New Roman"/>
          <w:sz w:val="24"/>
          <w:szCs w:val="24"/>
        </w:rPr>
        <w:t>To identify genes associated with prognosis, univariate Cox regression analysis was performed on the survival data using a threshold of P &lt; 0.01. A total of 874 prognosis-related genes were identified at this significance level. The table lists the genes along with their hazard ratios, confidence intervals and P values from the univariate Cox regression model.</w:t>
      </w:r>
    </w:p>
    <w:p w14:paraId="7EDE9450" w14:textId="77777777" w:rsidR="0051060F" w:rsidRPr="00ED709D" w:rsidRDefault="0051060F">
      <w:pPr>
        <w:rPr>
          <w:rFonts w:ascii="Times New Roman" w:hAnsi="Times New Roman" w:cs="Times New Roman"/>
          <w:sz w:val="24"/>
          <w:szCs w:val="24"/>
        </w:rPr>
      </w:pPr>
    </w:p>
    <w:sectPr w:rsidR="0051060F" w:rsidRPr="00ED7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5DC3" w14:textId="77777777" w:rsidR="006A2F53" w:rsidRDefault="006A2F53" w:rsidP="00E66C67">
      <w:r>
        <w:separator/>
      </w:r>
    </w:p>
  </w:endnote>
  <w:endnote w:type="continuationSeparator" w:id="0">
    <w:p w14:paraId="1E7401DA" w14:textId="77777777" w:rsidR="006A2F53" w:rsidRDefault="006A2F53" w:rsidP="00E6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2E58" w14:textId="77777777" w:rsidR="006A2F53" w:rsidRDefault="006A2F53" w:rsidP="00E66C67">
      <w:r>
        <w:separator/>
      </w:r>
    </w:p>
  </w:footnote>
  <w:footnote w:type="continuationSeparator" w:id="0">
    <w:p w14:paraId="74F188AB" w14:textId="77777777" w:rsidR="006A2F53" w:rsidRDefault="006A2F53" w:rsidP="00E66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B"/>
    <w:rsid w:val="000036F0"/>
    <w:rsid w:val="000B06E3"/>
    <w:rsid w:val="001006EA"/>
    <w:rsid w:val="00193144"/>
    <w:rsid w:val="003A7759"/>
    <w:rsid w:val="00407C25"/>
    <w:rsid w:val="004779E9"/>
    <w:rsid w:val="00492739"/>
    <w:rsid w:val="004F7808"/>
    <w:rsid w:val="0051060F"/>
    <w:rsid w:val="00523B68"/>
    <w:rsid w:val="0061335F"/>
    <w:rsid w:val="006A2F53"/>
    <w:rsid w:val="006B4E55"/>
    <w:rsid w:val="007416D7"/>
    <w:rsid w:val="0079006B"/>
    <w:rsid w:val="00930D81"/>
    <w:rsid w:val="00A0263B"/>
    <w:rsid w:val="00B129C6"/>
    <w:rsid w:val="00D87C0A"/>
    <w:rsid w:val="00E17FC8"/>
    <w:rsid w:val="00E66C67"/>
    <w:rsid w:val="00E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3C452"/>
  <w15:chartTrackingRefBased/>
  <w15:docId w15:val="{BD8C44A0-DAF8-43EF-9538-842CC178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C6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C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6C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6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6C67"/>
    <w:rPr>
      <w:sz w:val="18"/>
      <w:szCs w:val="18"/>
    </w:rPr>
  </w:style>
  <w:style w:type="paragraph" w:styleId="a7">
    <w:name w:val="Revision"/>
    <w:hidden/>
    <w:uiPriority w:val="99"/>
    <w:semiHidden/>
    <w:rsid w:val="00613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M22221@365svip.ru</dc:creator>
  <cp:keywords/>
  <dc:description/>
  <cp:lastModifiedBy>M22221@365svip.ru</cp:lastModifiedBy>
  <cp:revision>16</cp:revision>
  <dcterms:created xsi:type="dcterms:W3CDTF">2023-08-11T00:31:00Z</dcterms:created>
  <dcterms:modified xsi:type="dcterms:W3CDTF">2023-12-21T00:19:00Z</dcterms:modified>
</cp:coreProperties>
</file>