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le"/>
        <w:spacing w:lineRule="auto" w:line="259" w:before="0" w:after="160"/>
        <w:rPr>
          <w:sz w:val="48"/>
          <w:szCs w:val="48"/>
        </w:rPr>
      </w:pPr>
      <w:bookmarkStart w:id="0" w:name="_p6kt49kxy85b"/>
      <w:bookmarkEnd w:id="0"/>
      <w:r>
        <w:rPr>
          <w:sz w:val="48"/>
          <w:szCs w:val="48"/>
        </w:rPr>
        <w:t>In-Depth Analysis of Toxoplasma Content</w:t>
      </w:r>
    </w:p>
    <w:p>
      <w:pPr>
        <w:pStyle w:val="Normal1"/>
        <w:spacing w:lineRule="auto" w:line="259" w:before="0" w:after="160"/>
        <w:rPr>
          <w:rFonts w:ascii="Calibri" w:hAnsi="Calibri" w:eastAsia="Calibri" w:cs="Calibri"/>
          <w:highlight w:val="yellow"/>
        </w:rPr>
      </w:pPr>
      <w:r>
        <w:rPr>
          <w:rFonts w:eastAsia="Calibri" w:cs="Calibri" w:ascii="Calibri" w:hAnsi="Calibri"/>
        </w:rPr>
        <w:t xml:space="preserve">Applying our validation scheme we found some samples with validated Toxoplasma content but without clinical indication for Toxoplasmosis. We therefore assessed the alignments in mode detail and found that the references for Toxoplasma Gondii consisted of one large reference genome and multiple smaller contigs of length &lt; 1000 bp. The majority of reads in samples that passed the validation were assigned to those references leading to an implausible coverage distribution with the large reference having almost no reads assigned to it. This has implications for future reference database preprocessing as well as classification approaches. </w:t>
      </w:r>
      <w:r>
        <w:rPr>
          <w:rFonts w:eastAsia="Calibri" w:cs="Calibri" w:ascii="Calibri" w:hAnsi="Calibri"/>
        </w:rPr>
        <w:t>The reference for</w:t>
      </w:r>
      <w:r>
        <w:rPr>
          <w:rFonts w:eastAsia="Calibri" w:cs="Calibri" w:ascii="Calibri" w:hAnsi="Calibri"/>
          <w:sz w:val="22"/>
          <w:szCs w:val="22"/>
        </w:rPr>
        <w:t xml:space="preserve"> NW_017384238.1 </w:t>
      </w:r>
      <w:r>
        <w:rPr>
          <w:rFonts w:eastAsia="Calibri" w:cs="Calibri" w:ascii="Calibri" w:hAnsi="Calibri"/>
        </w:rPr>
        <w:t>could be mapped to a repeat region of chromosome 22, indicating human contamination, consistent with the cultivation of toxoplasma in human cells.</w:t>
      </w:r>
    </w:p>
    <w:tbl>
      <w:tblPr>
        <w:tblStyle w:val="Table1"/>
        <w:tblW w:w="8895" w:type="dxa"/>
        <w:jc w:val="center"/>
        <w:tblInd w:w="0" w:type="dxa"/>
        <w:tblCellMar>
          <w:top w:w="40" w:type="dxa"/>
          <w:left w:w="40" w:type="dxa"/>
          <w:bottom w:w="40" w:type="dxa"/>
          <w:right w:w="40" w:type="dxa"/>
        </w:tblCellMar>
        <w:tblLook w:val="0600"/>
      </w:tblPr>
      <w:tblGrid>
        <w:gridCol w:w="4019"/>
        <w:gridCol w:w="1470"/>
        <w:gridCol w:w="1651"/>
        <w:gridCol w:w="1754"/>
      </w:tblGrid>
      <w:tr>
        <w:trPr>
          <w:trHeight w:val="188" w:hRule="atLeast"/>
        </w:trPr>
        <w:tc>
          <w:tcPr>
            <w:tcW w:w="4019" w:type="dxa"/>
            <w:tcBorders>
              <w:top w:val="single" w:sz="8" w:space="0" w:color="000000"/>
              <w:bottom w:val="single" w:sz="8" w:space="0" w:color="000000"/>
            </w:tcBorders>
            <w:vAlign w:val="bottom"/>
          </w:tcPr>
          <w:p>
            <w:pPr>
              <w:pStyle w:val="Normal1"/>
              <w:widowControl w:val="false"/>
              <w:rPr>
                <w:sz w:val="16"/>
                <w:szCs w:val="16"/>
              </w:rPr>
            </w:pPr>
            <w:r>
              <w:rPr>
                <w:b/>
                <w:sz w:val="12"/>
                <w:szCs w:val="12"/>
              </w:rPr>
              <w:t>Reference Name</w:t>
            </w:r>
          </w:p>
        </w:tc>
        <w:tc>
          <w:tcPr>
            <w:tcW w:w="1470" w:type="dxa"/>
            <w:tcBorders>
              <w:top w:val="single" w:sz="8" w:space="0" w:color="000000"/>
              <w:bottom w:val="single" w:sz="8" w:space="0" w:color="000000"/>
            </w:tcBorders>
            <w:vAlign w:val="bottom"/>
          </w:tcPr>
          <w:p>
            <w:pPr>
              <w:pStyle w:val="Normal1"/>
              <w:widowControl w:val="false"/>
              <w:rPr>
                <w:sz w:val="16"/>
                <w:szCs w:val="16"/>
              </w:rPr>
            </w:pPr>
            <w:r>
              <w:rPr>
                <w:b/>
                <w:sz w:val="12"/>
                <w:szCs w:val="12"/>
              </w:rPr>
              <w:t>Reference Length</w:t>
            </w:r>
          </w:p>
        </w:tc>
        <w:tc>
          <w:tcPr>
            <w:tcW w:w="1651" w:type="dxa"/>
            <w:tcBorders>
              <w:top w:val="single" w:sz="8" w:space="0" w:color="000000"/>
              <w:bottom w:val="single" w:sz="8" w:space="0" w:color="000000"/>
            </w:tcBorders>
            <w:vAlign w:val="bottom"/>
          </w:tcPr>
          <w:p>
            <w:pPr>
              <w:pStyle w:val="Normal1"/>
              <w:widowControl w:val="false"/>
              <w:rPr>
                <w:sz w:val="16"/>
                <w:szCs w:val="16"/>
              </w:rPr>
            </w:pPr>
            <w:r>
              <w:rPr>
                <w:b/>
                <w:sz w:val="12"/>
                <w:szCs w:val="12"/>
              </w:rPr>
              <w:t>Aligned Reads</w:t>
            </w:r>
          </w:p>
        </w:tc>
        <w:tc>
          <w:tcPr>
            <w:tcW w:w="1754" w:type="dxa"/>
            <w:tcBorders>
              <w:top w:val="single" w:sz="8" w:space="0" w:color="000000"/>
              <w:bottom w:val="single" w:sz="8" w:space="0" w:color="000000"/>
            </w:tcBorders>
            <w:vAlign w:val="bottom"/>
          </w:tcPr>
          <w:p>
            <w:pPr>
              <w:pStyle w:val="Normal1"/>
              <w:widowControl w:val="false"/>
              <w:rPr>
                <w:sz w:val="16"/>
                <w:szCs w:val="16"/>
              </w:rPr>
            </w:pPr>
            <w:r>
              <w:rPr>
                <w:b/>
                <w:sz w:val="12"/>
                <w:szCs w:val="12"/>
              </w:rPr>
              <w:t>Aligned Bases</w:t>
            </w:r>
          </w:p>
        </w:tc>
      </w:tr>
      <w:tr>
        <w:trPr>
          <w:trHeight w:val="238" w:hRule="atLeast"/>
        </w:trPr>
        <w:tc>
          <w:tcPr>
            <w:tcW w:w="4019" w:type="dxa"/>
            <w:tcBorders>
              <w:top w:val="single" w:sz="8" w:space="0" w:color="000000"/>
            </w:tcBorders>
            <w:vAlign w:val="bottom"/>
          </w:tcPr>
          <w:p>
            <w:pPr>
              <w:pStyle w:val="Normal1"/>
              <w:widowControl w:val="false"/>
              <w:rPr>
                <w:sz w:val="16"/>
                <w:szCs w:val="16"/>
              </w:rPr>
            </w:pPr>
            <w:r>
              <w:rPr>
                <w:sz w:val="12"/>
                <w:szCs w:val="12"/>
              </w:rPr>
              <w:t>kraken:taxid|508771|NW_017384238.1</w:t>
            </w:r>
          </w:p>
        </w:tc>
        <w:tc>
          <w:tcPr>
            <w:tcW w:w="1470" w:type="dxa"/>
            <w:tcBorders>
              <w:top w:val="single" w:sz="8" w:space="0" w:color="000000"/>
            </w:tcBorders>
            <w:vAlign w:val="bottom"/>
          </w:tcPr>
          <w:p>
            <w:pPr>
              <w:pStyle w:val="Normal1"/>
              <w:widowControl w:val="false"/>
              <w:jc w:val="right"/>
              <w:rPr>
                <w:sz w:val="16"/>
                <w:szCs w:val="16"/>
              </w:rPr>
            </w:pPr>
            <w:r>
              <w:rPr>
                <w:sz w:val="12"/>
                <w:szCs w:val="12"/>
              </w:rPr>
              <w:t>599</w:t>
            </w:r>
          </w:p>
        </w:tc>
        <w:tc>
          <w:tcPr>
            <w:tcW w:w="1651" w:type="dxa"/>
            <w:tcBorders>
              <w:top w:val="single" w:sz="8" w:space="0" w:color="000000"/>
            </w:tcBorders>
            <w:vAlign w:val="bottom"/>
          </w:tcPr>
          <w:p>
            <w:pPr>
              <w:pStyle w:val="Normal1"/>
              <w:widowControl w:val="false"/>
              <w:jc w:val="right"/>
              <w:rPr>
                <w:sz w:val="16"/>
                <w:szCs w:val="16"/>
              </w:rPr>
            </w:pPr>
            <w:r>
              <w:rPr>
                <w:sz w:val="12"/>
                <w:szCs w:val="12"/>
              </w:rPr>
              <w:t>564</w:t>
            </w:r>
          </w:p>
        </w:tc>
        <w:tc>
          <w:tcPr>
            <w:tcW w:w="1754" w:type="dxa"/>
            <w:tcBorders>
              <w:top w:val="single" w:sz="8" w:space="0" w:color="000000"/>
            </w:tcBorders>
            <w:vAlign w:val="bottom"/>
          </w:tcPr>
          <w:p>
            <w:pPr>
              <w:pStyle w:val="Normal1"/>
              <w:widowControl w:val="false"/>
              <w:jc w:val="right"/>
              <w:rPr>
                <w:sz w:val="16"/>
                <w:szCs w:val="16"/>
              </w:rPr>
            </w:pPr>
            <w:r>
              <w:rPr>
                <w:sz w:val="12"/>
                <w:szCs w:val="12"/>
              </w:rPr>
              <w:t>829608</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kraken:taxid|508771|NW_017384541.1</w:t>
            </w:r>
          </w:p>
        </w:tc>
        <w:tc>
          <w:tcPr>
            <w:tcW w:w="1470" w:type="dxa"/>
            <w:tcBorders/>
            <w:vAlign w:val="bottom"/>
          </w:tcPr>
          <w:p>
            <w:pPr>
              <w:pStyle w:val="Normal1"/>
              <w:widowControl w:val="false"/>
              <w:jc w:val="right"/>
              <w:rPr>
                <w:sz w:val="16"/>
                <w:szCs w:val="16"/>
              </w:rPr>
            </w:pPr>
            <w:r>
              <w:rPr>
                <w:sz w:val="12"/>
                <w:szCs w:val="12"/>
              </w:rPr>
              <w:t>424</w:t>
            </w:r>
          </w:p>
        </w:tc>
        <w:tc>
          <w:tcPr>
            <w:tcW w:w="1651" w:type="dxa"/>
            <w:tcBorders/>
            <w:vAlign w:val="bottom"/>
          </w:tcPr>
          <w:p>
            <w:pPr>
              <w:pStyle w:val="Normal1"/>
              <w:widowControl w:val="false"/>
              <w:jc w:val="right"/>
              <w:rPr>
                <w:sz w:val="16"/>
                <w:szCs w:val="16"/>
              </w:rPr>
            </w:pPr>
            <w:r>
              <w:rPr>
                <w:sz w:val="12"/>
                <w:szCs w:val="12"/>
              </w:rPr>
              <w:t>410</w:t>
            </w:r>
          </w:p>
        </w:tc>
        <w:tc>
          <w:tcPr>
            <w:tcW w:w="1754" w:type="dxa"/>
            <w:tcBorders/>
            <w:vAlign w:val="bottom"/>
          </w:tcPr>
          <w:p>
            <w:pPr>
              <w:pStyle w:val="Normal1"/>
              <w:widowControl w:val="false"/>
              <w:jc w:val="right"/>
              <w:rPr>
                <w:sz w:val="16"/>
                <w:szCs w:val="16"/>
              </w:rPr>
            </w:pPr>
            <w:r>
              <w:rPr>
                <w:sz w:val="12"/>
                <w:szCs w:val="12"/>
              </w:rPr>
              <w:t>225024</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kraken:taxid|508771|NW_017384091.1</w:t>
            </w:r>
          </w:p>
        </w:tc>
        <w:tc>
          <w:tcPr>
            <w:tcW w:w="1470" w:type="dxa"/>
            <w:tcBorders/>
            <w:vAlign w:val="bottom"/>
          </w:tcPr>
          <w:p>
            <w:pPr>
              <w:pStyle w:val="Normal1"/>
              <w:widowControl w:val="false"/>
              <w:jc w:val="right"/>
              <w:rPr>
                <w:sz w:val="16"/>
                <w:szCs w:val="16"/>
              </w:rPr>
            </w:pPr>
            <w:r>
              <w:rPr>
                <w:sz w:val="12"/>
                <w:szCs w:val="12"/>
              </w:rPr>
              <w:t>690</w:t>
            </w:r>
          </w:p>
        </w:tc>
        <w:tc>
          <w:tcPr>
            <w:tcW w:w="1651" w:type="dxa"/>
            <w:tcBorders/>
            <w:vAlign w:val="bottom"/>
          </w:tcPr>
          <w:p>
            <w:pPr>
              <w:pStyle w:val="Normal1"/>
              <w:widowControl w:val="false"/>
              <w:jc w:val="right"/>
              <w:rPr>
                <w:sz w:val="16"/>
                <w:szCs w:val="16"/>
              </w:rPr>
            </w:pPr>
            <w:r>
              <w:rPr>
                <w:sz w:val="12"/>
                <w:szCs w:val="12"/>
              </w:rPr>
              <w:t>245</w:t>
            </w:r>
          </w:p>
        </w:tc>
        <w:tc>
          <w:tcPr>
            <w:tcW w:w="1754" w:type="dxa"/>
            <w:tcBorders/>
            <w:vAlign w:val="bottom"/>
          </w:tcPr>
          <w:p>
            <w:pPr>
              <w:pStyle w:val="Normal1"/>
              <w:widowControl w:val="false"/>
              <w:jc w:val="right"/>
              <w:rPr>
                <w:sz w:val="16"/>
                <w:szCs w:val="16"/>
              </w:rPr>
            </w:pPr>
            <w:r>
              <w:rPr>
                <w:sz w:val="12"/>
                <w:szCs w:val="12"/>
              </w:rPr>
              <w:t>441049</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kraken:taxid|508771|NW_017384622.1</w:t>
            </w:r>
          </w:p>
        </w:tc>
        <w:tc>
          <w:tcPr>
            <w:tcW w:w="1470" w:type="dxa"/>
            <w:tcBorders/>
            <w:vAlign w:val="bottom"/>
          </w:tcPr>
          <w:p>
            <w:pPr>
              <w:pStyle w:val="Normal1"/>
              <w:widowControl w:val="false"/>
              <w:jc w:val="right"/>
              <w:rPr>
                <w:sz w:val="16"/>
                <w:szCs w:val="16"/>
              </w:rPr>
            </w:pPr>
            <w:r>
              <w:rPr>
                <w:sz w:val="12"/>
                <w:szCs w:val="12"/>
              </w:rPr>
              <w:t>511</w:t>
            </w:r>
          </w:p>
        </w:tc>
        <w:tc>
          <w:tcPr>
            <w:tcW w:w="1651" w:type="dxa"/>
            <w:tcBorders/>
            <w:vAlign w:val="bottom"/>
          </w:tcPr>
          <w:p>
            <w:pPr>
              <w:pStyle w:val="Normal1"/>
              <w:widowControl w:val="false"/>
              <w:jc w:val="right"/>
              <w:rPr>
                <w:sz w:val="16"/>
                <w:szCs w:val="16"/>
              </w:rPr>
            </w:pPr>
            <w:r>
              <w:rPr>
                <w:sz w:val="12"/>
                <w:szCs w:val="12"/>
              </w:rPr>
              <w:t>216</w:t>
            </w:r>
          </w:p>
        </w:tc>
        <w:tc>
          <w:tcPr>
            <w:tcW w:w="1754" w:type="dxa"/>
            <w:tcBorders/>
            <w:vAlign w:val="bottom"/>
          </w:tcPr>
          <w:p>
            <w:pPr>
              <w:pStyle w:val="Normal1"/>
              <w:widowControl w:val="false"/>
              <w:jc w:val="right"/>
              <w:rPr>
                <w:sz w:val="16"/>
                <w:szCs w:val="16"/>
              </w:rPr>
            </w:pPr>
            <w:r>
              <w:rPr>
                <w:sz w:val="12"/>
                <w:szCs w:val="12"/>
              </w:rPr>
              <w:t>130475</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kraken:taxid|508771|NW_017383938.1</w:t>
            </w:r>
          </w:p>
        </w:tc>
        <w:tc>
          <w:tcPr>
            <w:tcW w:w="1470" w:type="dxa"/>
            <w:tcBorders/>
            <w:vAlign w:val="bottom"/>
          </w:tcPr>
          <w:p>
            <w:pPr>
              <w:pStyle w:val="Normal1"/>
              <w:widowControl w:val="false"/>
              <w:jc w:val="right"/>
              <w:rPr>
                <w:sz w:val="16"/>
                <w:szCs w:val="16"/>
              </w:rPr>
            </w:pPr>
            <w:r>
              <w:rPr>
                <w:sz w:val="12"/>
                <w:szCs w:val="12"/>
              </w:rPr>
              <w:t>395</w:t>
            </w:r>
          </w:p>
        </w:tc>
        <w:tc>
          <w:tcPr>
            <w:tcW w:w="1651" w:type="dxa"/>
            <w:tcBorders/>
            <w:vAlign w:val="bottom"/>
          </w:tcPr>
          <w:p>
            <w:pPr>
              <w:pStyle w:val="Normal1"/>
              <w:widowControl w:val="false"/>
              <w:jc w:val="right"/>
              <w:rPr>
                <w:sz w:val="16"/>
                <w:szCs w:val="16"/>
              </w:rPr>
            </w:pPr>
            <w:r>
              <w:rPr>
                <w:sz w:val="12"/>
                <w:szCs w:val="12"/>
              </w:rPr>
              <w:t>130</w:t>
            </w:r>
          </w:p>
        </w:tc>
        <w:tc>
          <w:tcPr>
            <w:tcW w:w="1754" w:type="dxa"/>
            <w:tcBorders/>
            <w:vAlign w:val="bottom"/>
          </w:tcPr>
          <w:p>
            <w:pPr>
              <w:pStyle w:val="Normal1"/>
              <w:widowControl w:val="false"/>
              <w:jc w:val="right"/>
              <w:rPr>
                <w:sz w:val="16"/>
                <w:szCs w:val="16"/>
              </w:rPr>
            </w:pPr>
            <w:r>
              <w:rPr>
                <w:sz w:val="12"/>
                <w:szCs w:val="12"/>
              </w:rPr>
              <w:t>21992</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kraken:taxid|508771|NW_017384910.1</w:t>
            </w:r>
          </w:p>
        </w:tc>
        <w:tc>
          <w:tcPr>
            <w:tcW w:w="1470" w:type="dxa"/>
            <w:tcBorders/>
            <w:vAlign w:val="bottom"/>
          </w:tcPr>
          <w:p>
            <w:pPr>
              <w:pStyle w:val="Normal1"/>
              <w:widowControl w:val="false"/>
              <w:jc w:val="right"/>
              <w:rPr>
                <w:sz w:val="16"/>
                <w:szCs w:val="16"/>
              </w:rPr>
            </w:pPr>
            <w:r>
              <w:rPr>
                <w:sz w:val="12"/>
                <w:szCs w:val="12"/>
              </w:rPr>
              <w:t>411</w:t>
            </w:r>
          </w:p>
        </w:tc>
        <w:tc>
          <w:tcPr>
            <w:tcW w:w="1651" w:type="dxa"/>
            <w:tcBorders/>
            <w:vAlign w:val="bottom"/>
          </w:tcPr>
          <w:p>
            <w:pPr>
              <w:pStyle w:val="Normal1"/>
              <w:widowControl w:val="false"/>
              <w:jc w:val="right"/>
              <w:rPr>
                <w:sz w:val="16"/>
                <w:szCs w:val="16"/>
              </w:rPr>
            </w:pPr>
            <w:r>
              <w:rPr>
                <w:sz w:val="12"/>
                <w:szCs w:val="12"/>
              </w:rPr>
              <w:t>108</w:t>
            </w:r>
          </w:p>
        </w:tc>
        <w:tc>
          <w:tcPr>
            <w:tcW w:w="1754" w:type="dxa"/>
            <w:tcBorders/>
            <w:vAlign w:val="bottom"/>
          </w:tcPr>
          <w:p>
            <w:pPr>
              <w:pStyle w:val="Normal1"/>
              <w:widowControl w:val="false"/>
              <w:jc w:val="right"/>
              <w:rPr>
                <w:sz w:val="16"/>
                <w:szCs w:val="16"/>
              </w:rPr>
            </w:pPr>
            <w:r>
              <w:rPr>
                <w:sz w:val="12"/>
                <w:szCs w:val="12"/>
              </w:rPr>
              <w:t>22319</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kraken:taxid|508771|NW_017384750.1</w:t>
            </w:r>
          </w:p>
        </w:tc>
        <w:tc>
          <w:tcPr>
            <w:tcW w:w="1470" w:type="dxa"/>
            <w:tcBorders/>
            <w:vAlign w:val="bottom"/>
          </w:tcPr>
          <w:p>
            <w:pPr>
              <w:pStyle w:val="Normal1"/>
              <w:widowControl w:val="false"/>
              <w:jc w:val="right"/>
              <w:rPr>
                <w:sz w:val="16"/>
                <w:szCs w:val="16"/>
              </w:rPr>
            </w:pPr>
            <w:r>
              <w:rPr>
                <w:sz w:val="12"/>
                <w:szCs w:val="12"/>
              </w:rPr>
              <w:t>442</w:t>
            </w:r>
          </w:p>
        </w:tc>
        <w:tc>
          <w:tcPr>
            <w:tcW w:w="1651" w:type="dxa"/>
            <w:tcBorders/>
            <w:vAlign w:val="bottom"/>
          </w:tcPr>
          <w:p>
            <w:pPr>
              <w:pStyle w:val="Normal1"/>
              <w:widowControl w:val="false"/>
              <w:jc w:val="right"/>
              <w:rPr>
                <w:sz w:val="16"/>
                <w:szCs w:val="16"/>
              </w:rPr>
            </w:pPr>
            <w:r>
              <w:rPr>
                <w:sz w:val="12"/>
                <w:szCs w:val="12"/>
              </w:rPr>
              <w:t>84</w:t>
            </w:r>
          </w:p>
        </w:tc>
        <w:tc>
          <w:tcPr>
            <w:tcW w:w="1754" w:type="dxa"/>
            <w:tcBorders/>
            <w:vAlign w:val="bottom"/>
          </w:tcPr>
          <w:p>
            <w:pPr>
              <w:pStyle w:val="Normal1"/>
              <w:widowControl w:val="false"/>
              <w:jc w:val="right"/>
              <w:rPr>
                <w:sz w:val="16"/>
                <w:szCs w:val="16"/>
              </w:rPr>
            </w:pPr>
            <w:r>
              <w:rPr>
                <w:sz w:val="12"/>
                <w:szCs w:val="12"/>
              </w:rPr>
              <w:t>37128</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kraken:taxid|508771|NW_017384921.1</w:t>
            </w:r>
          </w:p>
        </w:tc>
        <w:tc>
          <w:tcPr>
            <w:tcW w:w="1470" w:type="dxa"/>
            <w:tcBorders/>
            <w:vAlign w:val="bottom"/>
          </w:tcPr>
          <w:p>
            <w:pPr>
              <w:pStyle w:val="Normal1"/>
              <w:widowControl w:val="false"/>
              <w:jc w:val="right"/>
              <w:rPr>
                <w:sz w:val="16"/>
                <w:szCs w:val="16"/>
              </w:rPr>
            </w:pPr>
            <w:r>
              <w:rPr>
                <w:sz w:val="12"/>
                <w:szCs w:val="12"/>
              </w:rPr>
              <w:t>567</w:t>
            </w:r>
          </w:p>
        </w:tc>
        <w:tc>
          <w:tcPr>
            <w:tcW w:w="1651" w:type="dxa"/>
            <w:tcBorders/>
            <w:vAlign w:val="bottom"/>
          </w:tcPr>
          <w:p>
            <w:pPr>
              <w:pStyle w:val="Normal1"/>
              <w:widowControl w:val="false"/>
              <w:jc w:val="right"/>
              <w:rPr>
                <w:sz w:val="16"/>
                <w:szCs w:val="16"/>
              </w:rPr>
            </w:pPr>
            <w:r>
              <w:rPr>
                <w:sz w:val="12"/>
                <w:szCs w:val="12"/>
              </w:rPr>
              <w:t>56</w:t>
            </w:r>
          </w:p>
        </w:tc>
        <w:tc>
          <w:tcPr>
            <w:tcW w:w="1754" w:type="dxa"/>
            <w:tcBorders/>
            <w:vAlign w:val="bottom"/>
          </w:tcPr>
          <w:p>
            <w:pPr>
              <w:pStyle w:val="Normal1"/>
              <w:widowControl w:val="false"/>
              <w:jc w:val="right"/>
              <w:rPr>
                <w:sz w:val="16"/>
                <w:szCs w:val="16"/>
              </w:rPr>
            </w:pPr>
            <w:r>
              <w:rPr>
                <w:sz w:val="12"/>
                <w:szCs w:val="12"/>
              </w:rPr>
              <w:t>16477</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kraken:taxid|508771|NW_017385017.1</w:t>
            </w:r>
          </w:p>
        </w:tc>
        <w:tc>
          <w:tcPr>
            <w:tcW w:w="1470" w:type="dxa"/>
            <w:tcBorders/>
            <w:vAlign w:val="bottom"/>
          </w:tcPr>
          <w:p>
            <w:pPr>
              <w:pStyle w:val="Normal1"/>
              <w:widowControl w:val="false"/>
              <w:jc w:val="right"/>
              <w:rPr>
                <w:sz w:val="16"/>
                <w:szCs w:val="16"/>
              </w:rPr>
            </w:pPr>
            <w:r>
              <w:rPr>
                <w:sz w:val="12"/>
                <w:szCs w:val="12"/>
              </w:rPr>
              <w:t>498</w:t>
            </w:r>
          </w:p>
        </w:tc>
        <w:tc>
          <w:tcPr>
            <w:tcW w:w="1651" w:type="dxa"/>
            <w:tcBorders/>
            <w:vAlign w:val="bottom"/>
          </w:tcPr>
          <w:p>
            <w:pPr>
              <w:pStyle w:val="Normal1"/>
              <w:widowControl w:val="false"/>
              <w:jc w:val="right"/>
              <w:rPr>
                <w:sz w:val="16"/>
                <w:szCs w:val="16"/>
              </w:rPr>
            </w:pPr>
            <w:r>
              <w:rPr>
                <w:sz w:val="12"/>
                <w:szCs w:val="12"/>
              </w:rPr>
              <w:t>41</w:t>
            </w:r>
          </w:p>
        </w:tc>
        <w:tc>
          <w:tcPr>
            <w:tcW w:w="1754" w:type="dxa"/>
            <w:tcBorders/>
            <w:vAlign w:val="bottom"/>
          </w:tcPr>
          <w:p>
            <w:pPr>
              <w:pStyle w:val="Normal1"/>
              <w:widowControl w:val="false"/>
              <w:jc w:val="right"/>
              <w:rPr>
                <w:sz w:val="16"/>
                <w:szCs w:val="16"/>
              </w:rPr>
            </w:pPr>
            <w:r>
              <w:rPr>
                <w:sz w:val="12"/>
                <w:szCs w:val="12"/>
              </w:rPr>
              <w:t>8750</w:t>
            </w:r>
          </w:p>
        </w:tc>
      </w:tr>
      <w:tr>
        <w:trPr>
          <w:trHeight w:val="238" w:hRule="atLeast"/>
        </w:trPr>
        <w:tc>
          <w:tcPr>
            <w:tcW w:w="4019" w:type="dxa"/>
            <w:tcBorders/>
            <w:vAlign w:val="bottom"/>
          </w:tcPr>
          <w:p>
            <w:pPr>
              <w:pStyle w:val="Normal1"/>
              <w:widowControl w:val="false"/>
              <w:rPr>
                <w:sz w:val="16"/>
                <w:szCs w:val="16"/>
              </w:rPr>
            </w:pPr>
            <w:r>
              <w:rPr>
                <w:sz w:val="12"/>
                <w:szCs w:val="12"/>
              </w:rPr>
              <w:t>no reference</w:t>
            </w:r>
          </w:p>
        </w:tc>
        <w:tc>
          <w:tcPr>
            <w:tcW w:w="1470" w:type="dxa"/>
            <w:tcBorders/>
            <w:vAlign w:val="bottom"/>
          </w:tcPr>
          <w:p>
            <w:pPr>
              <w:pStyle w:val="Normal1"/>
              <w:widowControl w:val="false"/>
              <w:jc w:val="right"/>
              <w:rPr>
                <w:sz w:val="16"/>
                <w:szCs w:val="16"/>
              </w:rPr>
            </w:pPr>
            <w:r>
              <w:rPr>
                <w:sz w:val="12"/>
                <w:szCs w:val="12"/>
              </w:rPr>
              <w:t>0</w:t>
            </w:r>
          </w:p>
        </w:tc>
        <w:tc>
          <w:tcPr>
            <w:tcW w:w="1651" w:type="dxa"/>
            <w:tcBorders/>
            <w:vAlign w:val="bottom"/>
          </w:tcPr>
          <w:p>
            <w:pPr>
              <w:pStyle w:val="Normal1"/>
              <w:widowControl w:val="false"/>
              <w:jc w:val="right"/>
              <w:rPr>
                <w:sz w:val="16"/>
                <w:szCs w:val="16"/>
              </w:rPr>
            </w:pPr>
            <w:r>
              <w:rPr>
                <w:sz w:val="12"/>
                <w:szCs w:val="12"/>
              </w:rPr>
              <w:t>40</w:t>
            </w:r>
          </w:p>
        </w:tc>
        <w:tc>
          <w:tcPr>
            <w:tcW w:w="1754" w:type="dxa"/>
            <w:tcBorders/>
            <w:vAlign w:val="bottom"/>
          </w:tcPr>
          <w:p>
            <w:pPr>
              <w:pStyle w:val="Normal1"/>
              <w:widowControl w:val="false"/>
              <w:jc w:val="right"/>
              <w:rPr>
                <w:sz w:val="16"/>
                <w:szCs w:val="16"/>
              </w:rPr>
            </w:pPr>
            <w:r>
              <w:rPr>
                <w:sz w:val="12"/>
                <w:szCs w:val="12"/>
              </w:rPr>
              <w:t>0</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kraken:taxid|508771|NW_017384151.1</w:t>
            </w:r>
          </w:p>
        </w:tc>
        <w:tc>
          <w:tcPr>
            <w:tcW w:w="1470" w:type="dxa"/>
            <w:tcBorders/>
            <w:vAlign w:val="bottom"/>
          </w:tcPr>
          <w:p>
            <w:pPr>
              <w:pStyle w:val="Normal1"/>
              <w:widowControl w:val="false"/>
              <w:jc w:val="right"/>
              <w:rPr>
                <w:sz w:val="16"/>
                <w:szCs w:val="16"/>
              </w:rPr>
            </w:pPr>
            <w:r>
              <w:rPr>
                <w:sz w:val="12"/>
                <w:szCs w:val="12"/>
              </w:rPr>
              <w:t>417</w:t>
            </w:r>
          </w:p>
        </w:tc>
        <w:tc>
          <w:tcPr>
            <w:tcW w:w="1651" w:type="dxa"/>
            <w:tcBorders/>
            <w:vAlign w:val="bottom"/>
          </w:tcPr>
          <w:p>
            <w:pPr>
              <w:pStyle w:val="Normal1"/>
              <w:widowControl w:val="false"/>
              <w:jc w:val="right"/>
              <w:rPr>
                <w:sz w:val="16"/>
                <w:szCs w:val="16"/>
              </w:rPr>
            </w:pPr>
            <w:r>
              <w:rPr>
                <w:sz w:val="12"/>
                <w:szCs w:val="12"/>
              </w:rPr>
              <w:t>33</w:t>
            </w:r>
          </w:p>
        </w:tc>
        <w:tc>
          <w:tcPr>
            <w:tcW w:w="1754" w:type="dxa"/>
            <w:tcBorders/>
            <w:vAlign w:val="bottom"/>
          </w:tcPr>
          <w:p>
            <w:pPr>
              <w:pStyle w:val="Normal1"/>
              <w:widowControl w:val="false"/>
              <w:jc w:val="right"/>
              <w:rPr>
                <w:sz w:val="16"/>
                <w:szCs w:val="16"/>
              </w:rPr>
            </w:pPr>
            <w:r>
              <w:rPr>
                <w:sz w:val="12"/>
                <w:szCs w:val="12"/>
              </w:rPr>
              <w:t>12005</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kraken:taxid|508771|NW_017384026.1</w:t>
            </w:r>
          </w:p>
        </w:tc>
        <w:tc>
          <w:tcPr>
            <w:tcW w:w="1470" w:type="dxa"/>
            <w:tcBorders/>
            <w:vAlign w:val="bottom"/>
          </w:tcPr>
          <w:p>
            <w:pPr>
              <w:pStyle w:val="Normal1"/>
              <w:widowControl w:val="false"/>
              <w:jc w:val="right"/>
              <w:rPr>
                <w:sz w:val="16"/>
                <w:szCs w:val="16"/>
              </w:rPr>
            </w:pPr>
            <w:r>
              <w:rPr>
                <w:sz w:val="12"/>
                <w:szCs w:val="12"/>
              </w:rPr>
              <w:t>499</w:t>
            </w:r>
          </w:p>
        </w:tc>
        <w:tc>
          <w:tcPr>
            <w:tcW w:w="1651" w:type="dxa"/>
            <w:tcBorders/>
            <w:vAlign w:val="bottom"/>
          </w:tcPr>
          <w:p>
            <w:pPr>
              <w:pStyle w:val="Normal1"/>
              <w:widowControl w:val="false"/>
              <w:jc w:val="right"/>
              <w:rPr>
                <w:sz w:val="16"/>
                <w:szCs w:val="16"/>
              </w:rPr>
            </w:pPr>
            <w:r>
              <w:rPr>
                <w:sz w:val="12"/>
                <w:szCs w:val="12"/>
              </w:rPr>
              <w:t>25</w:t>
            </w:r>
          </w:p>
        </w:tc>
        <w:tc>
          <w:tcPr>
            <w:tcW w:w="1754" w:type="dxa"/>
            <w:tcBorders/>
            <w:vAlign w:val="bottom"/>
          </w:tcPr>
          <w:p>
            <w:pPr>
              <w:pStyle w:val="Normal1"/>
              <w:widowControl w:val="false"/>
              <w:jc w:val="right"/>
              <w:rPr>
                <w:sz w:val="16"/>
                <w:szCs w:val="16"/>
              </w:rPr>
            </w:pPr>
            <w:r>
              <w:rPr>
                <w:sz w:val="12"/>
                <w:szCs w:val="12"/>
              </w:rPr>
              <w:t>12014</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kraken:taxid|508771|NW_017385066.1</w:t>
            </w:r>
          </w:p>
        </w:tc>
        <w:tc>
          <w:tcPr>
            <w:tcW w:w="1470" w:type="dxa"/>
            <w:tcBorders/>
            <w:vAlign w:val="bottom"/>
          </w:tcPr>
          <w:p>
            <w:pPr>
              <w:pStyle w:val="Normal1"/>
              <w:widowControl w:val="false"/>
              <w:jc w:val="right"/>
              <w:rPr>
                <w:sz w:val="16"/>
                <w:szCs w:val="16"/>
              </w:rPr>
            </w:pPr>
            <w:r>
              <w:rPr>
                <w:sz w:val="12"/>
                <w:szCs w:val="12"/>
              </w:rPr>
              <w:t>442</w:t>
            </w:r>
          </w:p>
        </w:tc>
        <w:tc>
          <w:tcPr>
            <w:tcW w:w="1651" w:type="dxa"/>
            <w:tcBorders/>
            <w:vAlign w:val="bottom"/>
          </w:tcPr>
          <w:p>
            <w:pPr>
              <w:pStyle w:val="Normal1"/>
              <w:widowControl w:val="false"/>
              <w:jc w:val="right"/>
              <w:rPr>
                <w:sz w:val="16"/>
                <w:szCs w:val="16"/>
              </w:rPr>
            </w:pPr>
            <w:r>
              <w:rPr>
                <w:sz w:val="12"/>
                <w:szCs w:val="12"/>
              </w:rPr>
              <w:t>22</w:t>
            </w:r>
          </w:p>
        </w:tc>
        <w:tc>
          <w:tcPr>
            <w:tcW w:w="1754" w:type="dxa"/>
            <w:tcBorders/>
            <w:vAlign w:val="bottom"/>
          </w:tcPr>
          <w:p>
            <w:pPr>
              <w:pStyle w:val="Normal1"/>
              <w:widowControl w:val="false"/>
              <w:jc w:val="right"/>
              <w:rPr>
                <w:sz w:val="16"/>
                <w:szCs w:val="16"/>
              </w:rPr>
            </w:pPr>
            <w:r>
              <w:rPr>
                <w:sz w:val="12"/>
                <w:szCs w:val="12"/>
              </w:rPr>
              <w:t>9099</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kraken:taxid|508771|NW_017384310.1</w:t>
            </w:r>
          </w:p>
        </w:tc>
        <w:tc>
          <w:tcPr>
            <w:tcW w:w="1470" w:type="dxa"/>
            <w:tcBorders/>
            <w:vAlign w:val="bottom"/>
          </w:tcPr>
          <w:p>
            <w:pPr>
              <w:pStyle w:val="Normal1"/>
              <w:widowControl w:val="false"/>
              <w:jc w:val="right"/>
              <w:rPr>
                <w:sz w:val="16"/>
                <w:szCs w:val="16"/>
              </w:rPr>
            </w:pPr>
            <w:r>
              <w:rPr>
                <w:sz w:val="12"/>
                <w:szCs w:val="12"/>
              </w:rPr>
              <w:t>1438</w:t>
            </w:r>
          </w:p>
        </w:tc>
        <w:tc>
          <w:tcPr>
            <w:tcW w:w="1651" w:type="dxa"/>
            <w:tcBorders/>
            <w:vAlign w:val="bottom"/>
          </w:tcPr>
          <w:p>
            <w:pPr>
              <w:pStyle w:val="Normal1"/>
              <w:widowControl w:val="false"/>
              <w:jc w:val="right"/>
              <w:rPr>
                <w:sz w:val="16"/>
                <w:szCs w:val="16"/>
              </w:rPr>
            </w:pPr>
            <w:r>
              <w:rPr>
                <w:sz w:val="12"/>
                <w:szCs w:val="12"/>
              </w:rPr>
              <w:t>17</w:t>
            </w:r>
          </w:p>
        </w:tc>
        <w:tc>
          <w:tcPr>
            <w:tcW w:w="1754" w:type="dxa"/>
            <w:tcBorders/>
            <w:vAlign w:val="bottom"/>
          </w:tcPr>
          <w:p>
            <w:pPr>
              <w:pStyle w:val="Normal1"/>
              <w:widowControl w:val="false"/>
              <w:jc w:val="right"/>
              <w:rPr>
                <w:sz w:val="16"/>
                <w:szCs w:val="16"/>
              </w:rPr>
            </w:pPr>
            <w:r>
              <w:rPr>
                <w:sz w:val="12"/>
                <w:szCs w:val="12"/>
              </w:rPr>
              <w:t>8716</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kraken:taxid|508771|NW_017384196.1</w:t>
            </w:r>
          </w:p>
        </w:tc>
        <w:tc>
          <w:tcPr>
            <w:tcW w:w="1470" w:type="dxa"/>
            <w:tcBorders/>
            <w:vAlign w:val="bottom"/>
          </w:tcPr>
          <w:p>
            <w:pPr>
              <w:pStyle w:val="Normal1"/>
              <w:widowControl w:val="false"/>
              <w:jc w:val="right"/>
              <w:rPr>
                <w:sz w:val="16"/>
                <w:szCs w:val="16"/>
              </w:rPr>
            </w:pPr>
            <w:r>
              <w:rPr>
                <w:sz w:val="12"/>
                <w:szCs w:val="12"/>
              </w:rPr>
              <w:t>502</w:t>
            </w:r>
          </w:p>
        </w:tc>
        <w:tc>
          <w:tcPr>
            <w:tcW w:w="1651" w:type="dxa"/>
            <w:tcBorders/>
            <w:vAlign w:val="bottom"/>
          </w:tcPr>
          <w:p>
            <w:pPr>
              <w:pStyle w:val="Normal1"/>
              <w:widowControl w:val="false"/>
              <w:jc w:val="right"/>
              <w:rPr>
                <w:sz w:val="16"/>
                <w:szCs w:val="16"/>
              </w:rPr>
            </w:pPr>
            <w:r>
              <w:rPr>
                <w:sz w:val="12"/>
                <w:szCs w:val="12"/>
              </w:rPr>
              <w:t>14</w:t>
            </w:r>
          </w:p>
        </w:tc>
        <w:tc>
          <w:tcPr>
            <w:tcW w:w="1754" w:type="dxa"/>
            <w:tcBorders/>
            <w:vAlign w:val="bottom"/>
          </w:tcPr>
          <w:p>
            <w:pPr>
              <w:pStyle w:val="Normal1"/>
              <w:widowControl w:val="false"/>
              <w:jc w:val="right"/>
              <w:rPr>
                <w:sz w:val="16"/>
                <w:szCs w:val="16"/>
              </w:rPr>
            </w:pPr>
            <w:r>
              <w:rPr>
                <w:sz w:val="12"/>
                <w:szCs w:val="12"/>
              </w:rPr>
              <w:t>3726</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kraken:taxid|508771|NW_017384311.1</w:t>
            </w:r>
          </w:p>
        </w:tc>
        <w:tc>
          <w:tcPr>
            <w:tcW w:w="1470" w:type="dxa"/>
            <w:tcBorders/>
            <w:vAlign w:val="bottom"/>
          </w:tcPr>
          <w:p>
            <w:pPr>
              <w:pStyle w:val="Normal1"/>
              <w:widowControl w:val="false"/>
              <w:jc w:val="right"/>
              <w:rPr>
                <w:sz w:val="16"/>
                <w:szCs w:val="16"/>
              </w:rPr>
            </w:pPr>
            <w:r>
              <w:rPr>
                <w:sz w:val="12"/>
                <w:szCs w:val="12"/>
              </w:rPr>
              <w:t>809</w:t>
            </w:r>
          </w:p>
        </w:tc>
        <w:tc>
          <w:tcPr>
            <w:tcW w:w="1651" w:type="dxa"/>
            <w:tcBorders/>
            <w:vAlign w:val="bottom"/>
          </w:tcPr>
          <w:p>
            <w:pPr>
              <w:pStyle w:val="Normal1"/>
              <w:widowControl w:val="false"/>
              <w:jc w:val="right"/>
              <w:rPr>
                <w:sz w:val="16"/>
                <w:szCs w:val="16"/>
              </w:rPr>
            </w:pPr>
            <w:r>
              <w:rPr>
                <w:sz w:val="12"/>
                <w:szCs w:val="12"/>
              </w:rPr>
              <w:t>11</w:t>
            </w:r>
          </w:p>
        </w:tc>
        <w:tc>
          <w:tcPr>
            <w:tcW w:w="1754" w:type="dxa"/>
            <w:tcBorders/>
            <w:vAlign w:val="bottom"/>
          </w:tcPr>
          <w:p>
            <w:pPr>
              <w:pStyle w:val="Normal1"/>
              <w:widowControl w:val="false"/>
              <w:jc w:val="right"/>
              <w:rPr>
                <w:sz w:val="16"/>
                <w:szCs w:val="16"/>
              </w:rPr>
            </w:pPr>
            <w:r>
              <w:rPr>
                <w:sz w:val="12"/>
                <w:szCs w:val="12"/>
              </w:rPr>
              <w:t>8603</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kraken:taxid|508771|NW_017384568.1</w:t>
            </w:r>
          </w:p>
        </w:tc>
        <w:tc>
          <w:tcPr>
            <w:tcW w:w="1470" w:type="dxa"/>
            <w:tcBorders/>
            <w:vAlign w:val="bottom"/>
          </w:tcPr>
          <w:p>
            <w:pPr>
              <w:pStyle w:val="Normal1"/>
              <w:widowControl w:val="false"/>
              <w:jc w:val="right"/>
              <w:rPr>
                <w:sz w:val="16"/>
                <w:szCs w:val="16"/>
              </w:rPr>
            </w:pPr>
            <w:r>
              <w:rPr>
                <w:sz w:val="12"/>
                <w:szCs w:val="12"/>
              </w:rPr>
              <w:t>520</w:t>
            </w:r>
          </w:p>
        </w:tc>
        <w:tc>
          <w:tcPr>
            <w:tcW w:w="1651" w:type="dxa"/>
            <w:tcBorders/>
            <w:vAlign w:val="bottom"/>
          </w:tcPr>
          <w:p>
            <w:pPr>
              <w:pStyle w:val="Normal1"/>
              <w:widowControl w:val="false"/>
              <w:jc w:val="right"/>
              <w:rPr>
                <w:sz w:val="16"/>
                <w:szCs w:val="16"/>
              </w:rPr>
            </w:pPr>
            <w:r>
              <w:rPr>
                <w:sz w:val="12"/>
                <w:szCs w:val="12"/>
              </w:rPr>
              <w:t>8</w:t>
            </w:r>
          </w:p>
        </w:tc>
        <w:tc>
          <w:tcPr>
            <w:tcW w:w="1754" w:type="dxa"/>
            <w:tcBorders/>
            <w:vAlign w:val="bottom"/>
          </w:tcPr>
          <w:p>
            <w:pPr>
              <w:pStyle w:val="Normal1"/>
              <w:widowControl w:val="false"/>
              <w:jc w:val="right"/>
              <w:rPr>
                <w:sz w:val="16"/>
                <w:szCs w:val="16"/>
              </w:rPr>
            </w:pPr>
            <w:r>
              <w:rPr>
                <w:sz w:val="12"/>
                <w:szCs w:val="12"/>
              </w:rPr>
              <w:t>2245</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kraken:taxid|508771|NW_017384545.1</w:t>
            </w:r>
          </w:p>
        </w:tc>
        <w:tc>
          <w:tcPr>
            <w:tcW w:w="1470" w:type="dxa"/>
            <w:tcBorders/>
            <w:vAlign w:val="bottom"/>
          </w:tcPr>
          <w:p>
            <w:pPr>
              <w:pStyle w:val="Normal1"/>
              <w:widowControl w:val="false"/>
              <w:jc w:val="right"/>
              <w:rPr>
                <w:sz w:val="16"/>
                <w:szCs w:val="16"/>
              </w:rPr>
            </w:pPr>
            <w:r>
              <w:rPr>
                <w:sz w:val="12"/>
                <w:szCs w:val="12"/>
              </w:rPr>
              <w:t>754</w:t>
            </w:r>
          </w:p>
        </w:tc>
        <w:tc>
          <w:tcPr>
            <w:tcW w:w="1651" w:type="dxa"/>
            <w:tcBorders/>
            <w:vAlign w:val="bottom"/>
          </w:tcPr>
          <w:p>
            <w:pPr>
              <w:pStyle w:val="Normal1"/>
              <w:widowControl w:val="false"/>
              <w:jc w:val="right"/>
              <w:rPr>
                <w:sz w:val="16"/>
                <w:szCs w:val="16"/>
              </w:rPr>
            </w:pPr>
            <w:r>
              <w:rPr>
                <w:sz w:val="12"/>
                <w:szCs w:val="12"/>
              </w:rPr>
              <w:t>7</w:t>
            </w:r>
          </w:p>
        </w:tc>
        <w:tc>
          <w:tcPr>
            <w:tcW w:w="1754" w:type="dxa"/>
            <w:tcBorders/>
            <w:vAlign w:val="bottom"/>
          </w:tcPr>
          <w:p>
            <w:pPr>
              <w:pStyle w:val="Normal1"/>
              <w:widowControl w:val="false"/>
              <w:jc w:val="right"/>
              <w:rPr>
                <w:sz w:val="16"/>
                <w:szCs w:val="16"/>
              </w:rPr>
            </w:pPr>
            <w:r>
              <w:rPr>
                <w:sz w:val="12"/>
                <w:szCs w:val="12"/>
              </w:rPr>
              <w:t>3851</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kraken:taxid|508771|NW_017384808.1</w:t>
            </w:r>
          </w:p>
        </w:tc>
        <w:tc>
          <w:tcPr>
            <w:tcW w:w="1470" w:type="dxa"/>
            <w:tcBorders/>
            <w:vAlign w:val="bottom"/>
          </w:tcPr>
          <w:p>
            <w:pPr>
              <w:pStyle w:val="Normal1"/>
              <w:widowControl w:val="false"/>
              <w:jc w:val="right"/>
              <w:rPr>
                <w:sz w:val="16"/>
                <w:szCs w:val="16"/>
              </w:rPr>
            </w:pPr>
            <w:r>
              <w:rPr>
                <w:sz w:val="12"/>
                <w:szCs w:val="12"/>
              </w:rPr>
              <w:t>359</w:t>
            </w:r>
          </w:p>
        </w:tc>
        <w:tc>
          <w:tcPr>
            <w:tcW w:w="1651" w:type="dxa"/>
            <w:tcBorders/>
            <w:vAlign w:val="bottom"/>
          </w:tcPr>
          <w:p>
            <w:pPr>
              <w:pStyle w:val="Normal1"/>
              <w:widowControl w:val="false"/>
              <w:jc w:val="right"/>
              <w:rPr>
                <w:sz w:val="16"/>
                <w:szCs w:val="16"/>
              </w:rPr>
            </w:pPr>
            <w:r>
              <w:rPr>
                <w:sz w:val="12"/>
                <w:szCs w:val="12"/>
              </w:rPr>
              <w:t>6</w:t>
            </w:r>
          </w:p>
        </w:tc>
        <w:tc>
          <w:tcPr>
            <w:tcW w:w="1754" w:type="dxa"/>
            <w:tcBorders/>
            <w:vAlign w:val="bottom"/>
          </w:tcPr>
          <w:p>
            <w:pPr>
              <w:pStyle w:val="Normal1"/>
              <w:widowControl w:val="false"/>
              <w:jc w:val="right"/>
              <w:rPr>
                <w:sz w:val="16"/>
                <w:szCs w:val="16"/>
              </w:rPr>
            </w:pPr>
            <w:r>
              <w:rPr>
                <w:sz w:val="12"/>
                <w:szCs w:val="12"/>
              </w:rPr>
              <w:t>798</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kraken:taxid|508771|NW_017384912.1</w:t>
            </w:r>
          </w:p>
        </w:tc>
        <w:tc>
          <w:tcPr>
            <w:tcW w:w="1470" w:type="dxa"/>
            <w:tcBorders/>
            <w:vAlign w:val="bottom"/>
          </w:tcPr>
          <w:p>
            <w:pPr>
              <w:pStyle w:val="Normal1"/>
              <w:widowControl w:val="false"/>
              <w:jc w:val="right"/>
              <w:rPr>
                <w:sz w:val="16"/>
                <w:szCs w:val="16"/>
              </w:rPr>
            </w:pPr>
            <w:r>
              <w:rPr>
                <w:sz w:val="12"/>
                <w:szCs w:val="12"/>
              </w:rPr>
              <w:t>944</w:t>
            </w:r>
          </w:p>
        </w:tc>
        <w:tc>
          <w:tcPr>
            <w:tcW w:w="1651" w:type="dxa"/>
            <w:tcBorders/>
            <w:vAlign w:val="bottom"/>
          </w:tcPr>
          <w:p>
            <w:pPr>
              <w:pStyle w:val="Normal1"/>
              <w:widowControl w:val="false"/>
              <w:jc w:val="right"/>
              <w:rPr>
                <w:sz w:val="16"/>
                <w:szCs w:val="16"/>
              </w:rPr>
            </w:pPr>
            <w:r>
              <w:rPr>
                <w:sz w:val="12"/>
                <w:szCs w:val="12"/>
              </w:rPr>
              <w:t>6</w:t>
            </w:r>
          </w:p>
        </w:tc>
        <w:tc>
          <w:tcPr>
            <w:tcW w:w="1754" w:type="dxa"/>
            <w:tcBorders/>
            <w:vAlign w:val="bottom"/>
          </w:tcPr>
          <w:p>
            <w:pPr>
              <w:pStyle w:val="Normal1"/>
              <w:widowControl w:val="false"/>
              <w:jc w:val="right"/>
              <w:rPr>
                <w:sz w:val="16"/>
                <w:szCs w:val="16"/>
              </w:rPr>
            </w:pPr>
            <w:r>
              <w:rPr>
                <w:sz w:val="12"/>
                <w:szCs w:val="12"/>
              </w:rPr>
              <w:t>1090</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kraken:taxid|508771|NW_017384082.1</w:t>
            </w:r>
          </w:p>
        </w:tc>
        <w:tc>
          <w:tcPr>
            <w:tcW w:w="1470" w:type="dxa"/>
            <w:tcBorders/>
            <w:vAlign w:val="bottom"/>
          </w:tcPr>
          <w:p>
            <w:pPr>
              <w:pStyle w:val="Normal1"/>
              <w:widowControl w:val="false"/>
              <w:jc w:val="right"/>
              <w:rPr>
                <w:sz w:val="16"/>
                <w:szCs w:val="16"/>
              </w:rPr>
            </w:pPr>
            <w:r>
              <w:rPr>
                <w:sz w:val="12"/>
                <w:szCs w:val="12"/>
              </w:rPr>
              <w:t>581</w:t>
            </w:r>
          </w:p>
        </w:tc>
        <w:tc>
          <w:tcPr>
            <w:tcW w:w="1651" w:type="dxa"/>
            <w:tcBorders/>
            <w:vAlign w:val="bottom"/>
          </w:tcPr>
          <w:p>
            <w:pPr>
              <w:pStyle w:val="Normal1"/>
              <w:widowControl w:val="false"/>
              <w:jc w:val="right"/>
              <w:rPr>
                <w:sz w:val="16"/>
                <w:szCs w:val="16"/>
              </w:rPr>
            </w:pPr>
            <w:r>
              <w:rPr>
                <w:sz w:val="12"/>
                <w:szCs w:val="12"/>
              </w:rPr>
              <w:t>4</w:t>
            </w:r>
          </w:p>
        </w:tc>
        <w:tc>
          <w:tcPr>
            <w:tcW w:w="1754" w:type="dxa"/>
            <w:tcBorders/>
            <w:vAlign w:val="bottom"/>
          </w:tcPr>
          <w:p>
            <w:pPr>
              <w:pStyle w:val="Normal1"/>
              <w:widowControl w:val="false"/>
              <w:jc w:val="right"/>
              <w:rPr>
                <w:sz w:val="16"/>
                <w:szCs w:val="16"/>
              </w:rPr>
            </w:pPr>
            <w:r>
              <w:rPr>
                <w:sz w:val="12"/>
                <w:szCs w:val="12"/>
              </w:rPr>
              <w:t>1328</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kraken:taxid|508771|NW_017385060.1</w:t>
            </w:r>
          </w:p>
        </w:tc>
        <w:tc>
          <w:tcPr>
            <w:tcW w:w="1470" w:type="dxa"/>
            <w:tcBorders/>
            <w:vAlign w:val="bottom"/>
          </w:tcPr>
          <w:p>
            <w:pPr>
              <w:pStyle w:val="Normal1"/>
              <w:widowControl w:val="false"/>
              <w:jc w:val="right"/>
              <w:rPr>
                <w:sz w:val="16"/>
                <w:szCs w:val="16"/>
              </w:rPr>
            </w:pPr>
            <w:r>
              <w:rPr>
                <w:sz w:val="12"/>
                <w:szCs w:val="12"/>
              </w:rPr>
              <w:t>940</w:t>
            </w:r>
          </w:p>
        </w:tc>
        <w:tc>
          <w:tcPr>
            <w:tcW w:w="1651" w:type="dxa"/>
            <w:tcBorders/>
            <w:vAlign w:val="bottom"/>
          </w:tcPr>
          <w:p>
            <w:pPr>
              <w:pStyle w:val="Normal1"/>
              <w:widowControl w:val="false"/>
              <w:jc w:val="right"/>
              <w:rPr>
                <w:sz w:val="16"/>
                <w:szCs w:val="16"/>
              </w:rPr>
            </w:pPr>
            <w:r>
              <w:rPr>
                <w:sz w:val="12"/>
                <w:szCs w:val="12"/>
              </w:rPr>
              <w:t>4</w:t>
            </w:r>
          </w:p>
        </w:tc>
        <w:tc>
          <w:tcPr>
            <w:tcW w:w="1754" w:type="dxa"/>
            <w:tcBorders/>
            <w:vAlign w:val="bottom"/>
          </w:tcPr>
          <w:p>
            <w:pPr>
              <w:pStyle w:val="Normal1"/>
              <w:widowControl w:val="false"/>
              <w:jc w:val="right"/>
              <w:rPr>
                <w:sz w:val="16"/>
                <w:szCs w:val="16"/>
              </w:rPr>
            </w:pPr>
            <w:r>
              <w:rPr>
                <w:sz w:val="12"/>
                <w:szCs w:val="12"/>
              </w:rPr>
              <w:t>2468</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kraken:taxid|508771|NW_017385061.1</w:t>
            </w:r>
          </w:p>
        </w:tc>
        <w:tc>
          <w:tcPr>
            <w:tcW w:w="1470" w:type="dxa"/>
            <w:tcBorders/>
            <w:vAlign w:val="bottom"/>
          </w:tcPr>
          <w:p>
            <w:pPr>
              <w:pStyle w:val="Normal1"/>
              <w:widowControl w:val="false"/>
              <w:jc w:val="right"/>
              <w:rPr>
                <w:sz w:val="16"/>
                <w:szCs w:val="16"/>
              </w:rPr>
            </w:pPr>
            <w:r>
              <w:rPr>
                <w:sz w:val="12"/>
                <w:szCs w:val="12"/>
              </w:rPr>
              <w:t>646</w:t>
            </w:r>
          </w:p>
        </w:tc>
        <w:tc>
          <w:tcPr>
            <w:tcW w:w="1651" w:type="dxa"/>
            <w:tcBorders/>
            <w:vAlign w:val="bottom"/>
          </w:tcPr>
          <w:p>
            <w:pPr>
              <w:pStyle w:val="Normal1"/>
              <w:widowControl w:val="false"/>
              <w:jc w:val="right"/>
              <w:rPr>
                <w:sz w:val="16"/>
                <w:szCs w:val="16"/>
              </w:rPr>
            </w:pPr>
            <w:r>
              <w:rPr>
                <w:sz w:val="12"/>
                <w:szCs w:val="12"/>
              </w:rPr>
              <w:t>4</w:t>
            </w:r>
          </w:p>
        </w:tc>
        <w:tc>
          <w:tcPr>
            <w:tcW w:w="1754" w:type="dxa"/>
            <w:tcBorders/>
            <w:vAlign w:val="bottom"/>
          </w:tcPr>
          <w:p>
            <w:pPr>
              <w:pStyle w:val="Normal1"/>
              <w:widowControl w:val="false"/>
              <w:jc w:val="right"/>
              <w:rPr>
                <w:sz w:val="16"/>
                <w:szCs w:val="16"/>
              </w:rPr>
            </w:pPr>
            <w:r>
              <w:rPr>
                <w:sz w:val="12"/>
                <w:szCs w:val="12"/>
              </w:rPr>
              <w:t>1798</w:t>
            </w:r>
          </w:p>
        </w:tc>
      </w:tr>
      <w:tr>
        <w:trPr>
          <w:trHeight w:val="238" w:hRule="atLeast"/>
        </w:trPr>
        <w:tc>
          <w:tcPr>
            <w:tcW w:w="4019" w:type="dxa"/>
            <w:tcBorders/>
            <w:vAlign w:val="bottom"/>
          </w:tcPr>
          <w:p>
            <w:pPr>
              <w:pStyle w:val="Normal1"/>
              <w:widowControl w:val="false"/>
              <w:rPr>
                <w:sz w:val="16"/>
                <w:szCs w:val="16"/>
              </w:rPr>
            </w:pPr>
            <w:r>
              <w:rPr>
                <w:i/>
                <w:sz w:val="12"/>
                <w:szCs w:val="12"/>
              </w:rPr>
              <w:t>kraken:taxid|508771|NC_031476.1</w:t>
            </w:r>
          </w:p>
        </w:tc>
        <w:tc>
          <w:tcPr>
            <w:tcW w:w="1470" w:type="dxa"/>
            <w:tcBorders/>
            <w:vAlign w:val="bottom"/>
          </w:tcPr>
          <w:p>
            <w:pPr>
              <w:pStyle w:val="Normal1"/>
              <w:widowControl w:val="false"/>
              <w:jc w:val="right"/>
              <w:rPr>
                <w:sz w:val="16"/>
                <w:szCs w:val="16"/>
              </w:rPr>
            </w:pPr>
            <w:r>
              <w:rPr>
                <w:i/>
                <w:sz w:val="12"/>
                <w:szCs w:val="12"/>
              </w:rPr>
              <w:t>6970285</w:t>
            </w:r>
          </w:p>
        </w:tc>
        <w:tc>
          <w:tcPr>
            <w:tcW w:w="1651" w:type="dxa"/>
            <w:tcBorders/>
            <w:vAlign w:val="bottom"/>
          </w:tcPr>
          <w:p>
            <w:pPr>
              <w:pStyle w:val="Normal1"/>
              <w:widowControl w:val="false"/>
              <w:jc w:val="right"/>
              <w:rPr>
                <w:sz w:val="16"/>
                <w:szCs w:val="16"/>
              </w:rPr>
            </w:pPr>
            <w:r>
              <w:rPr>
                <w:i/>
                <w:sz w:val="12"/>
                <w:szCs w:val="12"/>
              </w:rPr>
              <w:t>2</w:t>
            </w:r>
          </w:p>
        </w:tc>
        <w:tc>
          <w:tcPr>
            <w:tcW w:w="1754" w:type="dxa"/>
            <w:tcBorders/>
            <w:vAlign w:val="bottom"/>
          </w:tcPr>
          <w:p>
            <w:pPr>
              <w:pStyle w:val="Normal1"/>
              <w:widowControl w:val="false"/>
              <w:jc w:val="right"/>
              <w:rPr>
                <w:sz w:val="16"/>
                <w:szCs w:val="16"/>
              </w:rPr>
            </w:pPr>
            <w:r>
              <w:rPr>
                <w:i/>
                <w:sz w:val="12"/>
                <w:szCs w:val="12"/>
              </w:rPr>
              <w:t>1116</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kraken:taxid|508771|NW_017384849.1</w:t>
            </w:r>
          </w:p>
        </w:tc>
        <w:tc>
          <w:tcPr>
            <w:tcW w:w="1470" w:type="dxa"/>
            <w:tcBorders/>
            <w:vAlign w:val="bottom"/>
          </w:tcPr>
          <w:p>
            <w:pPr>
              <w:pStyle w:val="Normal1"/>
              <w:widowControl w:val="false"/>
              <w:jc w:val="right"/>
              <w:rPr>
                <w:sz w:val="16"/>
                <w:szCs w:val="16"/>
              </w:rPr>
            </w:pPr>
            <w:r>
              <w:rPr>
                <w:sz w:val="12"/>
                <w:szCs w:val="12"/>
              </w:rPr>
              <w:t>424</w:t>
            </w:r>
          </w:p>
        </w:tc>
        <w:tc>
          <w:tcPr>
            <w:tcW w:w="1651" w:type="dxa"/>
            <w:tcBorders/>
            <w:vAlign w:val="bottom"/>
          </w:tcPr>
          <w:p>
            <w:pPr>
              <w:pStyle w:val="Normal1"/>
              <w:widowControl w:val="false"/>
              <w:jc w:val="right"/>
              <w:rPr>
                <w:sz w:val="16"/>
                <w:szCs w:val="16"/>
              </w:rPr>
            </w:pPr>
            <w:r>
              <w:rPr>
                <w:sz w:val="12"/>
                <w:szCs w:val="12"/>
              </w:rPr>
              <w:t>1</w:t>
            </w:r>
          </w:p>
        </w:tc>
        <w:tc>
          <w:tcPr>
            <w:tcW w:w="1754" w:type="dxa"/>
            <w:tcBorders/>
            <w:vAlign w:val="bottom"/>
          </w:tcPr>
          <w:p>
            <w:pPr>
              <w:pStyle w:val="Normal1"/>
              <w:widowControl w:val="false"/>
              <w:jc w:val="right"/>
              <w:rPr>
                <w:sz w:val="16"/>
                <w:szCs w:val="16"/>
              </w:rPr>
            </w:pPr>
            <w:r>
              <w:rPr>
                <w:sz w:val="12"/>
                <w:szCs w:val="12"/>
              </w:rPr>
              <w:t>149</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kraken:taxid|508771|NW_017384305.1</w:t>
            </w:r>
          </w:p>
        </w:tc>
        <w:tc>
          <w:tcPr>
            <w:tcW w:w="1470" w:type="dxa"/>
            <w:tcBorders/>
            <w:vAlign w:val="bottom"/>
          </w:tcPr>
          <w:p>
            <w:pPr>
              <w:pStyle w:val="Normal1"/>
              <w:widowControl w:val="false"/>
              <w:jc w:val="right"/>
              <w:rPr>
                <w:sz w:val="16"/>
                <w:szCs w:val="16"/>
              </w:rPr>
            </w:pPr>
            <w:r>
              <w:rPr>
                <w:sz w:val="12"/>
                <w:szCs w:val="12"/>
              </w:rPr>
              <w:t>740</w:t>
            </w:r>
          </w:p>
        </w:tc>
        <w:tc>
          <w:tcPr>
            <w:tcW w:w="1651" w:type="dxa"/>
            <w:tcBorders/>
            <w:vAlign w:val="bottom"/>
          </w:tcPr>
          <w:p>
            <w:pPr>
              <w:pStyle w:val="Normal1"/>
              <w:widowControl w:val="false"/>
              <w:jc w:val="right"/>
              <w:rPr>
                <w:sz w:val="16"/>
                <w:szCs w:val="16"/>
              </w:rPr>
            </w:pPr>
            <w:r>
              <w:rPr>
                <w:sz w:val="12"/>
                <w:szCs w:val="12"/>
              </w:rPr>
              <w:t>1</w:t>
            </w:r>
          </w:p>
        </w:tc>
        <w:tc>
          <w:tcPr>
            <w:tcW w:w="1754" w:type="dxa"/>
            <w:tcBorders/>
            <w:vAlign w:val="bottom"/>
          </w:tcPr>
          <w:p>
            <w:pPr>
              <w:pStyle w:val="Normal1"/>
              <w:widowControl w:val="false"/>
              <w:jc w:val="right"/>
              <w:rPr>
                <w:sz w:val="16"/>
                <w:szCs w:val="16"/>
              </w:rPr>
            </w:pPr>
            <w:r>
              <w:rPr>
                <w:sz w:val="12"/>
                <w:szCs w:val="12"/>
              </w:rPr>
              <w:t>254</w:t>
            </w:r>
          </w:p>
        </w:tc>
      </w:tr>
      <w:tr>
        <w:trPr>
          <w:trHeight w:val="238" w:hRule="atLeast"/>
        </w:trPr>
        <w:tc>
          <w:tcPr>
            <w:tcW w:w="4019" w:type="dxa"/>
            <w:tcBorders/>
            <w:vAlign w:val="bottom"/>
          </w:tcPr>
          <w:p>
            <w:pPr>
              <w:pStyle w:val="Normal1"/>
              <w:widowControl w:val="false"/>
              <w:rPr>
                <w:sz w:val="16"/>
                <w:szCs w:val="16"/>
              </w:rPr>
            </w:pPr>
            <w:r>
              <w:rPr>
                <w:sz w:val="12"/>
                <w:szCs w:val="12"/>
              </w:rPr>
              <w:t>kraken:taxid|508771|NW_017384721.1</w:t>
            </w:r>
          </w:p>
        </w:tc>
        <w:tc>
          <w:tcPr>
            <w:tcW w:w="1470" w:type="dxa"/>
            <w:tcBorders/>
            <w:vAlign w:val="bottom"/>
          </w:tcPr>
          <w:p>
            <w:pPr>
              <w:pStyle w:val="Normal1"/>
              <w:widowControl w:val="false"/>
              <w:jc w:val="right"/>
              <w:rPr>
                <w:sz w:val="16"/>
                <w:szCs w:val="16"/>
              </w:rPr>
            </w:pPr>
            <w:r>
              <w:rPr>
                <w:sz w:val="12"/>
                <w:szCs w:val="12"/>
              </w:rPr>
              <w:t>645</w:t>
            </w:r>
          </w:p>
        </w:tc>
        <w:tc>
          <w:tcPr>
            <w:tcW w:w="1651" w:type="dxa"/>
            <w:tcBorders/>
            <w:vAlign w:val="bottom"/>
          </w:tcPr>
          <w:p>
            <w:pPr>
              <w:pStyle w:val="Normal1"/>
              <w:widowControl w:val="false"/>
              <w:jc w:val="right"/>
              <w:rPr>
                <w:sz w:val="16"/>
                <w:szCs w:val="16"/>
              </w:rPr>
            </w:pPr>
            <w:r>
              <w:rPr>
                <w:sz w:val="12"/>
                <w:szCs w:val="12"/>
              </w:rPr>
              <w:t>1</w:t>
            </w:r>
          </w:p>
        </w:tc>
        <w:tc>
          <w:tcPr>
            <w:tcW w:w="1754" w:type="dxa"/>
            <w:tcBorders/>
            <w:vAlign w:val="bottom"/>
          </w:tcPr>
          <w:p>
            <w:pPr>
              <w:pStyle w:val="Normal1"/>
              <w:widowControl w:val="false"/>
              <w:jc w:val="right"/>
              <w:rPr>
                <w:sz w:val="16"/>
                <w:szCs w:val="16"/>
              </w:rPr>
            </w:pPr>
            <w:r>
              <w:rPr>
                <w:sz w:val="12"/>
                <w:szCs w:val="12"/>
              </w:rPr>
              <w:t>196</w:t>
            </w:r>
          </w:p>
        </w:tc>
      </w:tr>
      <w:tr>
        <w:trPr>
          <w:trHeight w:val="238" w:hRule="atLeast"/>
        </w:trPr>
        <w:tc>
          <w:tcPr>
            <w:tcW w:w="4019" w:type="dxa"/>
            <w:tcBorders>
              <w:bottom w:val="single" w:sz="8" w:space="0" w:color="000000"/>
            </w:tcBorders>
            <w:vAlign w:val="bottom"/>
          </w:tcPr>
          <w:p>
            <w:pPr>
              <w:pStyle w:val="Normal1"/>
              <w:widowControl w:val="false"/>
              <w:rPr>
                <w:sz w:val="16"/>
                <w:szCs w:val="16"/>
              </w:rPr>
            </w:pPr>
            <w:r>
              <w:rPr>
                <w:sz w:val="12"/>
                <w:szCs w:val="12"/>
              </w:rPr>
              <w:t>kraken:taxid|508771|NW_017384086.1</w:t>
            </w:r>
          </w:p>
        </w:tc>
        <w:tc>
          <w:tcPr>
            <w:tcW w:w="1470" w:type="dxa"/>
            <w:tcBorders>
              <w:bottom w:val="single" w:sz="8" w:space="0" w:color="000000"/>
            </w:tcBorders>
            <w:vAlign w:val="bottom"/>
          </w:tcPr>
          <w:p>
            <w:pPr>
              <w:pStyle w:val="Normal1"/>
              <w:widowControl w:val="false"/>
              <w:jc w:val="right"/>
              <w:rPr>
                <w:sz w:val="16"/>
                <w:szCs w:val="16"/>
              </w:rPr>
            </w:pPr>
            <w:r>
              <w:rPr>
                <w:sz w:val="12"/>
                <w:szCs w:val="12"/>
              </w:rPr>
              <w:t>880</w:t>
            </w:r>
          </w:p>
        </w:tc>
        <w:tc>
          <w:tcPr>
            <w:tcW w:w="1651" w:type="dxa"/>
            <w:tcBorders>
              <w:bottom w:val="single" w:sz="8" w:space="0" w:color="000000"/>
            </w:tcBorders>
            <w:vAlign w:val="bottom"/>
          </w:tcPr>
          <w:p>
            <w:pPr>
              <w:pStyle w:val="Normal1"/>
              <w:widowControl w:val="false"/>
              <w:jc w:val="right"/>
              <w:rPr>
                <w:sz w:val="16"/>
                <w:szCs w:val="16"/>
              </w:rPr>
            </w:pPr>
            <w:r>
              <w:rPr>
                <w:sz w:val="12"/>
                <w:szCs w:val="12"/>
              </w:rPr>
              <w:t>1</w:t>
            </w:r>
          </w:p>
        </w:tc>
        <w:tc>
          <w:tcPr>
            <w:tcW w:w="1754" w:type="dxa"/>
            <w:tcBorders>
              <w:bottom w:val="single" w:sz="8" w:space="0" w:color="000000"/>
            </w:tcBorders>
            <w:vAlign w:val="bottom"/>
          </w:tcPr>
          <w:p>
            <w:pPr>
              <w:pStyle w:val="Normal1"/>
              <w:widowControl w:val="false"/>
              <w:jc w:val="right"/>
              <w:rPr>
                <w:sz w:val="16"/>
                <w:szCs w:val="16"/>
              </w:rPr>
            </w:pPr>
            <w:r>
              <w:rPr>
                <w:sz w:val="12"/>
                <w:szCs w:val="12"/>
              </w:rPr>
              <w:t>790</w:t>
            </w:r>
          </w:p>
        </w:tc>
      </w:tr>
    </w:tbl>
    <w:p>
      <w:pPr>
        <w:pStyle w:val="Normal1"/>
        <w:spacing w:lineRule="auto" w:line="259" w:before="0" w:after="160"/>
        <w:rPr/>
      </w:pPr>
      <w:r>
        <w:rPr>
          <w:rFonts w:eastAsia="Calibri" w:cs="Calibri" w:ascii="Calibri" w:hAnsi="Calibri"/>
        </w:rPr>
        <w:t xml:space="preserve">Table: </w:t>
      </w:r>
      <w:r>
        <w:rPr>
          <w:rFonts w:eastAsia="Calibri" w:cs="Calibri" w:ascii="Calibri" w:hAnsi="Calibri"/>
          <w:b/>
        </w:rPr>
        <w:t xml:space="preserve">Alignment distribution for reads classified as Toxoplasma in samples where they were labeled as validated </w:t>
      </w:r>
      <w:r>
        <w:rPr>
          <w:rFonts w:eastAsia="Calibri" w:cs="Calibri" w:ascii="Calibri" w:hAnsi="Calibri"/>
        </w:rPr>
        <w:t>“Aligned Bases” reflects the number of query bases aligned for a given alignment. The table shows all reads in validated samples even if the individual reads did not pass the validation criteria.</w:t>
      </w:r>
    </w:p>
    <w:sectPr>
      <w:type w:val="nextPage"/>
      <w:pgSz w:w="12240" w:h="15840"/>
      <w:pgMar w:left="1440" w:right="1440" w:header="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swiss"/>
    <w:pitch w:val="variable"/>
  </w:font>
  <w:font w:name="Calibri">
    <w:charset w:val="01"/>
    <w:family w:val="roman"/>
    <w:pitch w:val="variable"/>
  </w:font>
</w:fonts>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en"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color w:val="666666"/>
      <w:sz w:val="22"/>
      <w:szCs w:val="22"/>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1" w:default="1">
    <w:name w:val="LO-normal"/>
    <w:qFormat/>
    <w:pPr>
      <w:widowControl/>
      <w:bidi w:val="0"/>
      <w:spacing w:lineRule="auto" w:line="276" w:before="0" w:after="0"/>
      <w:jc w:val="left"/>
    </w:pPr>
    <w:rPr>
      <w:rFonts w:ascii="Arial" w:hAnsi="Arial" w:eastAsia="Arial" w:cs="Arial"/>
      <w:color w:val="auto"/>
      <w:kern w:val="0"/>
      <w:sz w:val="22"/>
      <w:szCs w:val="22"/>
      <w:lang w:val="en"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color w:val="666666"/>
      <w:sz w:val="30"/>
      <w:szCs w:val="30"/>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LibreOffice/6.4.7.2$Linux_X86_64 LibreOffice_project/40$Build-2</Application>
  <Pages>1</Pages>
  <Words>294</Words>
  <Characters>2231</Characters>
  <CharactersWithSpaces>2406</CharactersWithSpaces>
  <Paragraphs>119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2023-12-14T09:06:33Z</dcterms:modified>
  <cp:revision>2</cp:revision>
  <dc:subject/>
  <dc:title/>
</cp:coreProperties>
</file>