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6D97" w:rsidRDefault="00994518" w:rsidP="00994518">
      <w:r>
        <w:rPr>
          <w:rFonts w:ascii="Times New Roman" w:hAnsi="Times New Roman" w:cs="Times New Roman"/>
          <w:noProof/>
          <w:szCs w:val="20"/>
          <w:lang w:val="en-US"/>
        </w:rPr>
        <w:drawing>
          <wp:inline distT="0" distB="0" distL="0" distR="0" wp14:anchorId="755D182C" wp14:editId="0F753537">
            <wp:extent cx="5676900" cy="3369382"/>
            <wp:effectExtent l="0" t="0" r="0" b="2540"/>
            <wp:docPr id="17" name="그림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1993" cy="33842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S1.</w:t>
      </w:r>
      <w:r w:rsidRPr="00487519">
        <w:rPr>
          <w:rFonts w:ascii="Calibri" w:hAnsi="Calibri" w:cs="Calibri"/>
          <w:szCs w:val="20"/>
        </w:rPr>
        <w:t xml:space="preserve"> Inhibition of PCR by a contact K-type thermocouple.</w:t>
      </w:r>
      <w:r w:rsidRPr="00487519">
        <w:rPr>
          <w:rFonts w:ascii="Calibri" w:hAnsi="Calibri" w:cs="Calibri"/>
        </w:rPr>
        <w:t xml:space="preserve"> </w:t>
      </w:r>
      <w:r w:rsidRPr="00487519">
        <w:rPr>
          <w:rFonts w:ascii="Calibri" w:hAnsi="Calibri" w:cs="Calibri"/>
          <w:szCs w:val="20"/>
        </w:rPr>
        <w:t>Photothermal PCR, where the temperature of the PCR mixture was measured using a non-contact pyrometer, resulted in a clear amplification band of lambda DNA. In contrast, using a contact K-type thermocouple for temperature measurement did not produce a distinct lamb</w:t>
      </w:r>
      <w:bookmarkStart w:id="0" w:name="_GoBack"/>
      <w:bookmarkEnd w:id="0"/>
      <w:r w:rsidRPr="00487519">
        <w:rPr>
          <w:rFonts w:ascii="Calibri" w:hAnsi="Calibri" w:cs="Calibri"/>
          <w:szCs w:val="20"/>
        </w:rPr>
        <w:t>da DNA amplification band.</w:t>
      </w:r>
      <w:r>
        <w:rPr>
          <w:rFonts w:ascii="Calibri" w:hAnsi="Calibri" w:cs="Calibri"/>
          <w:szCs w:val="20"/>
        </w:rPr>
        <w:t xml:space="preserve"> Lane </w:t>
      </w:r>
      <w:proofErr w:type="gramStart"/>
      <w:r>
        <w:rPr>
          <w:rFonts w:ascii="Calibri" w:hAnsi="Calibri" w:cs="Calibri"/>
          <w:szCs w:val="20"/>
        </w:rPr>
        <w:t>M :</w:t>
      </w:r>
      <w:proofErr w:type="gramEnd"/>
      <w:r>
        <w:rPr>
          <w:rFonts w:ascii="Calibri" w:hAnsi="Calibri" w:cs="Calibri"/>
          <w:szCs w:val="20"/>
        </w:rPr>
        <w:t xml:space="preserve"> 100 bp DNA ladder, Lane T : thermocouple, Lane P : pyrometer</w:t>
      </w:r>
    </w:p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5002B2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3B4D327E" wp14:editId="1B96E83D">
            <wp:extent cx="5731510" cy="4387215"/>
            <wp:effectExtent l="0" t="0" r="254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S2.</w:t>
      </w:r>
      <w:r w:rsidRPr="00487519">
        <w:rPr>
          <w:rFonts w:ascii="Calibri" w:hAnsi="Calibri" w:cs="Calibri"/>
          <w:szCs w:val="20"/>
        </w:rPr>
        <w:t xml:space="preserve"> To calibrate the non-contact pyrometer's temperature, photothermal PCR was conducted with concurrent temperature measurements of the PCR mixture using both the pyrometer and a contact K-type thermocouple. The calibration process involved adjusting the pyrometer's emissivity settings until its temperature readings aligned with those from the thermocouple.</w:t>
      </w:r>
    </w:p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7F0560C9" wp14:editId="0C5EF915">
            <wp:extent cx="5715000" cy="2670009"/>
            <wp:effectExtent l="0" t="0" r="0" b="0"/>
            <wp:docPr id="29" name="그림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317"/>
                    <a:stretch/>
                  </pic:blipFill>
                  <pic:spPr bwMode="auto">
                    <a:xfrm>
                      <a:off x="0" y="0"/>
                      <a:ext cx="5736224" cy="267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3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 xml:space="preserve">(a) TEM image of Au </w:t>
      </w:r>
      <w:proofErr w:type="spellStart"/>
      <w:r>
        <w:rPr>
          <w:rFonts w:ascii="Calibri" w:hAnsi="Calibri" w:cs="Calibri"/>
          <w:szCs w:val="20"/>
        </w:rPr>
        <w:t>nanoshells</w:t>
      </w:r>
      <w:proofErr w:type="spellEnd"/>
      <w:r>
        <w:rPr>
          <w:rFonts w:ascii="Calibri" w:hAnsi="Calibri" w:cs="Calibri"/>
          <w:szCs w:val="20"/>
        </w:rPr>
        <w:t xml:space="preserve"> (b) absorption spectrum of Au </w:t>
      </w:r>
      <w:proofErr w:type="spellStart"/>
      <w:r>
        <w:rPr>
          <w:rFonts w:ascii="Calibri" w:hAnsi="Calibri" w:cs="Calibri"/>
          <w:szCs w:val="20"/>
        </w:rPr>
        <w:t>nanoshell</w:t>
      </w:r>
      <w:proofErr w:type="spellEnd"/>
      <w:r>
        <w:rPr>
          <w:rFonts w:ascii="Calibri" w:hAnsi="Calibri" w:cs="Calibri"/>
          <w:szCs w:val="20"/>
        </w:rPr>
        <w:t xml:space="preserve"> solution.</w:t>
      </w:r>
    </w:p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31F9EF2E" wp14:editId="5C5981D0">
            <wp:extent cx="5720096" cy="3300095"/>
            <wp:effectExtent l="0" t="0" r="0" b="0"/>
            <wp:docPr id="23" name="그림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205" cy="3302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4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3(a).</w:t>
      </w:r>
    </w:p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4F361231" wp14:editId="6864C83A">
            <wp:extent cx="5731510" cy="3277870"/>
            <wp:effectExtent l="0" t="0" r="2540" b="0"/>
            <wp:docPr id="5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05440AAB-ED54-48CC-865A-53FDBE06A393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05440AAB-ED54-48CC-865A-53FDBE06A393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27" t="14567" r="12030" b="22941"/>
                    <a:stretch/>
                  </pic:blipFill>
                  <pic:spPr>
                    <a:xfrm>
                      <a:off x="0" y="0"/>
                      <a:ext cx="5731510" cy="3277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5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3(b).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6220B173" wp14:editId="1B446E02">
            <wp:extent cx="5731510" cy="3291205"/>
            <wp:effectExtent l="0" t="0" r="2540" b="4445"/>
            <wp:docPr id="24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D8226364-5849-450A-9DD2-94BC5AF09D29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D8226364-5849-450A-9DD2-94BC5AF09D29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627" t="17628" r="7332" b="20059"/>
                    <a:stretch/>
                  </pic:blipFill>
                  <pic:spPr>
                    <a:xfrm>
                      <a:off x="0" y="0"/>
                      <a:ext cx="5731510" cy="329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6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3(c).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491643C7" wp14:editId="76330321">
            <wp:extent cx="5731510" cy="3371215"/>
            <wp:effectExtent l="0" t="0" r="2540" b="635"/>
            <wp:docPr id="25" name="그림 1">
              <a:extLst xmlns:a="http://schemas.openxmlformats.org/drawingml/2006/main">
                <a:ext uri="{FF2B5EF4-FFF2-40B4-BE49-F238E27FC236}">
                  <a16:creationId xmlns:a16="http://schemas.microsoft.com/office/drawing/2014/main" id="{4C027BE6-68E3-49EF-80C6-A04FD42373CE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1">
                      <a:extLst>
                        <a:ext uri="{FF2B5EF4-FFF2-40B4-BE49-F238E27FC236}">
                          <a16:creationId xmlns:a16="http://schemas.microsoft.com/office/drawing/2014/main" id="{4C027BE6-68E3-49EF-80C6-A04FD42373CE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694" t="9159" r="4611" b="26514"/>
                    <a:stretch/>
                  </pic:blipFill>
                  <pic:spPr>
                    <a:xfrm>
                      <a:off x="0" y="0"/>
                      <a:ext cx="5731510" cy="337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7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3(d).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28095F3D" wp14:editId="0A9773E4">
            <wp:extent cx="5731510" cy="3446780"/>
            <wp:effectExtent l="0" t="0" r="2540" b="1270"/>
            <wp:docPr id="26" name="그림 4">
              <a:extLst xmlns:a="http://schemas.openxmlformats.org/drawingml/2006/main">
                <a:ext uri="{FF2B5EF4-FFF2-40B4-BE49-F238E27FC236}">
                  <a16:creationId xmlns:a16="http://schemas.microsoft.com/office/drawing/2014/main" id="{C75A0115-ECF3-4B99-AB90-C0327ED9FB35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그림 4">
                      <a:extLst>
                        <a:ext uri="{FF2B5EF4-FFF2-40B4-BE49-F238E27FC236}">
                          <a16:creationId xmlns:a16="http://schemas.microsoft.com/office/drawing/2014/main" id="{C75A0115-ECF3-4B99-AB90-C0327ED9FB35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019" t="12901" r="3742" b="20900"/>
                    <a:stretch/>
                  </pic:blipFill>
                  <pic:spPr>
                    <a:xfrm>
                      <a:off x="0" y="0"/>
                      <a:ext cx="5731510" cy="3446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8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3(e).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52FE25DD" wp14:editId="7AFF794E">
            <wp:extent cx="5731510" cy="3425190"/>
            <wp:effectExtent l="0" t="0" r="2540" b="3810"/>
            <wp:docPr id="27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27B718D-059A-457E-A538-51D0D4037521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27B718D-059A-457E-A538-51D0D4037521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52" t="12470" r="1782" b="21476"/>
                    <a:stretch/>
                  </pic:blipFill>
                  <pic:spPr>
                    <a:xfrm>
                      <a:off x="0" y="0"/>
                      <a:ext cx="5731510" cy="342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9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4(a).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11FE8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76678D4E" wp14:editId="7DA4DBD3">
            <wp:extent cx="5731510" cy="3540125"/>
            <wp:effectExtent l="0" t="0" r="2540" b="3175"/>
            <wp:docPr id="28" name="그림 3">
              <a:extLst xmlns:a="http://schemas.openxmlformats.org/drawingml/2006/main">
                <a:ext uri="{FF2B5EF4-FFF2-40B4-BE49-F238E27FC236}">
                  <a16:creationId xmlns:a16="http://schemas.microsoft.com/office/drawing/2014/main" id="{7847839F-69A8-4B6D-9DA3-DBC2CE399C84}"/>
                </a:ext>
              </a:extLst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3">
                      <a:extLst>
                        <a:ext uri="{FF2B5EF4-FFF2-40B4-BE49-F238E27FC236}">
                          <a16:creationId xmlns:a16="http://schemas.microsoft.com/office/drawing/2014/main" id="{7847839F-69A8-4B6D-9DA3-DBC2CE399C84}"/>
                        </a:ext>
                      </a:extLst>
                    </pic:cNvPr>
                    <pic:cNvPicPr>
                      <a:picLocks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130" t="16355" r="3196" b="15288"/>
                    <a:stretch/>
                  </pic:blipFill>
                  <pic:spPr>
                    <a:xfrm>
                      <a:off x="0" y="0"/>
                      <a:ext cx="5731510" cy="354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10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>Original gel image of Figure 4(b).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796EC1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2579F3BA" wp14:editId="5287FE16">
            <wp:extent cx="5731510" cy="4387215"/>
            <wp:effectExtent l="0" t="0" r="254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11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Increasing concentrations of gold </w:t>
      </w:r>
      <w:proofErr w:type="spellStart"/>
      <w:r w:rsidRPr="00487519">
        <w:rPr>
          <w:rFonts w:ascii="Calibri" w:hAnsi="Calibri" w:cs="Calibri"/>
          <w:szCs w:val="20"/>
        </w:rPr>
        <w:t>nanoshells</w:t>
      </w:r>
      <w:proofErr w:type="spellEnd"/>
      <w:r w:rsidRPr="00487519">
        <w:rPr>
          <w:rFonts w:ascii="Calibri" w:hAnsi="Calibri" w:cs="Calibri"/>
          <w:szCs w:val="20"/>
        </w:rPr>
        <w:t xml:space="preserve"> in the PCR mixture were found to correspond with a decrease in fluorescence signal intensity as measured by conventional qPCR equipment (</w:t>
      </w:r>
      <w:proofErr w:type="spellStart"/>
      <w:r w:rsidRPr="00487519">
        <w:rPr>
          <w:rFonts w:ascii="Calibri" w:hAnsi="Calibri" w:cs="Calibri"/>
          <w:szCs w:val="20"/>
        </w:rPr>
        <w:t>Quantstudio</w:t>
      </w:r>
      <w:proofErr w:type="spellEnd"/>
      <w:r w:rsidRPr="00487519">
        <w:rPr>
          <w:rFonts w:ascii="Calibri" w:hAnsi="Calibri" w:cs="Calibri"/>
          <w:szCs w:val="20"/>
        </w:rPr>
        <w:t xml:space="preserve"> 3, Thermo Fisher Scientific Inc., Waltham, MA, USA), indicative of the quenching effect of the </w:t>
      </w:r>
      <w:proofErr w:type="spellStart"/>
      <w:r w:rsidRPr="00487519">
        <w:rPr>
          <w:rFonts w:ascii="Calibri" w:hAnsi="Calibri" w:cs="Calibri"/>
          <w:szCs w:val="20"/>
        </w:rPr>
        <w:t>nanoshells</w:t>
      </w:r>
      <w:proofErr w:type="spellEnd"/>
      <w:r w:rsidRPr="00487519">
        <w:rPr>
          <w:rFonts w:ascii="Calibri" w:hAnsi="Calibri" w:cs="Calibri"/>
          <w:szCs w:val="20"/>
        </w:rPr>
        <w:t xml:space="preserve">. This phenomenon was especially evident in samples with a gold </w:t>
      </w:r>
      <w:proofErr w:type="spellStart"/>
      <w:r w:rsidRPr="00487519">
        <w:rPr>
          <w:rFonts w:ascii="Calibri" w:hAnsi="Calibri" w:cs="Calibri"/>
          <w:szCs w:val="20"/>
        </w:rPr>
        <w:t>nanoshell</w:t>
      </w:r>
      <w:proofErr w:type="spellEnd"/>
      <w:r w:rsidRPr="00487519">
        <w:rPr>
          <w:rFonts w:ascii="Calibri" w:hAnsi="Calibri" w:cs="Calibri"/>
          <w:szCs w:val="20"/>
        </w:rPr>
        <w:t xml:space="preserve"> concentration at an optical density (OD) of </w:t>
      </w:r>
      <w:r>
        <w:rPr>
          <w:rFonts w:ascii="Calibri" w:hAnsi="Calibri" w:cs="Calibri"/>
          <w:szCs w:val="20"/>
        </w:rPr>
        <w:t>4.5</w:t>
      </w:r>
      <w:r w:rsidRPr="00487519">
        <w:rPr>
          <w:rFonts w:ascii="Calibri" w:hAnsi="Calibri" w:cs="Calibri"/>
          <w:szCs w:val="20"/>
        </w:rPr>
        <w:t xml:space="preserve">, where the fluorescence signal intensity was approximately </w:t>
      </w:r>
      <w:r>
        <w:rPr>
          <w:rFonts w:ascii="Calibri" w:hAnsi="Calibri" w:cs="Calibri"/>
          <w:szCs w:val="20"/>
        </w:rPr>
        <w:t>40%</w:t>
      </w:r>
      <w:r w:rsidRPr="00487519">
        <w:rPr>
          <w:rFonts w:ascii="Calibri" w:hAnsi="Calibri" w:cs="Calibri"/>
          <w:szCs w:val="20"/>
        </w:rPr>
        <w:t xml:space="preserve"> compared to that in samples devoid of gold </w:t>
      </w:r>
      <w:proofErr w:type="spellStart"/>
      <w:r w:rsidRPr="00487519">
        <w:rPr>
          <w:rFonts w:ascii="Calibri" w:hAnsi="Calibri" w:cs="Calibri"/>
          <w:szCs w:val="20"/>
        </w:rPr>
        <w:t>nanoshells</w:t>
      </w:r>
      <w:proofErr w:type="spellEnd"/>
      <w:r w:rsidRPr="00487519">
        <w:rPr>
          <w:rFonts w:ascii="Calibri" w:hAnsi="Calibri" w:cs="Calibri"/>
          <w:szCs w:val="20"/>
        </w:rPr>
        <w:t>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7E2CCAB9" wp14:editId="176A1D36">
            <wp:extent cx="5692682" cy="4317365"/>
            <wp:effectExtent l="0" t="0" r="3810" b="6985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726" cy="43302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94518" w:rsidRPr="00487519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12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 w:rsidRPr="000254D5">
        <w:rPr>
          <w:rFonts w:ascii="Calibri" w:hAnsi="Calibri" w:cs="Calibri"/>
          <w:szCs w:val="20"/>
        </w:rPr>
        <w:t xml:space="preserve">Variations in PCR </w:t>
      </w:r>
      <w:r>
        <w:rPr>
          <w:rFonts w:ascii="Calibri" w:hAnsi="Calibri" w:cs="Calibri"/>
          <w:szCs w:val="20"/>
        </w:rPr>
        <w:t>a</w:t>
      </w:r>
      <w:r w:rsidRPr="000254D5">
        <w:rPr>
          <w:rFonts w:ascii="Calibri" w:hAnsi="Calibri" w:cs="Calibri"/>
          <w:szCs w:val="20"/>
        </w:rPr>
        <w:t xml:space="preserve">mplification </w:t>
      </w:r>
      <w:r>
        <w:rPr>
          <w:rFonts w:ascii="Calibri" w:hAnsi="Calibri" w:cs="Calibri"/>
          <w:szCs w:val="20"/>
        </w:rPr>
        <w:t>c</w:t>
      </w:r>
      <w:r w:rsidRPr="000254D5">
        <w:rPr>
          <w:rFonts w:ascii="Calibri" w:hAnsi="Calibri" w:cs="Calibri"/>
          <w:szCs w:val="20"/>
        </w:rPr>
        <w:t xml:space="preserve">urves </w:t>
      </w:r>
      <w:r>
        <w:rPr>
          <w:rFonts w:ascii="Calibri" w:hAnsi="Calibri" w:cs="Calibri"/>
          <w:szCs w:val="20"/>
        </w:rPr>
        <w:t>b</w:t>
      </w:r>
      <w:r w:rsidRPr="000254D5">
        <w:rPr>
          <w:rFonts w:ascii="Calibri" w:hAnsi="Calibri" w:cs="Calibri"/>
          <w:szCs w:val="20"/>
        </w:rPr>
        <w:t xml:space="preserve">ased on </w:t>
      </w:r>
      <w:r>
        <w:rPr>
          <w:rFonts w:ascii="Calibri" w:hAnsi="Calibri" w:cs="Calibri"/>
          <w:szCs w:val="20"/>
        </w:rPr>
        <w:t>p</w:t>
      </w:r>
      <w:r w:rsidRPr="000254D5">
        <w:rPr>
          <w:rFonts w:ascii="Calibri" w:hAnsi="Calibri" w:cs="Calibri"/>
          <w:szCs w:val="20"/>
        </w:rPr>
        <w:t xml:space="preserve">hotothermal qPCR </w:t>
      </w:r>
      <w:r>
        <w:rPr>
          <w:rFonts w:ascii="Calibri" w:hAnsi="Calibri" w:cs="Calibri"/>
          <w:szCs w:val="20"/>
        </w:rPr>
        <w:t>c</w:t>
      </w:r>
      <w:r w:rsidRPr="000254D5">
        <w:rPr>
          <w:rFonts w:ascii="Calibri" w:hAnsi="Calibri" w:cs="Calibri"/>
          <w:szCs w:val="20"/>
        </w:rPr>
        <w:t xml:space="preserve">ycle </w:t>
      </w:r>
      <w:r>
        <w:rPr>
          <w:rFonts w:ascii="Calibri" w:hAnsi="Calibri" w:cs="Calibri"/>
          <w:szCs w:val="20"/>
        </w:rPr>
        <w:t>c</w:t>
      </w:r>
      <w:r w:rsidRPr="000254D5">
        <w:rPr>
          <w:rFonts w:ascii="Calibri" w:hAnsi="Calibri" w:cs="Calibri"/>
          <w:szCs w:val="20"/>
        </w:rPr>
        <w:t xml:space="preserve">onditions: (a) </w:t>
      </w:r>
      <w:r>
        <w:rPr>
          <w:rFonts w:ascii="Calibri" w:hAnsi="Calibri" w:cs="Calibri"/>
          <w:szCs w:val="20"/>
        </w:rPr>
        <w:t>d</w:t>
      </w:r>
      <w:r w:rsidRPr="000254D5">
        <w:rPr>
          <w:rFonts w:ascii="Calibri" w:hAnsi="Calibri" w:cs="Calibri"/>
          <w:szCs w:val="20"/>
        </w:rPr>
        <w:t xml:space="preserve">enaturation </w:t>
      </w:r>
      <w:r>
        <w:rPr>
          <w:rFonts w:ascii="Calibri" w:hAnsi="Calibri" w:cs="Calibri"/>
          <w:szCs w:val="20"/>
        </w:rPr>
        <w:t>t</w:t>
      </w:r>
      <w:r w:rsidRPr="000254D5">
        <w:rPr>
          <w:rFonts w:ascii="Calibri" w:hAnsi="Calibri" w:cs="Calibri"/>
          <w:szCs w:val="20"/>
        </w:rPr>
        <w:t xml:space="preserve">emperature, (b) </w:t>
      </w:r>
      <w:r>
        <w:rPr>
          <w:rFonts w:ascii="Calibri" w:hAnsi="Calibri" w:cs="Calibri"/>
          <w:szCs w:val="20"/>
        </w:rPr>
        <w:t>d</w:t>
      </w:r>
      <w:r w:rsidRPr="000254D5">
        <w:rPr>
          <w:rFonts w:ascii="Calibri" w:hAnsi="Calibri" w:cs="Calibri"/>
          <w:szCs w:val="20"/>
        </w:rPr>
        <w:t xml:space="preserve">enaturation </w:t>
      </w:r>
      <w:r>
        <w:rPr>
          <w:rFonts w:ascii="Calibri" w:hAnsi="Calibri" w:cs="Calibri"/>
          <w:szCs w:val="20"/>
        </w:rPr>
        <w:t>t</w:t>
      </w:r>
      <w:r w:rsidRPr="000254D5">
        <w:rPr>
          <w:rFonts w:ascii="Calibri" w:hAnsi="Calibri" w:cs="Calibri"/>
          <w:szCs w:val="20"/>
        </w:rPr>
        <w:t xml:space="preserve">ime, (c) </w:t>
      </w:r>
      <w:r>
        <w:rPr>
          <w:rFonts w:ascii="Calibri" w:hAnsi="Calibri" w:cs="Calibri"/>
          <w:szCs w:val="20"/>
        </w:rPr>
        <w:t>e</w:t>
      </w:r>
      <w:r w:rsidRPr="000254D5">
        <w:rPr>
          <w:rFonts w:ascii="Calibri" w:hAnsi="Calibri" w:cs="Calibri"/>
          <w:szCs w:val="20"/>
        </w:rPr>
        <w:t xml:space="preserve">xtension </w:t>
      </w:r>
      <w:r>
        <w:rPr>
          <w:rFonts w:ascii="Calibri" w:hAnsi="Calibri" w:cs="Calibri"/>
          <w:szCs w:val="20"/>
        </w:rPr>
        <w:t>t</w:t>
      </w:r>
      <w:r w:rsidRPr="000254D5">
        <w:rPr>
          <w:rFonts w:ascii="Calibri" w:hAnsi="Calibri" w:cs="Calibri"/>
          <w:szCs w:val="20"/>
        </w:rPr>
        <w:t xml:space="preserve">emperature, and (d) </w:t>
      </w:r>
      <w:r>
        <w:rPr>
          <w:rFonts w:ascii="Calibri" w:hAnsi="Calibri" w:cs="Calibri"/>
          <w:szCs w:val="20"/>
        </w:rPr>
        <w:t>e</w:t>
      </w:r>
      <w:r w:rsidRPr="000254D5">
        <w:rPr>
          <w:rFonts w:ascii="Calibri" w:hAnsi="Calibri" w:cs="Calibri"/>
          <w:szCs w:val="20"/>
        </w:rPr>
        <w:t xml:space="preserve">xtension </w:t>
      </w:r>
      <w:r>
        <w:rPr>
          <w:rFonts w:ascii="Calibri" w:hAnsi="Calibri" w:cs="Calibri"/>
          <w:szCs w:val="20"/>
        </w:rPr>
        <w:t>t</w:t>
      </w:r>
      <w:r w:rsidRPr="000254D5">
        <w:rPr>
          <w:rFonts w:ascii="Calibri" w:hAnsi="Calibri" w:cs="Calibri"/>
          <w:szCs w:val="20"/>
        </w:rPr>
        <w:t>ime.</w:t>
      </w:r>
    </w:p>
    <w:p w:rsidR="00994518" w:rsidRP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>
      <w:r w:rsidRPr="00FD36A7">
        <w:rPr>
          <w:rFonts w:ascii="Times New Roman" w:hAnsi="Times New Roman" w:cs="Times New Roman"/>
          <w:noProof/>
          <w:szCs w:val="20"/>
          <w:lang w:val="en-US"/>
        </w:rPr>
        <w:lastRenderedPageBreak/>
        <w:drawing>
          <wp:inline distT="0" distB="0" distL="0" distR="0" wp14:anchorId="0AFC6F7C" wp14:editId="114D8E57">
            <wp:extent cx="5731510" cy="4387215"/>
            <wp:effectExtent l="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94518" w:rsidRDefault="00994518" w:rsidP="00994518">
      <w:pPr>
        <w:rPr>
          <w:rFonts w:ascii="Calibri" w:hAnsi="Calibri" w:cs="Calibri"/>
          <w:szCs w:val="20"/>
        </w:rPr>
      </w:pPr>
      <w:r w:rsidRPr="00487519">
        <w:rPr>
          <w:rFonts w:ascii="Calibri" w:hAnsi="Calibri" w:cs="Calibri"/>
          <w:b/>
          <w:szCs w:val="20"/>
        </w:rPr>
        <w:t>Figure S</w:t>
      </w:r>
      <w:r>
        <w:rPr>
          <w:rFonts w:ascii="Calibri" w:hAnsi="Calibri" w:cs="Calibri"/>
          <w:b/>
          <w:szCs w:val="20"/>
        </w:rPr>
        <w:t>13</w:t>
      </w:r>
      <w:r w:rsidRPr="00487519">
        <w:rPr>
          <w:rFonts w:ascii="Calibri" w:hAnsi="Calibri" w:cs="Calibri"/>
          <w:b/>
          <w:szCs w:val="20"/>
        </w:rPr>
        <w:t>.</w:t>
      </w:r>
      <w:r w:rsidRPr="00487519">
        <w:rPr>
          <w:rFonts w:ascii="Calibri" w:hAnsi="Calibri" w:cs="Calibri"/>
          <w:szCs w:val="20"/>
        </w:rPr>
        <w:t xml:space="preserve"> </w:t>
      </w:r>
      <w:r>
        <w:rPr>
          <w:rFonts w:ascii="Calibri" w:hAnsi="Calibri" w:cs="Calibri"/>
          <w:szCs w:val="20"/>
        </w:rPr>
        <w:t xml:space="preserve">In </w:t>
      </w:r>
      <w:r w:rsidRPr="000254D5">
        <w:rPr>
          <w:rFonts w:ascii="Calibri" w:hAnsi="Calibri" w:cs="Calibri"/>
          <w:szCs w:val="20"/>
        </w:rPr>
        <w:t xml:space="preserve">photothermal PCR, samples containing a high concentration of gold </w:t>
      </w:r>
      <w:proofErr w:type="spellStart"/>
      <w:r w:rsidRPr="000254D5">
        <w:rPr>
          <w:rFonts w:ascii="Calibri" w:hAnsi="Calibri" w:cs="Calibri"/>
          <w:szCs w:val="20"/>
        </w:rPr>
        <w:t>nanoshells</w:t>
      </w:r>
      <w:proofErr w:type="spellEnd"/>
      <w:r w:rsidRPr="000254D5">
        <w:rPr>
          <w:rFonts w:ascii="Calibri" w:hAnsi="Calibri" w:cs="Calibri"/>
          <w:szCs w:val="20"/>
        </w:rPr>
        <w:t xml:space="preserve"> were effectively amplified, despite the lowered fluorescence signal intensity resulting from the </w:t>
      </w:r>
      <w:proofErr w:type="spellStart"/>
      <w:r w:rsidRPr="000254D5">
        <w:rPr>
          <w:rFonts w:ascii="Calibri" w:hAnsi="Calibri" w:cs="Calibri"/>
          <w:szCs w:val="20"/>
        </w:rPr>
        <w:t>nanoshells</w:t>
      </w:r>
      <w:proofErr w:type="spellEnd"/>
      <w:r w:rsidRPr="000254D5">
        <w:rPr>
          <w:rFonts w:ascii="Calibri" w:hAnsi="Calibri" w:cs="Calibri"/>
          <w:szCs w:val="20"/>
        </w:rPr>
        <w:t>' quenching effect.</w:t>
      </w:r>
    </w:p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Default="00994518" w:rsidP="00994518"/>
    <w:p w:rsidR="00994518" w:rsidRPr="00994518" w:rsidRDefault="00994518" w:rsidP="00994518"/>
    <w:p w:rsidR="00994518" w:rsidRDefault="00994518" w:rsidP="00994518"/>
    <w:p w:rsidR="00994518" w:rsidRPr="000254D5" w:rsidRDefault="00994518" w:rsidP="00994518">
      <w:pPr>
        <w:rPr>
          <w:rFonts w:ascii="Calibri" w:hAnsi="Calibri" w:cs="Calibri"/>
          <w:szCs w:val="20"/>
        </w:rPr>
      </w:pPr>
      <w:r w:rsidRPr="000254D5">
        <w:rPr>
          <w:rFonts w:ascii="Calibri" w:hAnsi="Calibri" w:cs="Calibri"/>
          <w:szCs w:val="20"/>
        </w:rPr>
        <w:lastRenderedPageBreak/>
        <w:t>Table S1. Primers and probes used in this study</w:t>
      </w:r>
    </w:p>
    <w:tbl>
      <w:tblPr>
        <w:tblW w:w="8574" w:type="dxa"/>
        <w:tblInd w:w="99" w:type="dxa"/>
        <w:tblBorders>
          <w:top w:val="single" w:sz="4" w:space="0" w:color="auto"/>
          <w:bottom w:val="single" w:sz="4" w:space="0" w:color="auto"/>
        </w:tblBorders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480"/>
        <w:gridCol w:w="4094"/>
      </w:tblGrid>
      <w:tr w:rsidR="00994518" w:rsidRPr="000254D5" w:rsidTr="00B36421">
        <w:trPr>
          <w:trHeight w:val="330"/>
        </w:trPr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Name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Sequence (5' to 3')</w:t>
            </w:r>
          </w:p>
        </w:tc>
      </w:tr>
      <w:tr w:rsidR="00994518" w:rsidRPr="000254D5" w:rsidTr="00B36421">
        <w:trPr>
          <w:trHeight w:val="330"/>
        </w:trPr>
        <w:tc>
          <w:tcPr>
            <w:tcW w:w="44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Lam</w:t>
            </w:r>
            <w:r>
              <w:rPr>
                <w:rFonts w:ascii="Calibri" w:eastAsia="맑은 고딕" w:hAnsi="Calibri" w:cs="Calibri"/>
                <w:color w:val="000000"/>
                <w:szCs w:val="20"/>
              </w:rPr>
              <w:t>b</w:t>
            </w: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da forward primer</w:t>
            </w:r>
          </w:p>
        </w:tc>
        <w:tc>
          <w:tcPr>
            <w:tcW w:w="409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CATCGTCTGCCTGTCATGGGCTGTTAAT</w:t>
            </w:r>
          </w:p>
        </w:tc>
      </w:tr>
      <w:tr w:rsidR="00994518" w:rsidRPr="000254D5" w:rsidTr="00B36421">
        <w:trPr>
          <w:trHeight w:val="330"/>
        </w:trPr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Lam</w:t>
            </w:r>
            <w:r>
              <w:rPr>
                <w:rFonts w:ascii="Calibri" w:eastAsia="맑은 고딕" w:hAnsi="Calibri" w:cs="Calibri"/>
                <w:color w:val="000000"/>
                <w:szCs w:val="20"/>
              </w:rPr>
              <w:t>b</w:t>
            </w: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da reverse primer</w:t>
            </w:r>
          </w:p>
        </w:tc>
        <w:tc>
          <w:tcPr>
            <w:tcW w:w="409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TCGCCAGCTTCAGTTCTCTGGCATTT</w:t>
            </w:r>
          </w:p>
        </w:tc>
      </w:tr>
      <w:tr w:rsidR="00994518" w:rsidRPr="000254D5" w:rsidTr="00B36421">
        <w:trPr>
          <w:trHeight w:val="330"/>
        </w:trPr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proofErr w:type="spellStart"/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Taqman</w:t>
            </w:r>
            <w:proofErr w:type="spellEnd"/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 xml:space="preserve"> probe</w:t>
            </w:r>
          </w:p>
        </w:tc>
        <w:tc>
          <w:tcPr>
            <w:tcW w:w="409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994518" w:rsidRPr="000254D5" w:rsidRDefault="00994518" w:rsidP="00B36421">
            <w:pPr>
              <w:spacing w:line="240" w:lineRule="auto"/>
              <w:rPr>
                <w:rFonts w:ascii="Calibri" w:eastAsia="맑은 고딕" w:hAnsi="Calibri" w:cs="Calibri"/>
                <w:color w:val="000000"/>
                <w:szCs w:val="20"/>
              </w:rPr>
            </w:pPr>
            <w:r w:rsidRPr="000254D5">
              <w:rPr>
                <w:rFonts w:ascii="Calibri" w:eastAsia="맑은 고딕" w:hAnsi="Calibri" w:cs="Calibri"/>
                <w:color w:val="000000"/>
                <w:szCs w:val="20"/>
              </w:rPr>
              <w:t>TGATAACGCATTACCTACAAAGCCCAGCG</w:t>
            </w:r>
          </w:p>
        </w:tc>
      </w:tr>
    </w:tbl>
    <w:p w:rsidR="00994518" w:rsidRPr="00994518" w:rsidRDefault="00994518" w:rsidP="00994518"/>
    <w:sectPr w:rsidR="00994518" w:rsidRPr="00994518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15A53" w:rsidRDefault="00E15A53" w:rsidP="00EF4FB4">
      <w:pPr>
        <w:spacing w:line="240" w:lineRule="auto"/>
      </w:pPr>
      <w:r>
        <w:separator/>
      </w:r>
    </w:p>
  </w:endnote>
  <w:endnote w:type="continuationSeparator" w:id="0">
    <w:p w:rsidR="00E15A53" w:rsidRDefault="00E15A53" w:rsidP="00EF4F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15A53" w:rsidRDefault="00E15A53" w:rsidP="00EF4FB4">
      <w:pPr>
        <w:spacing w:line="240" w:lineRule="auto"/>
      </w:pPr>
      <w:r>
        <w:separator/>
      </w:r>
    </w:p>
  </w:footnote>
  <w:footnote w:type="continuationSeparator" w:id="0">
    <w:p w:rsidR="00E15A53" w:rsidRDefault="00E15A53" w:rsidP="00EF4FB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518"/>
    <w:rsid w:val="0054023D"/>
    <w:rsid w:val="006941A7"/>
    <w:rsid w:val="00994518"/>
    <w:rsid w:val="009A1D89"/>
    <w:rsid w:val="00C51721"/>
    <w:rsid w:val="00C8073A"/>
    <w:rsid w:val="00E15A53"/>
    <w:rsid w:val="00E703E6"/>
    <w:rsid w:val="00EF4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4D8F4BE-EFC9-4C17-92CB-BB0E52922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94518"/>
    <w:pPr>
      <w:spacing w:after="0" w:line="276" w:lineRule="auto"/>
      <w:jc w:val="left"/>
    </w:pPr>
    <w:rPr>
      <w:rFonts w:ascii="Arial" w:hAnsi="Arial" w:cs="Arial"/>
      <w:kern w:val="0"/>
      <w:sz w:val="22"/>
      <w:lang w:val="e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4FB4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EF4FB4"/>
    <w:rPr>
      <w:rFonts w:ascii="Arial" w:hAnsi="Arial" w:cs="Arial"/>
      <w:kern w:val="0"/>
      <w:sz w:val="22"/>
      <w:lang w:val="en"/>
    </w:rPr>
  </w:style>
  <w:style w:type="paragraph" w:styleId="a4">
    <w:name w:val="footer"/>
    <w:basedOn w:val="a"/>
    <w:link w:val="Char0"/>
    <w:uiPriority w:val="99"/>
    <w:unhideWhenUsed/>
    <w:rsid w:val="00EF4FB4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EF4FB4"/>
    <w:rPr>
      <w:rFonts w:ascii="Arial" w:hAnsi="Arial" w:cs="Arial"/>
      <w:kern w:val="0"/>
      <w:sz w:val="22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tif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tif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tif"/><Relationship Id="rId5" Type="http://schemas.openxmlformats.org/officeDocument/2006/relationships/endnotes" Target="endnotes.xml"/><Relationship Id="rId15" Type="http://schemas.openxmlformats.org/officeDocument/2006/relationships/image" Target="media/image10.tif"/><Relationship Id="rId10" Type="http://schemas.openxmlformats.org/officeDocument/2006/relationships/image" Target="media/image5.tif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tif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409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안재성</dc:creator>
  <cp:keywords/>
  <dc:description/>
  <cp:lastModifiedBy>안재성</cp:lastModifiedBy>
  <cp:revision>5</cp:revision>
  <dcterms:created xsi:type="dcterms:W3CDTF">2024-01-25T02:12:00Z</dcterms:created>
  <dcterms:modified xsi:type="dcterms:W3CDTF">2024-01-25T02:21:00Z</dcterms:modified>
</cp:coreProperties>
</file>