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B4E4C" w14:textId="7A971CDF" w:rsidR="00016469" w:rsidRPr="00016469" w:rsidRDefault="00016469">
      <w:pPr>
        <w:rPr>
          <w:rFonts w:ascii="Times New Roman" w:hAnsi="Times New Roman" w:cs="Times New Roman"/>
          <w:b/>
          <w:bCs/>
          <w:lang w:val="hr-HR"/>
        </w:rPr>
      </w:pPr>
      <w:proofErr w:type="spellStart"/>
      <w:r w:rsidRPr="00016469">
        <w:rPr>
          <w:rFonts w:ascii="Times New Roman" w:hAnsi="Times New Roman" w:cs="Times New Roman"/>
          <w:b/>
          <w:bCs/>
          <w:lang w:val="hr-HR"/>
        </w:rPr>
        <w:t>Supplementary</w:t>
      </w:r>
      <w:proofErr w:type="spellEnd"/>
      <w:r w:rsidRPr="00016469">
        <w:rPr>
          <w:rFonts w:ascii="Times New Roman" w:hAnsi="Times New Roman" w:cs="Times New Roman"/>
          <w:b/>
          <w:bCs/>
          <w:lang w:val="hr-HR"/>
        </w:rPr>
        <w:t xml:space="preserve"> </w:t>
      </w:r>
      <w:proofErr w:type="spellStart"/>
      <w:r w:rsidRPr="00016469">
        <w:rPr>
          <w:rFonts w:ascii="Times New Roman" w:hAnsi="Times New Roman" w:cs="Times New Roman"/>
          <w:b/>
          <w:bCs/>
          <w:lang w:val="hr-HR"/>
        </w:rPr>
        <w:t>material</w:t>
      </w:r>
      <w:proofErr w:type="spellEnd"/>
    </w:p>
    <w:p w14:paraId="0677F15B" w14:textId="77777777" w:rsidR="00016469" w:rsidRPr="00016469" w:rsidRDefault="00016469">
      <w:pPr>
        <w:rPr>
          <w:rFonts w:ascii="Times New Roman" w:hAnsi="Times New Roman" w:cs="Times New Roman"/>
          <w:lang w:val="hr-HR"/>
        </w:rPr>
      </w:pPr>
    </w:p>
    <w:p w14:paraId="4C75F19B" w14:textId="025A7590" w:rsidR="00016469" w:rsidRPr="00CA7760" w:rsidRDefault="00016469">
      <w:pPr>
        <w:rPr>
          <w:rFonts w:ascii="Times New Roman" w:hAnsi="Times New Roman" w:cs="Times New Roman"/>
          <w:b/>
          <w:bCs/>
          <w:lang w:val="hr-HR"/>
        </w:rPr>
      </w:pPr>
      <w:proofErr w:type="spellStart"/>
      <w:r w:rsidRPr="00CA7760">
        <w:rPr>
          <w:rFonts w:ascii="Times New Roman" w:hAnsi="Times New Roman" w:cs="Times New Roman"/>
          <w:b/>
          <w:bCs/>
          <w:lang w:val="hr-HR"/>
        </w:rPr>
        <w:t>Detailed</w:t>
      </w:r>
      <w:proofErr w:type="spellEnd"/>
      <w:r w:rsidRPr="00CA7760">
        <w:rPr>
          <w:rFonts w:ascii="Times New Roman" w:hAnsi="Times New Roman" w:cs="Times New Roman"/>
          <w:b/>
          <w:bCs/>
          <w:lang w:val="hr-HR"/>
        </w:rPr>
        <w:t xml:space="preserve"> </w:t>
      </w:r>
      <w:proofErr w:type="spellStart"/>
      <w:r w:rsidRPr="00CA7760">
        <w:rPr>
          <w:rFonts w:ascii="Times New Roman" w:hAnsi="Times New Roman" w:cs="Times New Roman"/>
          <w:b/>
          <w:bCs/>
          <w:lang w:val="hr-HR"/>
        </w:rPr>
        <w:t>computerized</w:t>
      </w:r>
      <w:proofErr w:type="spellEnd"/>
      <w:r w:rsidRPr="00CA7760">
        <w:rPr>
          <w:rFonts w:ascii="Times New Roman" w:hAnsi="Times New Roman" w:cs="Times New Roman"/>
          <w:b/>
          <w:bCs/>
          <w:lang w:val="hr-HR"/>
        </w:rPr>
        <w:t xml:space="preserve"> </w:t>
      </w:r>
      <w:proofErr w:type="spellStart"/>
      <w:r w:rsidRPr="00CA7760">
        <w:rPr>
          <w:rFonts w:ascii="Times New Roman" w:hAnsi="Times New Roman" w:cs="Times New Roman"/>
          <w:b/>
          <w:bCs/>
          <w:lang w:val="hr-HR"/>
        </w:rPr>
        <w:t>task</w:t>
      </w:r>
      <w:proofErr w:type="spellEnd"/>
      <w:r w:rsidRPr="00CA7760">
        <w:rPr>
          <w:rFonts w:ascii="Times New Roman" w:hAnsi="Times New Roman" w:cs="Times New Roman"/>
          <w:b/>
          <w:bCs/>
          <w:lang w:val="hr-HR"/>
        </w:rPr>
        <w:t xml:space="preserve"> </w:t>
      </w:r>
      <w:proofErr w:type="spellStart"/>
      <w:r w:rsidRPr="00CA7760">
        <w:rPr>
          <w:rFonts w:ascii="Times New Roman" w:hAnsi="Times New Roman" w:cs="Times New Roman"/>
          <w:b/>
          <w:bCs/>
          <w:lang w:val="hr-HR"/>
        </w:rPr>
        <w:t>battery</w:t>
      </w:r>
      <w:proofErr w:type="spellEnd"/>
      <w:r w:rsidRPr="00CA7760">
        <w:rPr>
          <w:rFonts w:ascii="Times New Roman" w:hAnsi="Times New Roman" w:cs="Times New Roman"/>
          <w:b/>
          <w:bCs/>
          <w:lang w:val="hr-HR"/>
        </w:rPr>
        <w:t xml:space="preserve"> </w:t>
      </w:r>
      <w:proofErr w:type="spellStart"/>
      <w:r w:rsidRPr="00CA7760">
        <w:rPr>
          <w:rFonts w:ascii="Times New Roman" w:hAnsi="Times New Roman" w:cs="Times New Roman"/>
          <w:b/>
          <w:bCs/>
          <w:lang w:val="hr-HR"/>
        </w:rPr>
        <w:t>description</w:t>
      </w:r>
      <w:proofErr w:type="spellEnd"/>
    </w:p>
    <w:p w14:paraId="08A18DB7" w14:textId="77777777" w:rsidR="00016469" w:rsidRDefault="00016469" w:rsidP="00016469">
      <w:pPr>
        <w:pStyle w:val="Normale1"/>
        <w:spacing w:line="276" w:lineRule="auto"/>
        <w:jc w:val="both"/>
        <w:rPr>
          <w:rFonts w:ascii="Times New Roman" w:eastAsia="Times New Roman" w:hAnsi="Times New Roman" w:cs="Times New Roman"/>
          <w:b/>
          <w:color w:val="000000" w:themeColor="text1"/>
        </w:rPr>
      </w:pPr>
    </w:p>
    <w:p w14:paraId="32723FBC" w14:textId="73851C54" w:rsidR="00016469" w:rsidRPr="00CC4123" w:rsidRDefault="00016469" w:rsidP="00016469">
      <w:pPr>
        <w:pStyle w:val="Normale1"/>
        <w:spacing w:line="276" w:lineRule="auto"/>
        <w:jc w:val="both"/>
        <w:rPr>
          <w:rFonts w:ascii="Times New Roman" w:eastAsia="Times New Roman" w:hAnsi="Times New Roman" w:cs="Times New Roman"/>
          <w:color w:val="000000" w:themeColor="text1"/>
        </w:rPr>
      </w:pPr>
      <w:r w:rsidRPr="00CC4123">
        <w:rPr>
          <w:rFonts w:ascii="Times New Roman" w:eastAsia="Times New Roman" w:hAnsi="Times New Roman" w:cs="Times New Roman"/>
          <w:b/>
          <w:color w:val="000000" w:themeColor="text1"/>
        </w:rPr>
        <w:t>Working memory capacity.</w:t>
      </w:r>
      <w:r w:rsidRPr="00CC4123">
        <w:rPr>
          <w:rFonts w:ascii="Times New Roman" w:eastAsia="Times New Roman" w:hAnsi="Times New Roman" w:cs="Times New Roman"/>
          <w:color w:val="000000" w:themeColor="text1"/>
        </w:rPr>
        <w:t xml:space="preserve"> To evaluate working memory capacity, we employed shortened versions of the Operation and Symmetry span tasks. In the Operation Span task, participants were presented with a series of arithmetic operations and asked to judge their validity, while in the Symmetry Span task, participants were presented with 8x8 matrices of black and white squares and had to determine their vertical axis symmetry. After each arithmetic operation or matrix presentation, participants were required to remember a specific element (a letter in the Operation Span task and a red square in the Symmetry Span task) for later recall. The Operation Span task had set sizes ranging from 4 to 6, administered two times, resulting in 30 operation-storage pairs. On the other hand, the Symmetry Span task had set sizes ranging from 3 to 5, also administered two times, resulting in 24 symmetry-storage pairs. For both tasks, the performance measure was the partial span score, which was calculated as the total number of items accurately recalled in their correct serial position.</w:t>
      </w:r>
    </w:p>
    <w:p w14:paraId="02A1C75A" w14:textId="77777777" w:rsidR="00016469" w:rsidRPr="00CC4123" w:rsidRDefault="00016469" w:rsidP="00016469">
      <w:pPr>
        <w:pStyle w:val="Normale1"/>
        <w:spacing w:line="276" w:lineRule="auto"/>
        <w:jc w:val="both"/>
        <w:rPr>
          <w:rFonts w:ascii="Times New Roman" w:eastAsia="Times New Roman" w:hAnsi="Times New Roman" w:cs="Times New Roman"/>
          <w:color w:val="000000" w:themeColor="text1"/>
        </w:rPr>
      </w:pPr>
    </w:p>
    <w:p w14:paraId="5167AFFE" w14:textId="1949B37F" w:rsidR="00016469" w:rsidRDefault="00016469" w:rsidP="00016469">
      <w:pPr>
        <w:pStyle w:val="Normale1"/>
        <w:spacing w:line="276" w:lineRule="auto"/>
        <w:jc w:val="both"/>
        <w:rPr>
          <w:rFonts w:ascii="Times New Roman" w:eastAsia="Times New Roman" w:hAnsi="Times New Roman" w:cs="Times New Roman"/>
          <w:color w:val="000000" w:themeColor="text1"/>
        </w:rPr>
      </w:pPr>
      <w:proofErr w:type="spellStart"/>
      <w:r w:rsidRPr="00CC4123">
        <w:rPr>
          <w:rFonts w:ascii="Times New Roman" w:eastAsia="Times New Roman" w:hAnsi="Times New Roman" w:cs="Times New Roman"/>
          <w:b/>
          <w:color w:val="000000" w:themeColor="text1"/>
        </w:rPr>
        <w:t>Antisaccade</w:t>
      </w:r>
      <w:proofErr w:type="spellEnd"/>
      <w:r w:rsidRPr="00CC4123">
        <w:rPr>
          <w:rFonts w:ascii="Times New Roman" w:eastAsia="Times New Roman" w:hAnsi="Times New Roman" w:cs="Times New Roman"/>
          <w:b/>
          <w:color w:val="000000" w:themeColor="text1"/>
        </w:rPr>
        <w:t xml:space="preserve"> task</w:t>
      </w:r>
      <w:r>
        <w:rPr>
          <w:rFonts w:ascii="Times New Roman" w:eastAsia="Times New Roman" w:hAnsi="Times New Roman" w:cs="Times New Roman"/>
          <w:b/>
          <w:color w:val="000000" w:themeColor="text1"/>
        </w:rPr>
        <w:t>.</w:t>
      </w:r>
      <w:r w:rsidRPr="00CC4123">
        <w:rPr>
          <w:rFonts w:ascii="Times New Roman" w:eastAsia="Times New Roman" w:hAnsi="Times New Roman" w:cs="Times New Roman"/>
          <w:b/>
          <w:color w:val="000000" w:themeColor="text1"/>
        </w:rPr>
        <w:t xml:space="preserve"> </w:t>
      </w:r>
      <w:r w:rsidRPr="00CC4123">
        <w:rPr>
          <w:rFonts w:ascii="Times New Roman" w:eastAsia="Times New Roman" w:hAnsi="Times New Roman" w:cs="Times New Roman"/>
          <w:color w:val="000000" w:themeColor="text1"/>
        </w:rPr>
        <w:t xml:space="preserve">Participants were presented with a central fixation cross that appeared for a variable duration ranging from 2,000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to 3,000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followed by a 300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alerting tone. After the tone, an asterisk appeared for 300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to the left or right of the center, followed by a letter (Q or O) displayed on the opposite side of the screen for 200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Both the asterisk and letter were masked for 500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The participants' task was to disregard the asterisk and shift their attention to the opposite side of the screen to identify the target letter. They had unlimited time to respond by pressing the corresponding key on the keyboard and were provided with feedback on their accuracy displayed for 500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followed by a blank intertrial interval lasting 1,000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Each participant completed a total of 72 trials, and the dependent measure was the number of correctly identified target letters.</w:t>
      </w:r>
    </w:p>
    <w:p w14:paraId="6388006C" w14:textId="77777777" w:rsidR="00016469" w:rsidRPr="00CC4123" w:rsidRDefault="00016469" w:rsidP="00016469">
      <w:pPr>
        <w:pStyle w:val="Normale1"/>
        <w:spacing w:line="276" w:lineRule="auto"/>
        <w:jc w:val="both"/>
        <w:rPr>
          <w:rFonts w:ascii="Times New Roman" w:eastAsia="Times New Roman" w:hAnsi="Times New Roman" w:cs="Times New Roman"/>
          <w:color w:val="000000" w:themeColor="text1"/>
        </w:rPr>
      </w:pPr>
    </w:p>
    <w:p w14:paraId="11D78C1A" w14:textId="4611FBE1" w:rsidR="00016469" w:rsidRPr="00CC4123" w:rsidRDefault="00016469" w:rsidP="00016469">
      <w:pPr>
        <w:pStyle w:val="Normale1"/>
        <w:spacing w:line="276" w:lineRule="auto"/>
        <w:jc w:val="both"/>
        <w:rPr>
          <w:rFonts w:ascii="Times New Roman" w:eastAsia="Times New Roman" w:hAnsi="Times New Roman" w:cs="Times New Roman"/>
          <w:color w:val="000000" w:themeColor="text1"/>
        </w:rPr>
      </w:pPr>
      <w:r w:rsidRPr="00CC4123">
        <w:rPr>
          <w:rFonts w:ascii="Times New Roman" w:eastAsia="Times New Roman" w:hAnsi="Times New Roman" w:cs="Times New Roman"/>
          <w:b/>
          <w:color w:val="000000" w:themeColor="text1"/>
        </w:rPr>
        <w:t>Selective visual arrays</w:t>
      </w:r>
      <w:r>
        <w:rPr>
          <w:rFonts w:ascii="Times New Roman" w:eastAsia="Times New Roman" w:hAnsi="Times New Roman" w:cs="Times New Roman"/>
          <w:b/>
          <w:color w:val="000000" w:themeColor="text1"/>
        </w:rPr>
        <w:t>.</w:t>
      </w:r>
      <w:r w:rsidRPr="00CC4123">
        <w:rPr>
          <w:rFonts w:ascii="Times New Roman" w:eastAsia="Times New Roman" w:hAnsi="Times New Roman" w:cs="Times New Roman"/>
          <w:color w:val="000000" w:themeColor="text1"/>
        </w:rPr>
        <w:t xml:space="preserve"> Participants viewed a display of blue and red rectangles with different orientations for 250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and were instructed to attend to either the red or blue rectangles based on a preceding cue presented for 300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After a brief delay of 900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the display reappeared, showing only the target rectangles (red or blue). One of the target rectangles, indicated by a white dot, randomly changed its orientation on half of the trials. Participants were required to indicate whether the rectangle with the white dot had changed its orientation from the initial presentation. A total of 80 trials were administered, with each trial presenting an array of either five or seven rectangles per color. A capacity score (</w:t>
      </w:r>
      <w:r w:rsidRPr="00CC4123">
        <w:rPr>
          <w:rFonts w:ascii="Times New Roman" w:eastAsia="Times New Roman" w:hAnsi="Times New Roman" w:cs="Times New Roman"/>
          <w:i/>
          <w:color w:val="000000" w:themeColor="text1"/>
        </w:rPr>
        <w:t>k</w:t>
      </w:r>
      <w:r w:rsidRPr="00CC4123">
        <w:rPr>
          <w:rFonts w:ascii="Times New Roman" w:eastAsia="Times New Roman" w:hAnsi="Times New Roman" w:cs="Times New Roman"/>
          <w:color w:val="000000" w:themeColor="text1"/>
        </w:rPr>
        <w:t>) was calculated for each participant using the single probe correction</w:t>
      </w:r>
      <w:r>
        <w:rPr>
          <w:rFonts w:ascii="Times New Roman" w:eastAsia="Times New Roman" w:hAnsi="Times New Roman" w:cs="Times New Roman"/>
          <w:color w:val="000000" w:themeColor="text1"/>
        </w:rPr>
        <w:t xml:space="preserve"> </w:t>
      </w:r>
      <w:r w:rsidRPr="00CC4123">
        <w:rPr>
          <w:rFonts w:ascii="Times New Roman" w:eastAsia="Times New Roman" w:hAnsi="Times New Roman" w:cs="Times New Roman"/>
          <w:color w:val="000000" w:themeColor="text1"/>
        </w:rPr>
        <w:fldChar w:fldCharType="begin" w:fldLock="1"/>
      </w:r>
      <w:r>
        <w:rPr>
          <w:rFonts w:ascii="Times New Roman" w:eastAsia="Times New Roman" w:hAnsi="Times New Roman" w:cs="Times New Roman"/>
          <w:color w:val="000000" w:themeColor="text1"/>
        </w:rPr>
        <w:instrText>ADDIN CSL_CITATION {"citationItems":[{"id":"ITEM-1","itemData":{"DOI":"10.1016/j.cogpsych.2004.12.001","ISSN":"0010-0285 (Print)","PMID":"16039935","abstract":"Working memory (WM) is the set of mental processes holding limited information in  a temporarily accessible state in service of cognition. We provide a theoretical framework to understand the relation between WM and aptitude measures. The WM measures that have yielded high correlations with aptitudes include separate storage-and-processing task components, on the assumption that WM involves both storage and processing. We argue that the critical aspect of successful WM measures is that rehearsal and grouping processes are prevented, allowing a clearer estimate of how many separate chunks of information the focus of attention circumscribes at once. Storage-and-processing tasks correlate with aptitudes, according to this view, largely because the processing task prevents rehearsal and grouping of items to be recalled. In a developmental study, we document that several scope-of-attention measures that do not include a separate processing component, but nevertheless prevent efficient rehearsal or grouping, also correlate well with aptitudes and with storage-and-processing measures. So does digit span in children too young to rehearse.","author":[{"dropping-particle":"","family":"Cowan","given":"Nelson","non-dropping-particle":"","parse-names":false,"suffix":""},{"dropping-particle":"","family":"Elliott","given":"Emily M","non-dropping-particle":"","parse-names":false,"suffix":""},{"dropping-particle":"","family":"Scott Saults","given":"J","non-dropping-particle":"","parse-names":false,"suffix":""},{"dropping-particle":"","family":"Morey","given":"Candice C","non-dropping-particle":"","parse-names":false,"suffix":""},{"dropping-particle":"","family":"Mattox","given":"Sam","non-dropping-particle":"","parse-names":false,"suffix":""},{"dropping-particle":"","family":"Hismjatullina","given":"Anna","non-dropping-particle":"","parse-names":false,"suffix":""},{"dropping-particle":"","family":"Conway","given":"Andrew R A","non-dropping-particle":"","parse-names":false,"suffix":""}],"container-title":"Cognitive psychology","id":"ITEM-1","issue":"1","issued":{"date-parts":[["2005","8"]]},"language":"eng","page":"42-100","publisher-place":"Netherlands","title":"On the capacity of attention: its estimation and its role in working memory and  cognitive aptitudes.","type":"article-journal","volume":"51"},"uris":["http://www.mendeley.com/documents/?uuid=9c402ba5-4168-4dec-b2f5-8bd1473e0435"]}],"mendeley":{"formattedCitation":"[18]","plainTextFormattedCitation":"[18]","previouslyFormattedCitation":"&lt;sup&gt;18&lt;/sup&gt;"},"properties":{"noteIndex":0},"schema":"https://github.com/citation-style-language/schema/raw/master/csl-citation.json"}</w:instrText>
      </w:r>
      <w:r w:rsidRPr="00CC4123">
        <w:rPr>
          <w:rFonts w:ascii="Times New Roman" w:eastAsia="Times New Roman" w:hAnsi="Times New Roman" w:cs="Times New Roman"/>
          <w:color w:val="000000" w:themeColor="text1"/>
        </w:rPr>
        <w:fldChar w:fldCharType="separate"/>
      </w:r>
      <w:r w:rsidRPr="00E06B37">
        <w:rPr>
          <w:rFonts w:ascii="Times New Roman" w:eastAsia="Times New Roman" w:hAnsi="Times New Roman" w:cs="Times New Roman"/>
          <w:noProof/>
          <w:color w:val="000000" w:themeColor="text1"/>
        </w:rPr>
        <w:t>[1]</w:t>
      </w:r>
      <w:r w:rsidRPr="00CC4123">
        <w:rPr>
          <w:rFonts w:ascii="Times New Roman" w:eastAsia="Times New Roman" w:hAnsi="Times New Roman" w:cs="Times New Roman"/>
          <w:color w:val="000000" w:themeColor="text1"/>
        </w:rPr>
        <w:fldChar w:fldCharType="end"/>
      </w:r>
      <w:r w:rsidRPr="00CC4123">
        <w:rPr>
          <w:rFonts w:ascii="Times New Roman" w:eastAsia="Times New Roman" w:hAnsi="Times New Roman" w:cs="Times New Roman"/>
          <w:color w:val="000000" w:themeColor="text1"/>
        </w:rPr>
        <w:t xml:space="preserve"> (</w:t>
      </w:r>
      <w:r w:rsidRPr="00CC4123">
        <w:rPr>
          <w:rFonts w:ascii="Times New Roman" w:eastAsia="Times New Roman" w:hAnsi="Times New Roman" w:cs="Times New Roman"/>
          <w:i/>
          <w:color w:val="000000" w:themeColor="text1"/>
        </w:rPr>
        <w:t>k </w:t>
      </w:r>
      <w:r w:rsidRPr="00CC4123">
        <w:rPr>
          <w:rFonts w:ascii="Times New Roman" w:eastAsia="Times New Roman" w:hAnsi="Times New Roman" w:cs="Times New Roman"/>
          <w:color w:val="000000" w:themeColor="text1"/>
        </w:rPr>
        <w:t>= N × (hits + correct rejections − 1), where N represents the size of the array) and used as the dependent variable.</w:t>
      </w:r>
    </w:p>
    <w:p w14:paraId="15267958" w14:textId="77777777" w:rsidR="00016469" w:rsidRPr="00CC4123" w:rsidRDefault="00016469" w:rsidP="00016469">
      <w:pPr>
        <w:pStyle w:val="Normale1"/>
        <w:spacing w:line="276" w:lineRule="auto"/>
        <w:jc w:val="both"/>
        <w:rPr>
          <w:rFonts w:ascii="Times New Roman" w:eastAsia="Times New Roman" w:hAnsi="Times New Roman" w:cs="Times New Roman"/>
          <w:color w:val="000000" w:themeColor="text1"/>
        </w:rPr>
      </w:pPr>
    </w:p>
    <w:p w14:paraId="0009EBC8" w14:textId="0526435E" w:rsidR="00016469" w:rsidRPr="00CC4123" w:rsidRDefault="00016469" w:rsidP="00016469">
      <w:pPr>
        <w:pStyle w:val="Normale1"/>
        <w:spacing w:line="276" w:lineRule="auto"/>
        <w:jc w:val="both"/>
        <w:rPr>
          <w:rFonts w:ascii="Times New Roman" w:eastAsia="Times New Roman" w:hAnsi="Times New Roman" w:cs="Times New Roman"/>
          <w:color w:val="000000" w:themeColor="text1"/>
        </w:rPr>
      </w:pPr>
      <w:r w:rsidRPr="00CC4123">
        <w:rPr>
          <w:rFonts w:ascii="Times New Roman" w:eastAsia="Times New Roman" w:hAnsi="Times New Roman" w:cs="Times New Roman"/>
          <w:b/>
          <w:color w:val="000000" w:themeColor="text1"/>
        </w:rPr>
        <w:t>Adaptive Flanker task (deadline version)</w:t>
      </w:r>
      <w:r>
        <w:rPr>
          <w:rFonts w:ascii="Times New Roman" w:eastAsia="Times New Roman" w:hAnsi="Times New Roman" w:cs="Times New Roman"/>
          <w:b/>
          <w:color w:val="000000" w:themeColor="text1"/>
        </w:rPr>
        <w:t xml:space="preserve">. </w:t>
      </w:r>
      <w:r w:rsidRPr="00CC4123">
        <w:rPr>
          <w:rFonts w:ascii="Times New Roman" w:eastAsia="Times New Roman" w:hAnsi="Times New Roman" w:cs="Times New Roman"/>
          <w:color w:val="000000" w:themeColor="text1"/>
        </w:rPr>
        <w:t xml:space="preserve">In the present study, we adopted a modified version of the arrow flanker task in which an adaptive procedure was used to estimate the participant’s </w:t>
      </w:r>
      <w:r w:rsidRPr="00CC4123">
        <w:rPr>
          <w:rFonts w:ascii="Times New Roman" w:eastAsia="Times New Roman" w:hAnsi="Times New Roman" w:cs="Times New Roman"/>
          <w:color w:val="000000" w:themeColor="text1"/>
        </w:rPr>
        <w:lastRenderedPageBreak/>
        <w:t xml:space="preserve">performance. They were shown an arrow at the center of the screen pointing left or right, along with two surrounding arrows on each side that either matched the direction of the central arrow </w:t>
      </w:r>
      <w:r w:rsidRPr="00CC4123">
        <w:rPr>
          <w:rFonts w:ascii="Times New Roman" w:hAnsi="Times New Roman" w:cs="Times New Roman"/>
          <w:color w:val="000000" w:themeColor="text1"/>
        </w:rPr>
        <w:t xml:space="preserve">(congruent trial: e.g., </w:t>
      </w:r>
      <w:r w:rsidRPr="00CC4123">
        <w:rPr>
          <w:rFonts w:ascii="Wingdings" w:hAnsi="Wingdings" w:cs="Times New Roman"/>
          <w:color w:val="000000" w:themeColor="text1"/>
          <w:sz w:val="20"/>
        </w:rPr>
        <w:sym w:font="Wingdings" w:char="F0DF"/>
      </w:r>
      <w:r w:rsidRPr="00CC4123">
        <w:rPr>
          <w:rFonts w:ascii="Wingdings" w:hAnsi="Wingdings" w:cs="Times New Roman"/>
          <w:color w:val="000000" w:themeColor="text1"/>
          <w:sz w:val="20"/>
        </w:rPr>
        <w:sym w:font="Wingdings" w:char="F0DF"/>
      </w:r>
      <w:r w:rsidRPr="00CC4123">
        <w:rPr>
          <w:rFonts w:ascii="Wingdings" w:hAnsi="Wingdings" w:cs="Times New Roman"/>
          <w:color w:val="000000" w:themeColor="text1"/>
          <w:sz w:val="20"/>
        </w:rPr>
        <w:sym w:font="Wingdings" w:char="F0DF"/>
      </w:r>
      <w:r w:rsidRPr="00CC4123">
        <w:rPr>
          <w:rFonts w:ascii="Wingdings" w:hAnsi="Wingdings" w:cs="Times New Roman"/>
          <w:color w:val="000000" w:themeColor="text1"/>
          <w:sz w:val="20"/>
        </w:rPr>
        <w:sym w:font="Wingdings" w:char="F0DF"/>
      </w:r>
      <w:r w:rsidRPr="00CC4123">
        <w:rPr>
          <w:rFonts w:ascii="Wingdings" w:hAnsi="Wingdings" w:cs="Times New Roman"/>
          <w:color w:val="000000" w:themeColor="text1"/>
          <w:sz w:val="20"/>
        </w:rPr>
        <w:sym w:font="Wingdings" w:char="F0DF"/>
      </w:r>
      <w:r w:rsidRPr="00CC4123">
        <w:rPr>
          <w:rFonts w:ascii="Times New Roman" w:hAnsi="Times New Roman" w:cs="Times New Roman"/>
          <w:color w:val="000000" w:themeColor="text1"/>
        </w:rPr>
        <w:t xml:space="preserve">) or pointed in the opposite direction (incongruent trial: e.g., </w:t>
      </w:r>
      <w:r w:rsidRPr="00CC4123">
        <w:rPr>
          <w:rFonts w:ascii="Wingdings" w:hAnsi="Wingdings" w:cs="Times New Roman"/>
          <w:color w:val="000000" w:themeColor="text1"/>
          <w:sz w:val="20"/>
        </w:rPr>
        <w:sym w:font="Wingdings" w:char="F0E0"/>
      </w:r>
      <w:r w:rsidRPr="00CC4123">
        <w:rPr>
          <w:rFonts w:ascii="Wingdings" w:hAnsi="Wingdings" w:cs="Times New Roman"/>
          <w:color w:val="000000" w:themeColor="text1"/>
          <w:sz w:val="20"/>
        </w:rPr>
        <w:sym w:font="Wingdings" w:char="F0E0"/>
      </w:r>
      <w:r w:rsidRPr="00CC4123">
        <w:rPr>
          <w:rFonts w:ascii="Wingdings" w:hAnsi="Wingdings" w:cs="Times New Roman"/>
          <w:color w:val="000000" w:themeColor="text1"/>
          <w:sz w:val="20"/>
        </w:rPr>
        <w:sym w:font="Wingdings" w:char="F0DF"/>
      </w:r>
      <w:r w:rsidRPr="00CC4123">
        <w:rPr>
          <w:rFonts w:ascii="Wingdings" w:hAnsi="Wingdings" w:cs="Times New Roman"/>
          <w:color w:val="000000" w:themeColor="text1"/>
          <w:sz w:val="20"/>
        </w:rPr>
        <w:sym w:font="Wingdings" w:char="F0E0"/>
      </w:r>
      <w:r w:rsidRPr="00CC4123">
        <w:rPr>
          <w:rFonts w:ascii="Wingdings" w:hAnsi="Wingdings" w:cs="Times New Roman"/>
          <w:color w:val="000000" w:themeColor="text1"/>
          <w:sz w:val="20"/>
        </w:rPr>
        <w:sym w:font="Wingdings" w:char="F0E0"/>
      </w:r>
      <w:r w:rsidRPr="00CC4123">
        <w:rPr>
          <w:rFonts w:ascii="Times New Roman" w:hAnsi="Times New Roman" w:cs="Times New Roman"/>
          <w:color w:val="000000" w:themeColor="text1"/>
        </w:rPr>
        <w:t>)</w:t>
      </w:r>
      <w:r w:rsidRPr="00CC4123">
        <w:rPr>
          <w:rFonts w:ascii="Times New Roman" w:eastAsia="Times New Roman" w:hAnsi="Times New Roman" w:cs="Times New Roman"/>
          <w:color w:val="000000" w:themeColor="text1"/>
        </w:rPr>
        <w:t xml:space="preserve">. The participants were instructed to indicate the direction of the central arrow by pressing the Z key for left or the "/" key for right. The keys were labeled with the words LEFT and RIGHT to aid in response mapping. A total of 324 trials were administered across 18 blocks, with each block consisting of 18 trials. In each trial, the arrows remained on the screen until the response deadline, after which a loud beep indicated the end of the trial. This response deadline varied based on the participant's accuracy within each block. If the participant responded correctly on at least 15 out of 18 trials, the deadline decreased by 90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otherwise, it increased by 270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From the seventh block onwards, the deadline changed by 30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(decrease) or 90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(increase). The initial block had a response deadline of 1,050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In each block, 12 congruent and 6 incongruent trials were presented in random order, with an interstimulus interval (ISI) ranging from 400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to 700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Accuracy on both trial types determined whether the response deadline increased or decreased in the next block. RTs and accuracy on incongruent trials were used as dependent variables.</w:t>
      </w:r>
    </w:p>
    <w:p w14:paraId="17A6FDB9" w14:textId="77777777" w:rsidR="00016469" w:rsidRPr="00CC4123" w:rsidRDefault="00016469" w:rsidP="00016469">
      <w:pPr>
        <w:pStyle w:val="Normale1"/>
        <w:spacing w:line="276" w:lineRule="auto"/>
        <w:jc w:val="both"/>
        <w:rPr>
          <w:rFonts w:ascii="Times New Roman" w:eastAsia="Times New Roman" w:hAnsi="Times New Roman" w:cs="Times New Roman"/>
          <w:color w:val="000000" w:themeColor="text1"/>
        </w:rPr>
      </w:pPr>
    </w:p>
    <w:p w14:paraId="2DFF9BCA" w14:textId="210A0F13" w:rsidR="00CA7760" w:rsidRDefault="00016469" w:rsidP="00CA7760">
      <w:pPr>
        <w:pStyle w:val="Normale1"/>
        <w:spacing w:line="276" w:lineRule="auto"/>
        <w:jc w:val="both"/>
        <w:rPr>
          <w:rFonts w:ascii="Times New Roman" w:eastAsia="Times New Roman" w:hAnsi="Times New Roman" w:cs="Times New Roman"/>
          <w:color w:val="000000" w:themeColor="text1"/>
        </w:rPr>
      </w:pPr>
      <w:r w:rsidRPr="00CC4123">
        <w:rPr>
          <w:rFonts w:ascii="Times New Roman" w:eastAsia="Times New Roman" w:hAnsi="Times New Roman" w:cs="Times New Roman"/>
          <w:b/>
          <w:color w:val="000000" w:themeColor="text1"/>
        </w:rPr>
        <w:t xml:space="preserve">Long-term memory. </w:t>
      </w:r>
      <w:r w:rsidRPr="00CC4123">
        <w:rPr>
          <w:rFonts w:ascii="Times New Roman" w:eastAsia="Times New Roman" w:hAnsi="Times New Roman" w:cs="Times New Roman"/>
          <w:color w:val="000000" w:themeColor="text1"/>
        </w:rPr>
        <w:t xml:space="preserve">The stimuli used in the Relational and Item Specific Encoding task consisted of visual object representations selected from a standardized corpus of color photographs. There were three test forms, and each included a list of 36 items for item-specific encoding, 36 items for relational encoding, and 72 new items for recognition testing. Participants first performed two incidental encoding tasks. In the item-specific encoding task, participants viewed 36 stimuli, presented for 2000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each with a 1000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ISI. They were instructed to indicate whether the objects were "living" using a two-button yes/no response. In the Relational Encoding task, participants viewed 18 pairs of visual objects, presented for 4000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each with a 1000 </w:t>
      </w:r>
      <w:proofErr w:type="spellStart"/>
      <w:r w:rsidRPr="00CC4123">
        <w:rPr>
          <w:rFonts w:ascii="Times New Roman" w:eastAsia="Times New Roman" w:hAnsi="Times New Roman" w:cs="Times New Roman"/>
          <w:color w:val="000000" w:themeColor="text1"/>
        </w:rPr>
        <w:t>ms</w:t>
      </w:r>
      <w:proofErr w:type="spellEnd"/>
      <w:r w:rsidRPr="00CC4123">
        <w:rPr>
          <w:rFonts w:ascii="Times New Roman" w:eastAsia="Times New Roman" w:hAnsi="Times New Roman" w:cs="Times New Roman"/>
          <w:color w:val="000000" w:themeColor="text1"/>
        </w:rPr>
        <w:t xml:space="preserve"> ISI. They were instructed to indicate whether one object could fit inside the other using a two-button yes/no response. The two encoding tasks were alternated between them presenting 3 item-encoding blocks of 12 trials each and 3 relational-encoding blocks of 6 trials each. After the encoding phase, two retrieval tasks were administered. In the item recognition task, all 72 studied objects (36 item-specific and 36 relational targets) were presented randomly mixed with 72 new items. In each trial, participants were prompted to indicate whether each item was "old" or "new" by using a two-button response and to provide a confidence rating using a 3-button scale (3 = high, 2 = medium, 1 = low). In the associative recognition task, the 18 object pairs studied during relational encoding were presented randomly, mixed with 18 rearranged object pairs originally not paired together (e.g., an item from trial 1 paired with the item from trial 12). Participants were prompted to indicate whether the items in each pair had been presented "together" by using a two-button yes/no response. For both tasks, the dependent variable was the recognition memory discriminability index (d´), computed by subtracting the z scored false alarm rate (i.e., proportion of new/rearranged items erroneously identified as old/unvaried) from the z scored hit rate (i.e., proportion of old/unvaried items correctly identified).</w:t>
      </w:r>
    </w:p>
    <w:p w14:paraId="4F96519A" w14:textId="77777777" w:rsidR="00CA7760" w:rsidRPr="00CA7760" w:rsidRDefault="00CA7760" w:rsidP="00CA7760">
      <w:pPr>
        <w:pStyle w:val="Normale1"/>
        <w:spacing w:line="276" w:lineRule="auto"/>
        <w:jc w:val="both"/>
        <w:rPr>
          <w:rFonts w:ascii="Times New Roman" w:eastAsia="Times New Roman" w:hAnsi="Times New Roman" w:cs="Times New Roman"/>
          <w:b/>
          <w:color w:val="000000" w:themeColor="text1"/>
        </w:rPr>
      </w:pPr>
    </w:p>
    <w:p w14:paraId="54F87ABA" w14:textId="77777777" w:rsidR="00CA7760" w:rsidRDefault="00CA7760">
      <w:pPr>
        <w:rPr>
          <w:lang w:val="hr-HR"/>
        </w:rPr>
      </w:pPr>
    </w:p>
    <w:p w14:paraId="1528BF1C" w14:textId="573850F7" w:rsidR="00CA7760" w:rsidRPr="00E06B37" w:rsidRDefault="00CA7760" w:rsidP="00CA7760">
      <w:pPr>
        <w:widowControl w:val="0"/>
        <w:suppressLineNumbers/>
        <w:autoSpaceDE w:val="0"/>
        <w:autoSpaceDN w:val="0"/>
        <w:adjustRightInd w:val="0"/>
        <w:ind w:left="640" w:hanging="640"/>
        <w:rPr>
          <w:rFonts w:ascii="Times New Roman" w:hAnsi="Times New Roman" w:cs="Times New Roman"/>
          <w:noProof/>
        </w:rPr>
      </w:pPr>
      <w:r w:rsidRPr="00E06B37">
        <w:rPr>
          <w:rFonts w:ascii="Times New Roman" w:hAnsi="Times New Roman" w:cs="Times New Roman"/>
          <w:noProof/>
        </w:rPr>
        <w:t>1.</w:t>
      </w:r>
      <w:r w:rsidRPr="00E06B37">
        <w:rPr>
          <w:rFonts w:ascii="Times New Roman" w:hAnsi="Times New Roman" w:cs="Times New Roman"/>
          <w:noProof/>
        </w:rPr>
        <w:tab/>
        <w:t xml:space="preserve">Cowan, N. </w:t>
      </w:r>
      <w:r w:rsidRPr="00E06B37">
        <w:rPr>
          <w:rFonts w:ascii="Times New Roman" w:hAnsi="Times New Roman" w:cs="Times New Roman"/>
          <w:i/>
          <w:iCs/>
          <w:noProof/>
        </w:rPr>
        <w:t>et al.</w:t>
      </w:r>
      <w:r w:rsidRPr="00E06B37">
        <w:rPr>
          <w:rFonts w:ascii="Times New Roman" w:hAnsi="Times New Roman" w:cs="Times New Roman"/>
          <w:noProof/>
        </w:rPr>
        <w:t xml:space="preserve"> On the capacity of attention: its estimation and its role in working memory and  cognitive aptitudes. </w:t>
      </w:r>
      <w:r w:rsidRPr="00E06B37">
        <w:rPr>
          <w:rFonts w:ascii="Times New Roman" w:hAnsi="Times New Roman" w:cs="Times New Roman"/>
          <w:i/>
          <w:iCs/>
          <w:noProof/>
        </w:rPr>
        <w:t>Cogn. Psychol.</w:t>
      </w:r>
      <w:r w:rsidRPr="00E06B37">
        <w:rPr>
          <w:rFonts w:ascii="Times New Roman" w:hAnsi="Times New Roman" w:cs="Times New Roman"/>
          <w:noProof/>
        </w:rPr>
        <w:t xml:space="preserve"> </w:t>
      </w:r>
      <w:r w:rsidRPr="00E06B37">
        <w:rPr>
          <w:rFonts w:ascii="Times New Roman" w:hAnsi="Times New Roman" w:cs="Times New Roman"/>
          <w:b/>
          <w:bCs/>
          <w:noProof/>
        </w:rPr>
        <w:t>51,</w:t>
      </w:r>
      <w:r w:rsidRPr="00E06B37">
        <w:rPr>
          <w:rFonts w:ascii="Times New Roman" w:hAnsi="Times New Roman" w:cs="Times New Roman"/>
          <w:noProof/>
        </w:rPr>
        <w:t xml:space="preserve"> 42–100 (2005).</w:t>
      </w:r>
    </w:p>
    <w:p w14:paraId="366D2B74" w14:textId="77777777" w:rsidR="00CA7760" w:rsidRPr="00016469" w:rsidRDefault="00CA7760">
      <w:pPr>
        <w:rPr>
          <w:lang w:val="hr-HR"/>
        </w:rPr>
      </w:pPr>
    </w:p>
    <w:sectPr w:rsidR="00CA7760" w:rsidRPr="000164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69"/>
    <w:rsid w:val="00016469"/>
    <w:rsid w:val="006908B3"/>
    <w:rsid w:val="00CA7760"/>
    <w:rsid w:val="00F312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FC1D4C8"/>
  <w15:chartTrackingRefBased/>
  <w15:docId w15:val="{7DD80546-4AF6-D54E-BDA2-DB610222E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e1">
    <w:name w:val="Normale1"/>
    <w:rsid w:val="00016469"/>
    <w:rPr>
      <w:rFonts w:ascii="Cambria" w:eastAsia="Cambria" w:hAnsi="Cambria" w:cs="Cambr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D94A3B-97F6-C043-964F-B8AE2C764A51}">
  <we:reference id="f78a3046-9e99-4300-aa2b-5814002b01a2" version="1.55.1.0" store="EXCatalog" storeType="EXCatalog"/>
  <we:alternateReferences>
    <we:reference id="WA104382081" version="1.55.1.0" store="it-IT"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CAFED-FEAD-8E44-9962-0D2ADDD40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1458</Words>
  <Characters>8316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Arbula</dc:creator>
  <cp:keywords/>
  <dc:description/>
  <cp:lastModifiedBy>Sandra Arbula</cp:lastModifiedBy>
  <cp:revision>2</cp:revision>
  <dcterms:created xsi:type="dcterms:W3CDTF">2024-01-19T11:30:00Z</dcterms:created>
  <dcterms:modified xsi:type="dcterms:W3CDTF">2024-02-19T12:36:00Z</dcterms:modified>
</cp:coreProperties>
</file>