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A20F9D" w:rsidRDefault="00A20F9D" w:rsidP="00A20F9D">
      <w:pPr>
        <w:widowControl/>
        <w:suppressLineNumbers/>
        <w:spacing w:after="120" w:line="480" w:lineRule="auto"/>
        <w:jc w:val="left"/>
        <w:rPr>
          <w:rFonts w:ascii="Times New Roman" w:eastAsia="Times New Roman" w:hAnsi="Times New Roman" w:cs="Times New Roman"/>
          <w:b/>
          <w:bCs/>
          <w:kern w:val="0"/>
          <w:sz w:val="22"/>
          <w:lang w:eastAsia="de-CH"/>
        </w:rPr>
      </w:pPr>
      <w:r w:rsidRPr="00A20F9D">
        <w:rPr>
          <w:rFonts w:ascii="Times New Roman" w:eastAsia="Times New Roman" w:hAnsi="Times New Roman" w:cs="Times New Roman"/>
          <w:b/>
          <w:bCs/>
          <w:kern w:val="0"/>
          <w:sz w:val="22"/>
          <w:lang w:eastAsia="de-CH"/>
        </w:rPr>
        <w:t>Supplementary Table</w:t>
      </w:r>
      <w:r>
        <w:rPr>
          <w:rFonts w:ascii="Times New Roman" w:eastAsia="Times New Roman" w:hAnsi="Times New Roman" w:cs="Times New Roman"/>
          <w:b/>
          <w:bCs/>
          <w:kern w:val="0"/>
          <w:sz w:val="22"/>
          <w:lang w:eastAsia="de-CH"/>
        </w:rPr>
        <w:t>s</w:t>
      </w:r>
    </w:p>
    <w:p w:rsidR="00721E70" w:rsidRPr="005243B3" w:rsidRDefault="00721E70" w:rsidP="007C04AC">
      <w:pPr>
        <w:pStyle w:val="a3"/>
        <w:spacing w:after="240" w:line="480" w:lineRule="auto"/>
        <w:jc w:val="left"/>
        <w:rPr>
          <w:rFonts w:ascii="Times New Roman" w:hAnsi="Times New Roman" w:cs="Times New Roman"/>
          <w:sz w:val="22"/>
        </w:rPr>
      </w:pPr>
      <w:r w:rsidRPr="00721E70">
        <w:rPr>
          <w:rFonts w:ascii="Times New Roman" w:hAnsi="Times New Roman" w:cs="Times New Roman"/>
          <w:b/>
          <w:sz w:val="22"/>
        </w:rPr>
        <w:t>Supplementary Table S1.</w:t>
      </w:r>
      <w:r w:rsidRPr="006924C2">
        <w:rPr>
          <w:rFonts w:ascii="Times New Roman" w:hAnsi="Times New Roman" w:cs="Times New Roman"/>
          <w:sz w:val="22"/>
        </w:rPr>
        <w:t xml:space="preserve"> </w:t>
      </w:r>
      <w:r w:rsidR="007C04AC" w:rsidRPr="007C04AC">
        <w:rPr>
          <w:rFonts w:ascii="Times New Roman" w:hAnsi="Times New Roman" w:cs="Times New Roman"/>
          <w:sz w:val="22"/>
        </w:rPr>
        <w:t>The time-dependent Cox proportional hazard model for dementia.</w:t>
      </w:r>
    </w:p>
    <w:p w:rsidR="00A20F9D" w:rsidRPr="005243B3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="Times New Roman" w:hAnsi="Times New Roman" w:cs="Times New Roman"/>
          <w:sz w:val="22"/>
        </w:rPr>
      </w:pPr>
    </w:p>
    <w:p w:rsidR="00A20F9D" w:rsidRDefault="00A20F9D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5243B3" w:rsidRDefault="005243B3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5243B3" w:rsidRDefault="005243B3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7C04AC" w:rsidRDefault="007C04AC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7C04AC" w:rsidRPr="007C04AC" w:rsidRDefault="007C04AC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582594" w:rsidRPr="005243B3" w:rsidRDefault="00582594" w:rsidP="00A20F9D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sz w:val="22"/>
        </w:rPr>
      </w:pPr>
    </w:p>
    <w:p w:rsidR="006924C2" w:rsidRPr="005243B3" w:rsidRDefault="00761A66" w:rsidP="005243B3">
      <w:pPr>
        <w:pStyle w:val="a3"/>
        <w:spacing w:after="240" w:line="480" w:lineRule="auto"/>
        <w:jc w:val="left"/>
        <w:rPr>
          <w:rFonts w:ascii="Times New Roman" w:eastAsiaTheme="minorEastAsia" w:hAnsi="Times New Roman" w:cs="Times New Roman"/>
          <w:i/>
          <w:sz w:val="22"/>
        </w:rPr>
      </w:pPr>
      <w:r w:rsidRPr="00761A66">
        <w:rPr>
          <w:rFonts w:ascii="Times New Roman" w:hAnsi="Times New Roman" w:cs="Times New Roman"/>
          <w:sz w:val="22"/>
        </w:rPr>
        <w:lastRenderedPageBreak/>
        <w:t>Supplementary Table S1</w:t>
      </w:r>
      <w:r w:rsidR="006924C2" w:rsidRPr="006924C2">
        <w:rPr>
          <w:rFonts w:ascii="Times New Roman" w:hAnsi="Times New Roman" w:cs="Times New Roman"/>
          <w:sz w:val="22"/>
        </w:rPr>
        <w:t xml:space="preserve">. </w:t>
      </w:r>
      <w:r w:rsidR="007C04AC" w:rsidRPr="007C04AC">
        <w:rPr>
          <w:rFonts w:ascii="Times New Roman" w:hAnsi="Times New Roman" w:cs="Times New Roman"/>
          <w:sz w:val="22"/>
        </w:rPr>
        <w:t>The time-dependent Cox proportional hazard model for dementia.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52"/>
        <w:gridCol w:w="833"/>
        <w:gridCol w:w="2693"/>
        <w:gridCol w:w="683"/>
        <w:gridCol w:w="168"/>
        <w:gridCol w:w="1275"/>
        <w:gridCol w:w="1366"/>
        <w:gridCol w:w="856"/>
      </w:tblGrid>
      <w:tr w:rsidR="006924C2" w:rsidTr="006924C2">
        <w:trPr>
          <w:trHeight w:val="576"/>
        </w:trPr>
        <w:tc>
          <w:tcPr>
            <w:tcW w:w="1152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Model</w:t>
            </w:r>
          </w:p>
        </w:tc>
        <w:tc>
          <w:tcPr>
            <w:tcW w:w="3526" w:type="dxa"/>
            <w:gridSpan w:val="2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Variables</w:t>
            </w:r>
          </w:p>
        </w:tc>
        <w:tc>
          <w:tcPr>
            <w:tcW w:w="683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coef</w:t>
            </w:r>
            <w:proofErr w:type="spellEnd"/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.</w:t>
            </w:r>
          </w:p>
        </w:tc>
        <w:tc>
          <w:tcPr>
            <w:tcW w:w="136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proofErr w:type="spellStart"/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exp</w:t>
            </w:r>
            <w:proofErr w:type="spellEnd"/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(</w:t>
            </w:r>
            <w:proofErr w:type="spellStart"/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coef</w:t>
            </w:r>
            <w:proofErr w:type="spellEnd"/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)</w:t>
            </w:r>
          </w:p>
        </w:tc>
        <w:tc>
          <w:tcPr>
            <w:tcW w:w="856" w:type="dxa"/>
            <w:tcBorders>
              <w:top w:val="single" w:sz="2" w:space="0" w:color="auto"/>
              <w:left w:val="nil"/>
              <w:bottom w:val="single" w:sz="4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i/>
                <w:color w:val="000000"/>
                <w:sz w:val="22"/>
              </w:rPr>
              <w:t>p</w:t>
            </w:r>
            <w:r w:rsidRPr="00884BB6">
              <w:rPr>
                <w:rFonts w:ascii="Times New Roman" w:eastAsia="Times New Roman" w:hAnsi="Times New Roman" w:cs="Times New Roman"/>
                <w:color w:val="000000"/>
                <w:sz w:val="22"/>
              </w:rPr>
              <w:t>-value</w:t>
            </w:r>
          </w:p>
        </w:tc>
      </w:tr>
      <w:tr w:rsidR="006924C2" w:rsidTr="006924C2">
        <w:trPr>
          <w:trHeight w:val="313"/>
        </w:trPr>
        <w:tc>
          <w:tcPr>
            <w:tcW w:w="1152" w:type="dxa"/>
            <w:vMerge w:val="restart"/>
            <w:tcBorders>
              <w:top w:val="single" w:sz="4" w:space="0" w:color="auto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Model I</w:t>
            </w:r>
          </w:p>
        </w:tc>
        <w:tc>
          <w:tcPr>
            <w:tcW w:w="7874" w:type="dxa"/>
            <w:gridSpan w:val="7"/>
            <w:tcBorders>
              <w:top w:val="single" w:sz="4" w:space="0" w:color="auto"/>
            </w:tcBorders>
          </w:tcPr>
          <w:p w:rsidR="006924C2" w:rsidRPr="00576177" w:rsidRDefault="00521EFA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576177">
              <w:rPr>
                <w:rFonts w:ascii="Times New Roman" w:eastAsia="Times New Roman" w:hAnsi="Times New Roman" w:cs="Times New Roman"/>
                <w:sz w:val="22"/>
              </w:rPr>
              <w:t xml:space="preserve">Periodontal treatment classification </w:t>
            </w:r>
            <w:r w:rsidR="006924C2" w:rsidRPr="00576177">
              <w:rPr>
                <w:rFonts w:ascii="Times New Roman" w:eastAsia="Times New Roman" w:hAnsi="Times New Roman" w:cs="Times New Roman"/>
                <w:sz w:val="22"/>
              </w:rPr>
              <w:t>(ref=No)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6924C2" w:rsidRPr="00576177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r w:rsidRPr="00576177">
              <w:rPr>
                <w:rFonts w:ascii="Times New Roman" w:eastAsia="Times New Roman" w:hAnsi="Times New Roman" w:cs="Times New Roman"/>
                <w:sz w:val="22"/>
              </w:rPr>
              <w:t>SRP</w:t>
            </w:r>
          </w:p>
        </w:tc>
        <w:tc>
          <w:tcPr>
            <w:tcW w:w="68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-0.624</w:t>
            </w:r>
          </w:p>
        </w:tc>
        <w:tc>
          <w:tcPr>
            <w:tcW w:w="1366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0.535</w:t>
            </w:r>
          </w:p>
        </w:tc>
        <w:tc>
          <w:tcPr>
            <w:tcW w:w="856" w:type="dxa"/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6924C2" w:rsidRPr="00576177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sz w:val="22"/>
              </w:rPr>
            </w:pPr>
            <w:proofErr w:type="spellStart"/>
            <w:r w:rsidRPr="00576177">
              <w:rPr>
                <w:rFonts w:ascii="Times New Roman" w:eastAsia="Times New Roman" w:hAnsi="Times New Roman" w:cs="Times New Roman"/>
                <w:sz w:val="22"/>
              </w:rPr>
              <w:t>Subgingival</w:t>
            </w:r>
            <w:proofErr w:type="spellEnd"/>
            <w:r w:rsidRPr="00576177">
              <w:rPr>
                <w:rFonts w:ascii="Times New Roman" w:eastAsia="Times New Roman" w:hAnsi="Times New Roman" w:cs="Times New Roman"/>
                <w:sz w:val="22"/>
              </w:rPr>
              <w:t xml:space="preserve"> curettage</w:t>
            </w:r>
          </w:p>
        </w:tc>
        <w:tc>
          <w:tcPr>
            <w:tcW w:w="68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-1.028</w:t>
            </w:r>
          </w:p>
        </w:tc>
        <w:tc>
          <w:tcPr>
            <w:tcW w:w="1366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0.358</w:t>
            </w:r>
          </w:p>
        </w:tc>
        <w:tc>
          <w:tcPr>
            <w:tcW w:w="856" w:type="dxa"/>
            <w:vAlign w:val="center"/>
          </w:tcPr>
          <w:p w:rsidR="006924C2" w:rsidRPr="006924C2" w:rsidRDefault="007C04AC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  <w:tcBorders>
              <w:bottom w:val="single" w:sz="4" w:space="0" w:color="auto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bottom w:val="single" w:sz="4" w:space="0" w:color="auto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bottom w:val="single" w:sz="4" w:space="0" w:color="auto"/>
            </w:tcBorders>
            <w:vAlign w:val="center"/>
          </w:tcPr>
          <w:p w:rsidR="006924C2" w:rsidRPr="00576177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576177">
              <w:rPr>
                <w:rFonts w:ascii="Times New Roman" w:eastAsia="Times New Roman" w:hAnsi="Times New Roman" w:cs="Times New Roman"/>
                <w:sz w:val="22"/>
              </w:rPr>
              <w:t>Periodontal flap surgery</w:t>
            </w:r>
          </w:p>
        </w:tc>
        <w:tc>
          <w:tcPr>
            <w:tcW w:w="683" w:type="dxa"/>
            <w:tcBorders>
              <w:bottom w:val="single" w:sz="4" w:space="0" w:color="auto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  <w:tcBorders>
              <w:bottom w:val="single" w:sz="4" w:space="0" w:color="auto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bottom w:val="single" w:sz="4" w:space="0" w:color="auto"/>
            </w:tcBorders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-1.051</w:t>
            </w:r>
          </w:p>
        </w:tc>
        <w:tc>
          <w:tcPr>
            <w:tcW w:w="1366" w:type="dxa"/>
            <w:tcBorders>
              <w:bottom w:val="single" w:sz="4" w:space="0" w:color="auto"/>
            </w:tcBorders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0.350</w:t>
            </w:r>
          </w:p>
        </w:tc>
        <w:tc>
          <w:tcPr>
            <w:tcW w:w="856" w:type="dxa"/>
            <w:tcBorders>
              <w:bottom w:val="single" w:sz="4" w:space="0" w:color="auto"/>
            </w:tcBorders>
            <w:vAlign w:val="center"/>
          </w:tcPr>
          <w:p w:rsidR="006924C2" w:rsidRPr="006924C2" w:rsidRDefault="007C04AC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 w:val="restart"/>
            <w:tcBorders>
              <w:top w:val="single" w:sz="4" w:space="0" w:color="auto"/>
              <w:left w:val="nil"/>
              <w:bottom w:val="single" w:sz="2" w:space="0" w:color="auto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Model II</w:t>
            </w:r>
          </w:p>
        </w:tc>
        <w:tc>
          <w:tcPr>
            <w:tcW w:w="5652" w:type="dxa"/>
            <w:gridSpan w:val="5"/>
            <w:tcBorders>
              <w:top w:val="single" w:sz="4" w:space="0" w:color="auto"/>
            </w:tcBorders>
          </w:tcPr>
          <w:p w:rsidR="006924C2" w:rsidRPr="00576177" w:rsidRDefault="00521EFA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sz w:val="22"/>
              </w:rPr>
            </w:pPr>
            <w:r w:rsidRPr="00576177">
              <w:rPr>
                <w:rFonts w:ascii="Times New Roman" w:eastAsia="Times New Roman" w:hAnsi="Times New Roman" w:cs="Times New Roman"/>
                <w:sz w:val="22"/>
              </w:rPr>
              <w:t xml:space="preserve">Periodontal treatment classification </w:t>
            </w:r>
            <w:r w:rsidR="006924C2" w:rsidRPr="00576177">
              <w:rPr>
                <w:rFonts w:ascii="Times New Roman" w:eastAsia="Times New Roman" w:hAnsi="Times New Roman" w:cs="Times New Roman"/>
                <w:sz w:val="22"/>
              </w:rPr>
              <w:t>(ref=No)</w:t>
            </w:r>
          </w:p>
        </w:tc>
        <w:tc>
          <w:tcPr>
            <w:tcW w:w="1366" w:type="dxa"/>
            <w:tcBorders>
              <w:top w:val="single" w:sz="4" w:space="0" w:color="auto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56" w:type="dxa"/>
            <w:tcBorders>
              <w:top w:val="single" w:sz="4" w:space="0" w:color="auto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SRP</w:t>
            </w:r>
          </w:p>
        </w:tc>
        <w:tc>
          <w:tcPr>
            <w:tcW w:w="68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-0.545</w:t>
            </w:r>
          </w:p>
        </w:tc>
        <w:tc>
          <w:tcPr>
            <w:tcW w:w="1366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0.579</w:t>
            </w:r>
          </w:p>
        </w:tc>
        <w:tc>
          <w:tcPr>
            <w:tcW w:w="856" w:type="dxa"/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6924C2" w:rsidRPr="006924C2" w:rsidRDefault="006924C2" w:rsidP="006924C2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Subgingival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curettage</w:t>
            </w:r>
          </w:p>
        </w:tc>
        <w:tc>
          <w:tcPr>
            <w:tcW w:w="68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-0.903</w:t>
            </w:r>
          </w:p>
        </w:tc>
        <w:tc>
          <w:tcPr>
            <w:tcW w:w="1366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0.405</w:t>
            </w:r>
          </w:p>
        </w:tc>
        <w:tc>
          <w:tcPr>
            <w:tcW w:w="856" w:type="dxa"/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vAlign w:val="center"/>
          </w:tcPr>
          <w:p w:rsidR="006924C2" w:rsidRDefault="006924C2" w:rsidP="006924C2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Periodontal flap surgery</w:t>
            </w:r>
          </w:p>
        </w:tc>
        <w:tc>
          <w:tcPr>
            <w:tcW w:w="683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-0.954</w:t>
            </w:r>
          </w:p>
        </w:tc>
        <w:tc>
          <w:tcPr>
            <w:tcW w:w="1366" w:type="dxa"/>
            <w:vAlign w:val="center"/>
          </w:tcPr>
          <w:p w:rsidR="006924C2" w:rsidRPr="006924C2" w:rsidRDefault="006924C2" w:rsidP="00E8213E">
            <w:pPr>
              <w:spacing w:after="0" w:line="480" w:lineRule="auto"/>
              <w:jc w:val="left"/>
              <w:rPr>
                <w:rFonts w:ascii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hAnsi="Times New Roman" w:cs="Times New Roman" w:hint="eastAsia"/>
                <w:color w:val="000000"/>
                <w:sz w:val="22"/>
              </w:rPr>
              <w:t>0.385</w:t>
            </w:r>
          </w:p>
        </w:tc>
        <w:tc>
          <w:tcPr>
            <w:tcW w:w="856" w:type="dxa"/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6924C2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377" w:type="dxa"/>
            <w:gridSpan w:val="4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Systematic Diseases</w:t>
            </w: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 </w:t>
            </w: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(ref=No)</w:t>
            </w:r>
          </w:p>
        </w:tc>
        <w:tc>
          <w:tcPr>
            <w:tcW w:w="3497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6924C2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Ischemic heart diseases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0.340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1.405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6924C2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Cerebrovascular diseases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0.067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1.069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6924C2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Kidney diseases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1.178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3.249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6924C2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 xml:space="preserve">Diabetes mellitus 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0.433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1.541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377" w:type="dxa"/>
            <w:gridSpan w:val="4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Sex (ref=Male)</w:t>
            </w: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Female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-0.632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0.531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209" w:type="dxa"/>
            <w:gridSpan w:val="3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Age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0.051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1.052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7874" w:type="dxa"/>
            <w:gridSpan w:val="7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Health Insurance (ref= Health insurance holders)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2693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Medical aid</w:t>
            </w:r>
          </w:p>
        </w:tc>
        <w:tc>
          <w:tcPr>
            <w:tcW w:w="68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0.139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1.149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4209" w:type="dxa"/>
            <w:gridSpan w:val="3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Residential areas (ref=metropolitan areas)</w:t>
            </w:r>
          </w:p>
        </w:tc>
        <w:tc>
          <w:tcPr>
            <w:tcW w:w="168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275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1366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856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Small/medium-sized cities</w:t>
            </w:r>
          </w:p>
        </w:tc>
        <w:tc>
          <w:tcPr>
            <w:tcW w:w="1275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-0.032</w:t>
            </w:r>
          </w:p>
        </w:tc>
        <w:tc>
          <w:tcPr>
            <w:tcW w:w="1366" w:type="dxa"/>
            <w:tcBorders>
              <w:left w:val="nil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0.968</w:t>
            </w:r>
          </w:p>
        </w:tc>
        <w:tc>
          <w:tcPr>
            <w:tcW w:w="856" w:type="dxa"/>
            <w:tcBorders>
              <w:left w:val="nil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</w:p>
        </w:tc>
      </w:tr>
      <w:tr w:rsidR="006924C2" w:rsidTr="00E8213E">
        <w:trPr>
          <w:trHeight w:val="333"/>
        </w:trPr>
        <w:tc>
          <w:tcPr>
            <w:tcW w:w="1152" w:type="dxa"/>
            <w:vMerge/>
            <w:tcBorders>
              <w:top w:val="nil"/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line="480" w:lineRule="auto"/>
              <w:jc w:val="left"/>
              <w:rPr>
                <w:rFonts w:ascii="Times New Roman" w:eastAsia="맑은 고딕" w:hAnsi="Times New Roman" w:cs="Times New Roman"/>
                <w:sz w:val="22"/>
              </w:rPr>
            </w:pPr>
          </w:p>
        </w:tc>
        <w:tc>
          <w:tcPr>
            <w:tcW w:w="833" w:type="dxa"/>
            <w:tcBorders>
              <w:left w:val="nil"/>
              <w:bottom w:val="single" w:sz="2" w:space="0" w:color="auto"/>
              <w:right w:val="nil"/>
            </w:tcBorders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</w:p>
        </w:tc>
        <w:tc>
          <w:tcPr>
            <w:tcW w:w="3544" w:type="dxa"/>
            <w:gridSpan w:val="3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Rural areas</w:t>
            </w:r>
          </w:p>
        </w:tc>
        <w:tc>
          <w:tcPr>
            <w:tcW w:w="1275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-0.023</w:t>
            </w:r>
          </w:p>
        </w:tc>
        <w:tc>
          <w:tcPr>
            <w:tcW w:w="136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6924C2" w:rsidRPr="005E7238" w:rsidRDefault="006924C2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 w:rsidRPr="005E7238">
              <w:rPr>
                <w:rFonts w:ascii="Times New Roman" w:eastAsia="Times New Roman" w:hAnsi="Times New Roman" w:cs="Times New Roman"/>
                <w:color w:val="000000"/>
                <w:sz w:val="22"/>
              </w:rPr>
              <w:t>0.977</w:t>
            </w:r>
          </w:p>
        </w:tc>
        <w:tc>
          <w:tcPr>
            <w:tcW w:w="856" w:type="dxa"/>
            <w:tcBorders>
              <w:left w:val="nil"/>
              <w:bottom w:val="single" w:sz="2" w:space="0" w:color="auto"/>
              <w:right w:val="nil"/>
            </w:tcBorders>
            <w:vAlign w:val="center"/>
          </w:tcPr>
          <w:p w:rsidR="006924C2" w:rsidRPr="005E7238" w:rsidRDefault="007C04AC" w:rsidP="00E8213E">
            <w:pPr>
              <w:spacing w:after="0" w:line="480" w:lineRule="auto"/>
              <w:jc w:val="left"/>
              <w:rPr>
                <w:rFonts w:ascii="Times New Roman" w:eastAsia="Times New Roman" w:hAnsi="Times New Roman" w:cs="Times New Roman"/>
                <w:color w:val="000000"/>
                <w:sz w:val="22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22"/>
              </w:rPr>
              <w:t>&lt; 0.001</w:t>
            </w:r>
            <w:bookmarkStart w:id="0" w:name="_GoBack"/>
            <w:bookmarkEnd w:id="0"/>
          </w:p>
        </w:tc>
      </w:tr>
    </w:tbl>
    <w:p w:rsidR="007C04AC" w:rsidRDefault="007C04AC" w:rsidP="007C04AC">
      <w:pPr>
        <w:spacing w:line="480" w:lineRule="auto"/>
        <w:rPr>
          <w:rFonts w:ascii="Times New Roman" w:eastAsia="Times New Roman" w:hAnsi="Times New Roman" w:cs="Times New Roman"/>
          <w:szCs w:val="20"/>
        </w:rPr>
      </w:pPr>
      <w:proofErr w:type="spellStart"/>
      <w:r w:rsidRPr="00410279">
        <w:rPr>
          <w:rFonts w:ascii="Times New Roman" w:hAnsi="Times New Roman" w:cs="Times New Roman"/>
          <w:i/>
          <w:iCs/>
          <w:szCs w:val="20"/>
        </w:rPr>
        <w:t>Coef</w:t>
      </w:r>
      <w:proofErr w:type="spellEnd"/>
      <w:r>
        <w:rPr>
          <w:rFonts w:ascii="Times New Roman" w:hAnsi="Times New Roman" w:cs="Times New Roman"/>
          <w:i/>
          <w:iCs/>
          <w:szCs w:val="20"/>
        </w:rPr>
        <w:t>,</w:t>
      </w:r>
      <w:r w:rsidRPr="00410279">
        <w:rPr>
          <w:rFonts w:ascii="Times New Roman" w:hAnsi="Times New Roman" w:cs="Times New Roman"/>
          <w:szCs w:val="20"/>
        </w:rPr>
        <w:t xml:space="preserve"> Coefficients</w:t>
      </w:r>
      <w:r>
        <w:rPr>
          <w:rFonts w:ascii="Times New Roman" w:hAnsi="Times New Roman" w:cs="Times New Roman"/>
          <w:szCs w:val="20"/>
        </w:rPr>
        <w:t>;</w:t>
      </w:r>
      <w:r w:rsidRPr="00410279">
        <w:rPr>
          <w:rFonts w:ascii="Times New Roman" w:hAnsi="Times New Roman" w:cs="Times New Roman"/>
          <w:szCs w:val="20"/>
        </w:rPr>
        <w:t xml:space="preserve"> </w:t>
      </w:r>
      <w:r w:rsidRPr="00410279">
        <w:rPr>
          <w:rFonts w:ascii="Times New Roman" w:hAnsi="Times New Roman" w:cs="Times New Roman"/>
          <w:i/>
          <w:iCs/>
          <w:szCs w:val="20"/>
        </w:rPr>
        <w:t>ref</w:t>
      </w:r>
      <w:r>
        <w:rPr>
          <w:rFonts w:ascii="Times New Roman" w:hAnsi="Times New Roman" w:cs="Times New Roman"/>
          <w:i/>
          <w:iCs/>
          <w:szCs w:val="20"/>
        </w:rPr>
        <w:t>,</w:t>
      </w:r>
      <w:r w:rsidRPr="00410279">
        <w:rPr>
          <w:rFonts w:ascii="Times New Roman" w:hAnsi="Times New Roman" w:cs="Times New Roman"/>
          <w:szCs w:val="20"/>
        </w:rPr>
        <w:t xml:space="preserve"> Reference group</w:t>
      </w:r>
      <w:r>
        <w:rPr>
          <w:rFonts w:ascii="Times New Roman" w:hAnsi="Times New Roman" w:cs="Times New Roman"/>
          <w:szCs w:val="20"/>
        </w:rPr>
        <w:t>;</w:t>
      </w:r>
      <w:r w:rsidRPr="00410279">
        <w:rPr>
          <w:rFonts w:ascii="Times New Roman" w:hAnsi="Times New Roman" w:cs="Times New Roman"/>
          <w:szCs w:val="20"/>
        </w:rPr>
        <w:t xml:space="preserve"> </w:t>
      </w:r>
      <w:r w:rsidRPr="00410279">
        <w:rPr>
          <w:rFonts w:ascii="Times New Roman" w:eastAsia="Times New Roman" w:hAnsi="Times New Roman" w:cs="Times New Roman"/>
          <w:i/>
          <w:szCs w:val="20"/>
        </w:rPr>
        <w:t>SRP</w:t>
      </w:r>
      <w:r>
        <w:rPr>
          <w:rFonts w:ascii="Times New Roman" w:eastAsia="Times New Roman" w:hAnsi="Times New Roman" w:cs="Times New Roman"/>
          <w:i/>
          <w:szCs w:val="20"/>
        </w:rPr>
        <w:t>,</w:t>
      </w:r>
      <w:r w:rsidRPr="00410279">
        <w:rPr>
          <w:rFonts w:ascii="Times New Roman" w:eastAsia="Times New Roman" w:hAnsi="Times New Roman" w:cs="Times New Roman"/>
          <w:szCs w:val="20"/>
        </w:rPr>
        <w:t xml:space="preserve"> Scaling or Root planning</w:t>
      </w:r>
    </w:p>
    <w:p w:rsidR="004030B7" w:rsidRPr="007C04AC" w:rsidRDefault="004030B7"/>
    <w:sectPr w:rsidR="004030B7" w:rsidRPr="007C04AC">
      <w:pgSz w:w="11906" w:h="16838"/>
      <w:pgMar w:top="1701" w:right="1440" w:bottom="1440" w:left="1440" w:header="851" w:footer="992" w:gutter="0"/>
      <w:cols w:space="425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함초롬바탕">
    <w:altName w:val="Batang"/>
    <w:panose1 w:val="02030604000101010101"/>
    <w:charset w:val="81"/>
    <w:family w:val="roman"/>
    <w:pitch w:val="variable"/>
    <w:sig w:usb0="F7002EFF" w:usb1="19DFFFFF" w:usb2="001BFDD7" w:usb3="00000000" w:csb0="001F007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6111E"/>
    <w:rsid w:val="000C686D"/>
    <w:rsid w:val="00153FCB"/>
    <w:rsid w:val="004030B7"/>
    <w:rsid w:val="0046111E"/>
    <w:rsid w:val="00521EFA"/>
    <w:rsid w:val="005243B3"/>
    <w:rsid w:val="00576177"/>
    <w:rsid w:val="00582594"/>
    <w:rsid w:val="00681BCD"/>
    <w:rsid w:val="006924C2"/>
    <w:rsid w:val="006D32C6"/>
    <w:rsid w:val="00721E70"/>
    <w:rsid w:val="00761A66"/>
    <w:rsid w:val="007C04AC"/>
    <w:rsid w:val="00A20F9D"/>
    <w:rsid w:val="00CF42D8"/>
    <w:rsid w:val="00ED13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C677B5A"/>
  <w15:chartTrackingRefBased/>
  <w15:docId w15:val="{DAA34044-321C-49ED-9363-D360AAD688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160" w:line="259" w:lineRule="auto"/>
        <w:jc w:val="both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C686D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20F9D"/>
    <w:pPr>
      <w:wordWrap/>
      <w:autoSpaceDE/>
      <w:autoSpaceDN/>
      <w:spacing w:after="0" w:line="384" w:lineRule="auto"/>
    </w:pPr>
    <w:rPr>
      <w:rFonts w:ascii="함초롬바탕" w:eastAsia="함초롬바탕" w:hAnsi="함초롬바탕" w:cs="함초롬바탕"/>
      <w:color w:val="00000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chohana</dc:creator>
  <cp:keywords/>
  <dc:description/>
  <cp:lastModifiedBy>chohana</cp:lastModifiedBy>
  <cp:revision>5</cp:revision>
  <dcterms:created xsi:type="dcterms:W3CDTF">2024-01-18T01:50:00Z</dcterms:created>
  <dcterms:modified xsi:type="dcterms:W3CDTF">2024-01-22T02:55:00Z</dcterms:modified>
</cp:coreProperties>
</file>