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S01. </w:t>
      </w:r>
      <w:r w:rsidDel="00000000" w:rsidR="00000000" w:rsidRPr="00000000">
        <w:rPr>
          <w:sz w:val="20"/>
          <w:szCs w:val="20"/>
          <w:rtl w:val="0"/>
        </w:rPr>
        <w:t xml:space="preserve">EOG and EEG electrode locations.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3073400"/>
            <wp:effectExtent b="0" l="0" r="0" t="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7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S02. </w:t>
      </w:r>
      <w:r w:rsidDel="00000000" w:rsidR="00000000" w:rsidRPr="00000000">
        <w:rPr>
          <w:sz w:val="20"/>
          <w:szCs w:val="20"/>
          <w:rtl w:val="0"/>
        </w:rPr>
        <w:t xml:space="preserve">Block diagram describing the online operation of the three decoding models (and as detailed in section 2.3.2).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5731200" cy="32639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S03.</w:t>
      </w:r>
      <w:r w:rsidDel="00000000" w:rsidR="00000000" w:rsidRPr="00000000">
        <w:rPr>
          <w:sz w:val="20"/>
          <w:szCs w:val="20"/>
          <w:rtl w:val="0"/>
        </w:rPr>
        <w:t xml:space="preserve"> Definition of the regions of interest (ROIs).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S04.</w:t>
      </w:r>
      <w:r w:rsidDel="00000000" w:rsidR="00000000" w:rsidRPr="00000000">
        <w:rPr>
          <w:sz w:val="20"/>
          <w:szCs w:val="20"/>
          <w:rtl w:val="0"/>
        </w:rPr>
        <w:t xml:space="preserve"> Goal-directed movement intention, movlook vs. onlylook (mean ± alpha = 0.05 confidence interval, electrode Cz, calibration trials) for each participant.</w:t>
      </w:r>
    </w:p>
    <w:p w:rsidR="00000000" w:rsidDel="00000000" w:rsidP="00000000" w:rsidRDefault="00000000" w:rsidRPr="00000000" w14:paraId="00000016">
      <w:pPr>
        <w:widowControl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5731200" cy="5791200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9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S05.</w:t>
      </w:r>
      <w:r w:rsidDel="00000000" w:rsidR="00000000" w:rsidRPr="00000000">
        <w:rPr>
          <w:sz w:val="20"/>
          <w:szCs w:val="20"/>
          <w:rtl w:val="0"/>
        </w:rPr>
        <w:t xml:space="preserve"> Goal-directed movement intention, average sensor space potentials time-locked to the detection in the “movlook” online runs. </w:t>
      </w:r>
      <w:r w:rsidDel="00000000" w:rsidR="00000000" w:rsidRPr="00000000">
        <w:rPr>
          <w:sz w:val="20"/>
          <w:szCs w:val="20"/>
          <w:rtl w:val="0"/>
        </w:rPr>
        <w:t xml:space="preserve">The “0s” time-point corresponds to the MRCP detection, according to the classifier.</w:t>
      </w:r>
    </w:p>
    <w:p w:rsidR="00000000" w:rsidDel="00000000" w:rsidP="00000000" w:rsidRDefault="00000000" w:rsidRPr="00000000" w14:paraId="0000001C">
      <w:pPr>
        <w:widowControl w:val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635000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S06.</w:t>
      </w:r>
      <w:r w:rsidDel="00000000" w:rsidR="00000000" w:rsidRPr="00000000">
        <w:rPr>
          <w:sz w:val="20"/>
          <w:szCs w:val="20"/>
          <w:rtl w:val="0"/>
        </w:rPr>
        <w:t xml:space="preserve"> Goal-directed movement intention, source space analysis of “movlook” vs “onlylook” activity, at all time-points [-0.9 0.9]s with respect to saccade onset.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1295400"/>
            <wp:effectExtent b="0" l="0" r="0" t="0"/>
            <wp:docPr id="1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S07.</w:t>
      </w:r>
      <w:r w:rsidDel="00000000" w:rsidR="00000000" w:rsidRPr="00000000">
        <w:rPr>
          <w:sz w:val="20"/>
          <w:szCs w:val="20"/>
          <w:rtl w:val="0"/>
        </w:rPr>
        <w:t xml:space="preserve"> Trajectory decoding, activation patterns in source space, at a</w:t>
      </w:r>
      <w:r w:rsidDel="00000000" w:rsidR="00000000" w:rsidRPr="00000000">
        <w:rPr>
          <w:sz w:val="20"/>
          <w:szCs w:val="20"/>
          <w:rtl w:val="0"/>
        </w:rPr>
        <w:t xml:space="preserve">ll </w:t>
      </w:r>
      <w:r w:rsidDel="00000000" w:rsidR="00000000" w:rsidRPr="00000000">
        <w:rPr>
          <w:sz w:val="20"/>
          <w:szCs w:val="20"/>
          <w:rtl w:val="0"/>
        </w:rPr>
        <w:t xml:space="preserve">time-lags</w:t>
      </w:r>
      <w:r w:rsidDel="00000000" w:rsidR="00000000" w:rsidRPr="00000000">
        <w:rPr>
          <w:sz w:val="20"/>
          <w:szCs w:val="20"/>
          <w:rtl w:val="0"/>
        </w:rPr>
        <w:t xml:space="preserve"> used for decoding. </w:t>
      </w:r>
      <w:r w:rsidDel="00000000" w:rsidR="00000000" w:rsidRPr="00000000">
        <w:rPr>
          <w:sz w:val="20"/>
          <w:szCs w:val="20"/>
          <w:rtl w:val="0"/>
        </w:rPr>
        <w:t xml:space="preserve">As described in the methods, the time-lags correspond to the current and previous six downsampled EEG samples {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k-6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k-5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k-4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k-3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k-2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k-1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sz w:val="20"/>
          <w:szCs w:val="20"/>
          <w:rtl w:val="0"/>
        </w:rPr>
        <w:t xml:space="preserve">t</w:t>
      </w:r>
      <w:r w:rsidDel="00000000" w:rsidR="00000000" w:rsidRPr="00000000">
        <w:rPr>
          <w:i w:val="1"/>
          <w:sz w:val="20"/>
          <w:szCs w:val="20"/>
          <w:vertAlign w:val="subscript"/>
          <w:rtl w:val="0"/>
        </w:rPr>
        <w:t xml:space="preserve">k</w:t>
      </w:r>
      <w:r w:rsidDel="00000000" w:rsidR="00000000" w:rsidRPr="00000000">
        <w:rPr>
          <w:sz w:val="20"/>
          <w:szCs w:val="20"/>
          <w:rtl w:val="0"/>
        </w:rPr>
        <w:t xml:space="preserve">} with respect to the current time-point of the decoded trajectories. As the EEG was downsampled to 20 Hz for decoding, these correspond to the time-points {-0.3s, -0.25s, -0.2s, -0.15s, -0.01s, -0.05s, 0s} with respect to the current time-point of the decoded movements.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721595" cy="5452343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595" cy="54523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Table ST06.</w:t>
      </w:r>
      <w:r w:rsidDel="00000000" w:rsidR="00000000" w:rsidRPr="00000000">
        <w:rPr>
          <w:sz w:val="20"/>
          <w:szCs w:val="20"/>
          <w:rtl w:val="0"/>
        </w:rPr>
        <w:t xml:space="preserve"> Statistical analyses for trajectory decoding activation patterns. ROIs with significantly stronger activity in the decoder’s pattern with respect to the corresponding chance level pattern (alpha = 0.05, FDR corrected) are marked in white and with an “x”.</w:t>
      </w:r>
    </w:p>
    <w:tbl>
      <w:tblPr>
        <w:tblStyle w:val="Table1"/>
        <w:tblW w:w="89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"/>
        <w:gridCol w:w="555"/>
        <w:gridCol w:w="525"/>
        <w:gridCol w:w="525"/>
        <w:gridCol w:w="525"/>
        <w:gridCol w:w="525"/>
        <w:gridCol w:w="525"/>
        <w:gridCol w:w="555"/>
        <w:gridCol w:w="495"/>
        <w:gridCol w:w="525"/>
        <w:gridCol w:w="525"/>
        <w:gridCol w:w="525"/>
        <w:gridCol w:w="525"/>
        <w:gridCol w:w="525"/>
        <w:gridCol w:w="525"/>
        <w:gridCol w:w="525"/>
        <w:gridCol w:w="525"/>
        <w:tblGridChange w:id="0">
          <w:tblGrid>
            <w:gridCol w:w="540"/>
            <w:gridCol w:w="555"/>
            <w:gridCol w:w="525"/>
            <w:gridCol w:w="525"/>
            <w:gridCol w:w="525"/>
            <w:gridCol w:w="525"/>
            <w:gridCol w:w="525"/>
            <w:gridCol w:w="555"/>
            <w:gridCol w:w="495"/>
            <w:gridCol w:w="525"/>
            <w:gridCol w:w="525"/>
            <w:gridCol w:w="525"/>
            <w:gridCol w:w="525"/>
            <w:gridCol w:w="525"/>
            <w:gridCol w:w="525"/>
            <w:gridCol w:w="525"/>
            <w:gridCol w:w="5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superiorfrontal L (SFG-l)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dcb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primary motor cortex left (M1-l)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primary somatosensory cortex left (S1-l)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b9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precuneus left (PCun-l)</w:t>
            </w:r>
          </w:p>
        </w:tc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superiorparietal lobule left (SPL-l)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inferiorparietal lobzle left (IPL-l)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occipital gyrus left (OcG-l)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7cc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cuneus left (Cu-l)</w:t>
            </w:r>
          </w:p>
        </w:tc>
        <w:tc>
          <w:tcPr>
            <w:shd w:fill="8e7cc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cuneus right (Cu-r)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occipital gyrus left (OcG-r)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inferiorparietal lobzle left (IPL-r)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superiorparietal lobule left (SPL-r)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b9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precuneus right (PCun-r)</w:t>
            </w:r>
          </w:p>
        </w:tc>
        <w:tc>
          <w:tcPr>
            <w:shd w:fill="ff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primary somatosensory cortex left (S1-r)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dcb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primary motor cortex left (M1-r)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2"/>
                <w:szCs w:val="12"/>
                <w:rtl w:val="0"/>
              </w:rPr>
              <w:t xml:space="preserve">superiorfrontal L (SFG-r)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pos x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vel x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pos 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vel y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x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dist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12"/>
                <w:szCs w:val="12"/>
                <w:rtl w:val="0"/>
              </w:rPr>
              <w:t xml:space="preserve">speed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420900" cy="327387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0900" cy="3273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S08. </w:t>
      </w:r>
      <w:r w:rsidDel="00000000" w:rsidR="00000000" w:rsidRPr="00000000">
        <w:rPr>
          <w:sz w:val="20"/>
          <w:szCs w:val="20"/>
          <w:rtl w:val="0"/>
        </w:rPr>
        <w:t xml:space="preserve">Error processing part, error vs. correct (mean ± s.e.m, electrode FcZ, calibration trials) for each participant. Errors displayed in blue, correct in pink.</w:t>
      </w:r>
    </w:p>
    <w:p w:rsidR="00000000" w:rsidDel="00000000" w:rsidP="00000000" w:rsidRDefault="00000000" w:rsidRPr="00000000" w14:paraId="000000A7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5731200" cy="49784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7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Table ST07. </w:t>
      </w:r>
      <w:r w:rsidDel="00000000" w:rsidR="00000000" w:rsidRPr="00000000">
        <w:rPr>
          <w:sz w:val="20"/>
          <w:szCs w:val="20"/>
          <w:rtl w:val="0"/>
        </w:rPr>
        <w:t xml:space="preserve">Pe and late ERN peaking time in the calibration trials for each participant. The participant-specific time windows and thresholds for the personalised classifier are also reported. </w:t>
      </w:r>
      <w:r w:rsidDel="00000000" w:rsidR="00000000" w:rsidRPr="00000000">
        <w:rPr>
          <w:sz w:val="20"/>
          <w:szCs w:val="20"/>
          <w:rtl w:val="0"/>
        </w:rPr>
        <w:t xml:space="preserve">Some participants, namely [P02, P07, P08, P09], displayed two peaks for the Pe, and two peaks for the late ERN, instead of a single peak.</w:t>
      </w:r>
    </w:p>
    <w:p w:rsidR="00000000" w:rsidDel="00000000" w:rsidP="00000000" w:rsidRDefault="00000000" w:rsidRPr="00000000" w14:paraId="000000AB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5.5118110236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1.8828883395815"/>
        <w:gridCol w:w="1552.7257845368083"/>
        <w:gridCol w:w="1552.7257845368083"/>
        <w:gridCol w:w="1552.7257845368083"/>
        <w:gridCol w:w="1552.7257845368083"/>
        <w:gridCol w:w="1552.7257845368083"/>
        <w:tblGridChange w:id="0">
          <w:tblGrid>
            <w:gridCol w:w="1261.8828883395815"/>
            <w:gridCol w:w="1552.7257845368083"/>
            <w:gridCol w:w="1552.7257845368083"/>
            <w:gridCol w:w="1552.7257845368083"/>
            <w:gridCol w:w="1552.7257845368083"/>
            <w:gridCol w:w="1552.7257845368083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participant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late ERN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classifier window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window length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threshold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0.41s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[0.35 0.65]s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[0.33 0.46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[0.40 0.60]s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[0.45 0.75]s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0.41s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[0.60 0.95]s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0.43s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[0.55 0.90]s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[0.35 0.75]s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0.44s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0.67s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[0.30 0.80]s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[0.38 0.61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[0.50 0.74]s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[0.50 0.85]s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[0.44 0.71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[0.61 0.92]s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[0.40 0.90]s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[0.43 0.64]s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[0.53 0.76]s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[0.50 0.90]s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0.43s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0.61s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[0.40 0.80]s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0.40s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[0.50 0.85]s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0.975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0.46s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[0.40 0.85]s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0.45s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mean ± s.d.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[0.45 ± 0.053]s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[0.68 ± 0.095]s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[0.44 0.82]s ± [0.091 0.080]s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0.39 ± 0.065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0.92 ± 0.029</w:t>
            </w:r>
          </w:p>
        </w:tc>
      </w:tr>
    </w:tbl>
    <w:p w:rsidR="00000000" w:rsidDel="00000000" w:rsidP="00000000" w:rsidRDefault="00000000" w:rsidRPr="00000000" w14:paraId="00000100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S09.</w:t>
      </w:r>
      <w:r w:rsidDel="00000000" w:rsidR="00000000" w:rsidRPr="00000000">
        <w:rPr>
          <w:sz w:val="20"/>
          <w:szCs w:val="20"/>
          <w:rtl w:val="0"/>
        </w:rPr>
        <w:t xml:space="preserve"> Error processing part, cortical activity for the grand-average “error” vs. “correct” condition in source space.</w:t>
      </w:r>
    </w:p>
    <w:p w:rsidR="00000000" w:rsidDel="00000000" w:rsidP="00000000" w:rsidRDefault="00000000" w:rsidRPr="00000000" w14:paraId="00000103">
      <w:pPr>
        <w:widowControl w:val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460500"/>
            <wp:effectExtent b="0" l="0" r="0" t="0"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6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S10.</w:t>
      </w:r>
      <w:r w:rsidDel="00000000" w:rsidR="00000000" w:rsidRPr="00000000">
        <w:rPr>
          <w:sz w:val="20"/>
          <w:szCs w:val="20"/>
          <w:rtl w:val="0"/>
        </w:rPr>
        <w:t xml:space="preserve"> Error processing part, statistical analyses in source space. ROIs with significantly stronger activity in the “error” with respect to the “correct” condition (p &lt; 0.01, FDR corrected) are marked in white in the figure, non-significants in black.</w:t>
      </w:r>
    </w:p>
    <w:p w:rsidR="00000000" w:rsidDel="00000000" w:rsidP="00000000" w:rsidRDefault="00000000" w:rsidRPr="00000000" w14:paraId="00000107">
      <w:pPr>
        <w:widowControl w:val="0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2730500"/>
            <wp:effectExtent b="0" l="0" r="0" t="0"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S11.</w:t>
      </w:r>
      <w:r w:rsidDel="00000000" w:rsidR="00000000" w:rsidRPr="00000000">
        <w:rPr>
          <w:sz w:val="20"/>
          <w:szCs w:val="20"/>
          <w:rtl w:val="0"/>
        </w:rPr>
        <w:t xml:space="preserve"> Spinal cord injured (SCI) participant, goal-directed movement intention; average scalp potentials in sensor space for the“movlook” vs “onlylook” activity during the </w:t>
      </w:r>
      <w:r w:rsidDel="00000000" w:rsidR="00000000" w:rsidRPr="00000000">
        <w:rPr>
          <w:i w:val="1"/>
          <w:sz w:val="20"/>
          <w:szCs w:val="20"/>
          <w:rtl w:val="0"/>
        </w:rPr>
        <w:t xml:space="preserve">calibration</w:t>
      </w:r>
      <w:r w:rsidDel="00000000" w:rsidR="00000000" w:rsidRPr="00000000">
        <w:rPr>
          <w:sz w:val="20"/>
          <w:szCs w:val="20"/>
          <w:rtl w:val="0"/>
        </w:rPr>
        <w:t xml:space="preserve"> runs. The “0s” time-point marks the saccade onset.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5472113" cy="2175882"/>
            <wp:effectExtent b="0" l="0" r="0" t="0"/>
            <wp:docPr id="10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2113" cy="21758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S12.</w:t>
      </w:r>
      <w:r w:rsidDel="00000000" w:rsidR="00000000" w:rsidRPr="00000000">
        <w:rPr>
          <w:sz w:val="20"/>
          <w:szCs w:val="20"/>
          <w:rtl w:val="0"/>
        </w:rPr>
        <w:t xml:space="preserve"> Spinal cord injured (SCI) participant, goal-directed movement intention; source space analysis of “movlook” vs “onlylook” activity during the </w:t>
      </w:r>
      <w:r w:rsidDel="00000000" w:rsidR="00000000" w:rsidRPr="00000000">
        <w:rPr>
          <w:i w:val="1"/>
          <w:sz w:val="20"/>
          <w:szCs w:val="20"/>
          <w:rtl w:val="0"/>
        </w:rPr>
        <w:t xml:space="preserve">calibration</w:t>
      </w:r>
      <w:r w:rsidDel="00000000" w:rsidR="00000000" w:rsidRPr="00000000">
        <w:rPr>
          <w:sz w:val="20"/>
          <w:szCs w:val="20"/>
          <w:rtl w:val="0"/>
        </w:rPr>
        <w:t xml:space="preserve"> runs. The “0s” time-point marks the saccade onset.</w:t>
      </w:r>
    </w:p>
    <w:p w:rsidR="00000000" w:rsidDel="00000000" w:rsidP="00000000" w:rsidRDefault="00000000" w:rsidRPr="00000000" w14:paraId="0000010F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731200" cy="1143000"/>
            <wp:effectExtent b="0" l="0" r="0" t="0"/>
            <wp:docPr id="1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4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widowControl w:val="0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S13.</w:t>
      </w:r>
      <w:r w:rsidDel="00000000" w:rsidR="00000000" w:rsidRPr="00000000">
        <w:rPr>
          <w:sz w:val="20"/>
          <w:szCs w:val="20"/>
          <w:rtl w:val="0"/>
        </w:rPr>
        <w:t xml:space="preserve"> SCI participant, trajectory decoding; activation patterns in source space, at all time-points.</w:t>
      </w:r>
    </w:p>
    <w:p w:rsidR="00000000" w:rsidDel="00000000" w:rsidP="00000000" w:rsidRDefault="00000000" w:rsidRPr="00000000" w14:paraId="00000112">
      <w:pPr>
        <w:widowControl w:val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3720938" cy="3655821"/>
            <wp:effectExtent b="0" l="0" r="0" t="0"/>
            <wp:docPr id="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0938" cy="36558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0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z w:val="20"/>
          <w:szCs w:val="20"/>
          <w:rtl w:val="0"/>
        </w:rPr>
        <w:t xml:space="preserve">Supplementary Figure S14.</w:t>
      </w:r>
      <w:r w:rsidDel="00000000" w:rsidR="00000000" w:rsidRPr="00000000">
        <w:rPr>
          <w:sz w:val="20"/>
          <w:szCs w:val="20"/>
          <w:rtl w:val="0"/>
        </w:rPr>
        <w:t xml:space="preserve"> SCI participant, error processing part, error vs. correct (mean ± s.e.m) at electrode FcZ, calibration trials.Errors displayed in blue, correct in pink.</w:t>
      </w:r>
    </w:p>
    <w:p w:rsidR="00000000" w:rsidDel="00000000" w:rsidP="00000000" w:rsidRDefault="00000000" w:rsidRPr="00000000" w14:paraId="00000114">
      <w:pPr>
        <w:widowControl w:val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2700949" cy="2262188"/>
            <wp:effectExtent b="0" l="0" r="0" t="0"/>
            <wp:docPr id="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0949" cy="2262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11" Type="http://schemas.openxmlformats.org/officeDocument/2006/relationships/image" Target="media/image13.png"/><Relationship Id="rId10" Type="http://schemas.openxmlformats.org/officeDocument/2006/relationships/image" Target="media/image11.png"/><Relationship Id="rId13" Type="http://schemas.openxmlformats.org/officeDocument/2006/relationships/image" Target="media/image5.png"/><Relationship Id="rId12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3.png"/><Relationship Id="rId14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19" Type="http://schemas.openxmlformats.org/officeDocument/2006/relationships/image" Target="media/image14.png"/><Relationship Id="rId6" Type="http://schemas.openxmlformats.org/officeDocument/2006/relationships/image" Target="media/image8.png"/><Relationship Id="rId18" Type="http://schemas.openxmlformats.org/officeDocument/2006/relationships/image" Target="media/image12.png"/><Relationship Id="rId7" Type="http://schemas.openxmlformats.org/officeDocument/2006/relationships/image" Target="media/image2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