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A584" w14:textId="77777777" w:rsidR="00EB75C5" w:rsidRDefault="00EB75C5" w:rsidP="00EB75C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5C6D6E">
        <w:rPr>
          <w:rFonts w:ascii="Times New Roman" w:eastAsia="Arial" w:hAnsi="Times New Roman" w:cs="Times New Roman"/>
          <w:b/>
          <w:bCs/>
          <w:sz w:val="24"/>
          <w:szCs w:val="24"/>
        </w:rPr>
        <w:t>Supplementary Information</w:t>
      </w:r>
    </w:p>
    <w:p w14:paraId="6188D60F" w14:textId="77777777" w:rsidR="00EB75C5" w:rsidRPr="00ED6E4D" w:rsidRDefault="00EB75C5" w:rsidP="00EB75C5">
      <w:pPr>
        <w:rPr>
          <w:rFonts w:ascii="Times New Roman" w:eastAsia="Arial" w:hAnsi="Times New Roman" w:cs="Times New Roman"/>
          <w:sz w:val="24"/>
          <w:szCs w:val="24"/>
        </w:rPr>
      </w:pPr>
      <w:r w:rsidRPr="009F3F8A">
        <w:rPr>
          <w:rFonts w:ascii="Times New Roman" w:eastAsia="Arial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9F3F8A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9F3F8A">
        <w:rPr>
          <w:rFonts w:ascii="Times New Roman" w:eastAsia="Arial" w:hAnsi="Times New Roman" w:cs="Times New Roman"/>
          <w:sz w:val="24"/>
          <w:szCs w:val="24"/>
        </w:rPr>
        <w:t>Flow chart of patients enrolled in the study.</w:t>
      </w:r>
    </w:p>
    <w:p w14:paraId="5988ECB7" w14:textId="77777777" w:rsidR="00EB75C5" w:rsidRDefault="00EB75C5" w:rsidP="00EB75C5">
      <w:pPr>
        <w:rPr>
          <w:rFonts w:ascii="Times New Roman" w:eastAsia="Arial" w:hAnsi="Times New Roman" w:cs="Times New Roman"/>
          <w:sz w:val="24"/>
          <w:szCs w:val="24"/>
        </w:rPr>
      </w:pPr>
      <w:r w:rsidRPr="00091FB0">
        <w:rPr>
          <w:rFonts w:ascii="Times New Roman" w:eastAsia="Arial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091FB0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2.</w:t>
      </w:r>
      <w:r w:rsidRPr="00ED6E4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31721">
        <w:rPr>
          <w:rFonts w:ascii="Times New Roman" w:eastAsia="Arial" w:hAnsi="Times New Roman" w:cs="Times New Roman"/>
          <w:sz w:val="24"/>
          <w:szCs w:val="24"/>
        </w:rPr>
        <w:t>The cut-off value of LKB1 expression H-score with ROC curve analysis</w:t>
      </w:r>
      <w:r w:rsidRPr="00A0651D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74EE1E91" w14:textId="77777777" w:rsidR="00EB75C5" w:rsidRDefault="00EB75C5" w:rsidP="00EB75C5">
      <w:pPr>
        <w:rPr>
          <w:rFonts w:ascii="Times New Roman" w:eastAsia="Arial" w:hAnsi="Times New Roman" w:cs="Times New Roman"/>
          <w:sz w:val="24"/>
          <w:szCs w:val="24"/>
        </w:rPr>
      </w:pP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3</w:t>
      </w: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7225C3">
        <w:rPr>
          <w:rFonts w:ascii="Times New Roman" w:eastAsia="Arial" w:hAnsi="Times New Roman" w:cs="Times New Roman"/>
          <w:sz w:val="24"/>
          <w:szCs w:val="24"/>
        </w:rPr>
        <w:t>Associations between LKB1 and NRF2 expressions and its downstream target gene, NQO1</w:t>
      </w:r>
      <w:r>
        <w:rPr>
          <w:rFonts w:ascii="Times New Roman" w:eastAsia="Arial" w:hAnsi="Times New Roman" w:cs="Times New Roman"/>
          <w:sz w:val="24"/>
          <w:szCs w:val="24"/>
        </w:rPr>
        <w:t>, according to the histological subtypes. I</w:t>
      </w:r>
      <w:r w:rsidRPr="007225C3">
        <w:rPr>
          <w:rFonts w:ascii="Times New Roman" w:eastAsia="Arial" w:hAnsi="Times New Roman" w:cs="Times New Roman"/>
          <w:sz w:val="24"/>
          <w:szCs w:val="24"/>
        </w:rPr>
        <w:t>n non-squamous cell carcinoma subtype</w:t>
      </w:r>
      <w:r>
        <w:rPr>
          <w:rFonts w:ascii="Times New Roman" w:eastAsia="Arial" w:hAnsi="Times New Roman" w:cs="Times New Roman"/>
          <w:sz w:val="24"/>
          <w:szCs w:val="24"/>
        </w:rPr>
        <w:t>, r</w:t>
      </w:r>
      <w:r w:rsidRPr="007225C3">
        <w:rPr>
          <w:rFonts w:ascii="Times New Roman" w:eastAsia="Arial" w:hAnsi="Times New Roman" w:cs="Times New Roman"/>
          <w:sz w:val="24"/>
          <w:szCs w:val="24"/>
        </w:rPr>
        <w:t>elationships between the expression of LKB1 and (A) NRF2 expression, and (B) NQO1 expression.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869D5">
        <w:rPr>
          <w:rFonts w:ascii="Times New Roman" w:eastAsia="Arial" w:hAnsi="Times New Roman" w:cs="Times New Roman"/>
          <w:sz w:val="24"/>
          <w:szCs w:val="24"/>
        </w:rPr>
        <w:t>In s</w:t>
      </w:r>
      <w:r w:rsidRPr="007225C3">
        <w:rPr>
          <w:rFonts w:ascii="Times New Roman" w:eastAsia="Arial" w:hAnsi="Times New Roman" w:cs="Times New Roman"/>
          <w:sz w:val="24"/>
          <w:szCs w:val="24"/>
        </w:rPr>
        <w:t>quamous cell carcinoma subtype</w:t>
      </w:r>
      <w:r>
        <w:rPr>
          <w:rFonts w:ascii="Times New Roman" w:eastAsia="Arial" w:hAnsi="Times New Roman" w:cs="Times New Roman"/>
          <w:sz w:val="24"/>
          <w:szCs w:val="24"/>
        </w:rPr>
        <w:t>, r</w:t>
      </w:r>
      <w:r w:rsidRPr="007225C3">
        <w:rPr>
          <w:rFonts w:ascii="Times New Roman" w:eastAsia="Arial" w:hAnsi="Times New Roman" w:cs="Times New Roman"/>
          <w:sz w:val="24"/>
          <w:szCs w:val="24"/>
        </w:rPr>
        <w:t>elationships between the expression of LKB1 and (</w:t>
      </w:r>
      <w:r>
        <w:rPr>
          <w:rFonts w:ascii="Times New Roman" w:eastAsia="Arial" w:hAnsi="Times New Roman" w:cs="Times New Roman"/>
          <w:sz w:val="24"/>
          <w:szCs w:val="24"/>
        </w:rPr>
        <w:t>C</w:t>
      </w:r>
      <w:r w:rsidRPr="007225C3">
        <w:rPr>
          <w:rFonts w:ascii="Times New Roman" w:eastAsia="Arial" w:hAnsi="Times New Roman" w:cs="Times New Roman"/>
          <w:sz w:val="24"/>
          <w:szCs w:val="24"/>
        </w:rPr>
        <w:t>) NRF2 expression, and (</w:t>
      </w:r>
      <w:r>
        <w:rPr>
          <w:rFonts w:ascii="Times New Roman" w:eastAsia="Arial" w:hAnsi="Times New Roman" w:cs="Times New Roman"/>
          <w:sz w:val="24"/>
          <w:szCs w:val="24"/>
        </w:rPr>
        <w:t>D</w:t>
      </w:r>
      <w:r w:rsidRPr="007225C3">
        <w:rPr>
          <w:rFonts w:ascii="Times New Roman" w:eastAsia="Arial" w:hAnsi="Times New Roman" w:cs="Times New Roman"/>
          <w:sz w:val="24"/>
          <w:szCs w:val="24"/>
        </w:rPr>
        <w:t>) NQO1 expression. Tumor LKB1, NRF2, and NQO1 expressions are quantified as H-score.</w:t>
      </w:r>
    </w:p>
    <w:p w14:paraId="6E1784B4" w14:textId="77777777" w:rsidR="00EB75C5" w:rsidRDefault="00EB75C5" w:rsidP="00EB75C5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4</w:t>
      </w:r>
      <w:r w:rsidRPr="00005009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 w:rsidRPr="000629E9">
        <w:t xml:space="preserve"> </w:t>
      </w:r>
      <w:r w:rsidRPr="00332910">
        <w:rPr>
          <w:rFonts w:ascii="Times New Roman" w:eastAsia="Arial" w:hAnsi="Times New Roman" w:cs="Times New Roman"/>
          <w:sz w:val="24"/>
          <w:szCs w:val="24"/>
        </w:rPr>
        <w:t xml:space="preserve">Spearman’s </w:t>
      </w:r>
      <w:r>
        <w:rPr>
          <w:rFonts w:ascii="Times New Roman" w:eastAsia="Arial" w:hAnsi="Times New Roman" w:cs="Times New Roman"/>
          <w:sz w:val="24"/>
          <w:szCs w:val="24"/>
        </w:rPr>
        <w:t xml:space="preserve">correlation </w:t>
      </w:r>
      <w:r w:rsidRPr="00332910">
        <w:rPr>
          <w:rFonts w:ascii="Times New Roman" w:eastAsia="Arial" w:hAnsi="Times New Roman" w:cs="Times New Roman"/>
          <w:sz w:val="24"/>
          <w:szCs w:val="24"/>
        </w:rPr>
        <w:t xml:space="preserve">coefficient </w:t>
      </w:r>
      <w:r>
        <w:rPr>
          <w:rFonts w:ascii="Times New Roman" w:eastAsia="Arial" w:hAnsi="Times New Roman" w:cs="Times New Roman"/>
          <w:sz w:val="24"/>
          <w:szCs w:val="24"/>
        </w:rPr>
        <w:t>between LKB1, NRF2 and NQO1 expressions</w:t>
      </w:r>
      <w:r w:rsidRPr="000629E9">
        <w:rPr>
          <w:rFonts w:ascii="Times New Roman" w:eastAsia="Arial" w:hAnsi="Times New Roman" w:cs="Times New Roman"/>
          <w:sz w:val="24"/>
          <w:szCs w:val="24"/>
        </w:rPr>
        <w:t xml:space="preserve"> according to </w:t>
      </w:r>
      <w:r>
        <w:rPr>
          <w:rFonts w:ascii="Times New Roman" w:eastAsia="Arial" w:hAnsi="Times New Roman" w:cs="Times New Roman"/>
          <w:sz w:val="24"/>
          <w:szCs w:val="24"/>
        </w:rPr>
        <w:t xml:space="preserve">the </w:t>
      </w:r>
      <w:r w:rsidRPr="000629E9">
        <w:rPr>
          <w:rFonts w:ascii="Times New Roman" w:eastAsia="Arial" w:hAnsi="Times New Roman" w:cs="Times New Roman"/>
          <w:sz w:val="24"/>
          <w:szCs w:val="24"/>
        </w:rPr>
        <w:t>histologic</w:t>
      </w:r>
      <w:r>
        <w:rPr>
          <w:rFonts w:ascii="Times New Roman" w:eastAsia="Arial" w:hAnsi="Times New Roman" w:cs="Times New Roman"/>
          <w:sz w:val="24"/>
          <w:szCs w:val="24"/>
        </w:rPr>
        <w:t>al</w:t>
      </w:r>
      <w:r w:rsidRPr="000629E9">
        <w:rPr>
          <w:rFonts w:ascii="Times New Roman" w:eastAsia="Arial" w:hAnsi="Times New Roman" w:cs="Times New Roman"/>
          <w:sz w:val="24"/>
          <w:szCs w:val="24"/>
        </w:rPr>
        <w:t xml:space="preserve"> subtype</w:t>
      </w:r>
      <w:r>
        <w:rPr>
          <w:rFonts w:ascii="Times New Roman" w:eastAsia="Arial" w:hAnsi="Times New Roman" w:cs="Times New Roman"/>
          <w:sz w:val="24"/>
          <w:szCs w:val="24"/>
        </w:rPr>
        <w:t>s</w:t>
      </w:r>
      <w:r w:rsidRPr="000629E9">
        <w:rPr>
          <w:rFonts w:ascii="Times New Roman" w:eastAsia="Arial" w:hAnsi="Times New Roman" w:cs="Times New Roman"/>
          <w:sz w:val="24"/>
          <w:szCs w:val="24"/>
        </w:rPr>
        <w:t>.</w:t>
      </w:r>
      <w:r w:rsidRPr="005C6D6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174ADA1D" w14:textId="77777777" w:rsidR="00EB75C5" w:rsidRDefault="00EB75C5" w:rsidP="00EB75C5">
      <w:pPr>
        <w:rPr>
          <w:rFonts w:ascii="Times New Roman" w:eastAsia="Arial" w:hAnsi="Times New Roman" w:cs="Times New Roman"/>
          <w:sz w:val="24"/>
          <w:szCs w:val="24"/>
        </w:rPr>
      </w:pPr>
      <w:r w:rsidRPr="00A136C4">
        <w:rPr>
          <w:rFonts w:ascii="Times New Roman" w:eastAsia="Arial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A136C4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5</w:t>
      </w:r>
      <w:r w:rsidRPr="00A136C4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01607">
        <w:rPr>
          <w:rFonts w:ascii="Times New Roman" w:eastAsia="Arial" w:hAnsi="Times New Roman" w:cs="Times New Roman"/>
          <w:sz w:val="24"/>
          <w:szCs w:val="24"/>
        </w:rPr>
        <w:t>Representative disease failure patterns</w:t>
      </w:r>
      <w:r>
        <w:rPr>
          <w:rFonts w:ascii="Times New Roman" w:eastAsia="Arial" w:hAnsi="Times New Roman" w:cs="Times New Roman"/>
          <w:sz w:val="24"/>
          <w:szCs w:val="24"/>
        </w:rPr>
        <w:t>:</w:t>
      </w:r>
      <w:r w:rsidRPr="00701607">
        <w:rPr>
          <w:rFonts w:ascii="Times New Roman" w:eastAsia="Arial" w:hAnsi="Times New Roman" w:cs="Times New Roman"/>
          <w:sz w:val="24"/>
          <w:szCs w:val="24"/>
        </w:rPr>
        <w:t xml:space="preserve"> (A) type A in-field recurrence, (B) type B in-field recurrence, (C) marginal in-failure recurrence, (D) out-of-field recurrence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701607">
        <w:rPr>
          <w:rFonts w:ascii="Times New Roman" w:eastAsia="Arial" w:hAnsi="Times New Roman" w:cs="Times New Roman"/>
          <w:sz w:val="24"/>
          <w:szCs w:val="24"/>
        </w:rPr>
        <w:t>(E) and (F) show radiation doses registered with recurrence images of type A and type B in-field recurrence, respectively. Contouring and radiation dose. The green contour is the centroid, the magenta contour is the recurrent gross tumor volume (</w:t>
      </w:r>
      <w:proofErr w:type="spellStart"/>
      <w:r w:rsidRPr="00701607">
        <w:rPr>
          <w:rFonts w:ascii="Times New Roman" w:eastAsia="Arial" w:hAnsi="Times New Roman" w:cs="Times New Roman"/>
          <w:sz w:val="24"/>
          <w:szCs w:val="24"/>
        </w:rPr>
        <w:t>rGTV</w:t>
      </w:r>
      <w:proofErr w:type="spellEnd"/>
      <w:r w:rsidRPr="00701607">
        <w:rPr>
          <w:rFonts w:ascii="Times New Roman" w:eastAsia="Arial" w:hAnsi="Times New Roman" w:cs="Times New Roman"/>
          <w:sz w:val="24"/>
          <w:szCs w:val="24"/>
        </w:rPr>
        <w:t>), and the red contour is the primary planning target volume (PTV)</w:t>
      </w:r>
      <w:r w:rsidRPr="00394A8E">
        <w:rPr>
          <w:rFonts w:ascii="Times New Roman" w:eastAsia="Arial" w:hAnsi="Times New Roman" w:cs="Times New Roman"/>
          <w:sz w:val="24"/>
          <w:szCs w:val="24"/>
        </w:rPr>
        <w:t>.</w:t>
      </w:r>
    </w:p>
    <w:p w14:paraId="5B74D2A3" w14:textId="030BC17C" w:rsidR="00CD7D2F" w:rsidRDefault="00CD7D2F" w:rsidP="005C5031">
      <w:pPr>
        <w:pStyle w:val="NormalWeb"/>
        <w:keepNext/>
        <w:spacing w:before="0" w:beforeAutospacing="0" w:after="0" w:afterAutospacing="0"/>
        <w:rPr>
          <w:rFonts w:eastAsia="+mn-ea"/>
          <w:color w:val="000000"/>
          <w:kern w:val="24"/>
          <w:lang w:val="es-ES"/>
        </w:rPr>
      </w:pPr>
      <w:r w:rsidRPr="00CD7D2F">
        <w:rPr>
          <w:rFonts w:eastAsia="+mn-ea"/>
          <w:color w:val="000000"/>
          <w:kern w:val="24"/>
          <w:lang w:val="es-ES"/>
        </w:rPr>
        <w:lastRenderedPageBreak/>
        <w:t xml:space="preserve">Supplementary Figure </w:t>
      </w:r>
      <w:r w:rsidR="005C5031">
        <w:rPr>
          <w:rFonts w:eastAsia="+mn-ea"/>
          <w:color w:val="000000"/>
          <w:kern w:val="24"/>
          <w:lang w:val="es-ES"/>
        </w:rPr>
        <w:t>1</w:t>
      </w:r>
      <w:r w:rsidRPr="00CD7D2F">
        <w:rPr>
          <w:rFonts w:eastAsia="+mn-ea"/>
          <w:color w:val="000000"/>
          <w:kern w:val="24"/>
          <w:lang w:val="es-ES"/>
        </w:rPr>
        <w:t xml:space="preserve">. </w:t>
      </w:r>
    </w:p>
    <w:p w14:paraId="4FE19EFB" w14:textId="77777777" w:rsidR="008D6CFA" w:rsidRDefault="008D6CFA" w:rsidP="005C5031">
      <w:pPr>
        <w:pStyle w:val="NormalWeb"/>
        <w:keepNext/>
        <w:spacing w:before="0" w:beforeAutospacing="0" w:after="0" w:afterAutospacing="0"/>
        <w:rPr>
          <w:rFonts w:eastAsia="+mn-ea"/>
          <w:color w:val="000000"/>
          <w:kern w:val="24"/>
          <w:lang w:val="es-ES"/>
        </w:rPr>
      </w:pPr>
    </w:p>
    <w:p w14:paraId="16A7079A" w14:textId="0248CAD3" w:rsidR="00C121E8" w:rsidRDefault="008D6CFA" w:rsidP="008D6CFA">
      <w:pPr>
        <w:pStyle w:val="NormalWeb"/>
        <w:keepNext/>
        <w:spacing w:before="0" w:beforeAutospacing="0" w:after="0" w:afterAutospacing="0"/>
        <w:jc w:val="center"/>
        <w:rPr>
          <w:rFonts w:eastAsia="+mn-ea"/>
          <w:color w:val="000000"/>
          <w:kern w:val="24"/>
          <w:lang w:val="es-ES"/>
        </w:rPr>
      </w:pPr>
      <w:r w:rsidRPr="008D6CFA">
        <w:drawing>
          <wp:inline distT="0" distB="0" distL="0" distR="0" wp14:anchorId="3D99B5B4" wp14:editId="7FC7D298">
            <wp:extent cx="4500000" cy="5450400"/>
            <wp:effectExtent l="0" t="0" r="0" b="0"/>
            <wp:docPr id="470844738" name="Picture 1" descr="A computer screen 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844738" name="Picture 1" descr="A computer screen shot of a diagram&#10;&#10;Description automatically generated"/>
                    <pic:cNvPicPr/>
                  </pic:nvPicPr>
                  <pic:blipFill rotWithShape="1">
                    <a:blip r:embed="rId4"/>
                    <a:srcRect l="34780" t="17335" r="30330" b="7525"/>
                    <a:stretch/>
                  </pic:blipFill>
                  <pic:spPr bwMode="auto">
                    <a:xfrm>
                      <a:off x="0" y="0"/>
                      <a:ext cx="4500000" cy="545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4CC00" w14:textId="2056CFFC" w:rsidR="00C121E8" w:rsidRDefault="00C121E8" w:rsidP="005C5031">
      <w:pPr>
        <w:pStyle w:val="NormalWeb"/>
        <w:keepNext/>
        <w:spacing w:before="0" w:beforeAutospacing="0" w:after="0" w:afterAutospacing="0"/>
        <w:rPr>
          <w:rFonts w:eastAsia="+mn-ea"/>
          <w:color w:val="000000"/>
          <w:kern w:val="24"/>
          <w:lang w:val="es-ES"/>
        </w:rPr>
      </w:pPr>
    </w:p>
    <w:p w14:paraId="4013E7A6" w14:textId="242BB420" w:rsidR="00CD7D2F" w:rsidRDefault="00CD7D2F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3F6C98A1" w14:textId="77777777" w:rsidR="008D6CFA" w:rsidRDefault="008D6CFA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4D0039BB" w14:textId="77777777" w:rsidR="008D6CFA" w:rsidRDefault="008D6CFA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32C945CC" w14:textId="77777777" w:rsidR="008D6CFA" w:rsidRDefault="008D6CFA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5E332F10" w14:textId="77777777" w:rsidR="008D6CFA" w:rsidRDefault="008D6CFA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03572912" w14:textId="77777777" w:rsidR="008D6CFA" w:rsidRDefault="008D6CFA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79B40549" w14:textId="40A0BF75" w:rsidR="00CD7D2F" w:rsidRDefault="00CD7D2F" w:rsidP="00CD7D2F">
      <w:pPr>
        <w:pStyle w:val="NormalWeb"/>
        <w:pageBreakBefore/>
        <w:spacing w:before="0" w:beforeAutospacing="0" w:after="0" w:afterAutospacing="0"/>
      </w:pPr>
      <w:r w:rsidRPr="00CD7D2F">
        <w:lastRenderedPageBreak/>
        <w:t xml:space="preserve">Supplementary Figure </w:t>
      </w:r>
      <w:r w:rsidR="00D2639C">
        <w:t>2</w:t>
      </w:r>
      <w:r w:rsidRPr="00CD7D2F">
        <w:t>.</w:t>
      </w:r>
    </w:p>
    <w:p w14:paraId="2CD22B57" w14:textId="18BAEF55" w:rsidR="00CD7D2F" w:rsidRDefault="00CD7D2F" w:rsidP="00CD7D2F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4A90A167" wp14:editId="298CC7AF">
            <wp:extent cx="2743200" cy="2743200"/>
            <wp:effectExtent l="0" t="0" r="0" b="0"/>
            <wp:docPr id="5" name="Picture 4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C5CEC47-237E-45BF-8431-928A1D50E1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FC5CEC47-237E-45BF-8431-928A1D50E1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47A0" w14:textId="78D4A45B" w:rsidR="00CD7D2F" w:rsidRDefault="00CD7D2F" w:rsidP="00CD7D2F">
      <w:pPr>
        <w:pStyle w:val="NormalWeb"/>
        <w:spacing w:before="0" w:beforeAutospacing="0" w:after="0" w:afterAutospacing="0"/>
      </w:pPr>
    </w:p>
    <w:p w14:paraId="10B23218" w14:textId="09CAA014" w:rsidR="00CD7D2F" w:rsidRDefault="00CD7D2F" w:rsidP="00CD7D2F">
      <w:pPr>
        <w:pStyle w:val="NormalWeb"/>
        <w:pageBreakBefore/>
        <w:spacing w:before="0" w:beforeAutospacing="0" w:after="0" w:afterAutospacing="0"/>
      </w:pPr>
      <w:r w:rsidRPr="00CD7D2F">
        <w:lastRenderedPageBreak/>
        <w:t xml:space="preserve">Supplementary Figure </w:t>
      </w:r>
      <w:r w:rsidR="00D2639C">
        <w:t>3</w:t>
      </w:r>
      <w:r w:rsidRPr="00CD7D2F">
        <w:t>.</w:t>
      </w:r>
    </w:p>
    <w:p w14:paraId="47949AD4" w14:textId="6E0A48CD" w:rsidR="00CD7D2F" w:rsidRDefault="00CD7D2F" w:rsidP="00CD7D2F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378C8F33" wp14:editId="265E6322">
            <wp:extent cx="5623560" cy="4270781"/>
            <wp:effectExtent l="0" t="0" r="0" b="0"/>
            <wp:docPr id="4" name="Picture 3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2F8831-98A2-4EE3-8C46-DD18DFE8EE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id="{742F8831-98A2-4EE3-8C46-DD18DFE8EE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27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7DD15" w14:textId="2C0924CE" w:rsidR="00CD7D2F" w:rsidRDefault="00CD7D2F" w:rsidP="00CD7D2F">
      <w:pPr>
        <w:pStyle w:val="NormalWeb"/>
        <w:spacing w:before="0" w:beforeAutospacing="0" w:after="0" w:afterAutospacing="0"/>
      </w:pPr>
    </w:p>
    <w:p w14:paraId="75D5B2D2" w14:textId="6F40D502" w:rsidR="00CD7D2F" w:rsidRDefault="00CD7D2F" w:rsidP="00CD7D2F">
      <w:pPr>
        <w:pStyle w:val="NormalWeb"/>
        <w:pageBreakBefore/>
        <w:spacing w:before="0" w:beforeAutospacing="0" w:after="0" w:afterAutospacing="0"/>
      </w:pPr>
      <w:r w:rsidRPr="00CD7D2F">
        <w:lastRenderedPageBreak/>
        <w:t xml:space="preserve">Supplementary Figure </w:t>
      </w:r>
      <w:r w:rsidR="00D2639C">
        <w:t>4</w:t>
      </w:r>
      <w:r w:rsidRPr="00CD7D2F">
        <w:t>.</w:t>
      </w:r>
    </w:p>
    <w:p w14:paraId="5C2C1D1F" w14:textId="23662241" w:rsidR="00CD7D2F" w:rsidRDefault="00CD7D2F" w:rsidP="00CD7D2F">
      <w:pPr>
        <w:pStyle w:val="NormalWeb"/>
        <w:spacing w:before="0" w:beforeAutospacing="0" w:after="0" w:afterAutospacing="0"/>
      </w:pPr>
    </w:p>
    <w:p w14:paraId="203CD1FC" w14:textId="38B2B769" w:rsidR="00CD7D2F" w:rsidRDefault="00CD7D2F" w:rsidP="00CD7D2F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492D9BB4" wp14:editId="3B4A9E96">
            <wp:extent cx="5761355" cy="18046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29ABF" w14:textId="73221BB2" w:rsidR="00CD7D2F" w:rsidRDefault="00CD7D2F" w:rsidP="00CD7D2F">
      <w:pPr>
        <w:pStyle w:val="NormalWeb"/>
        <w:spacing w:before="0" w:beforeAutospacing="0" w:after="0" w:afterAutospacing="0"/>
      </w:pPr>
    </w:p>
    <w:p w14:paraId="1320D90E" w14:textId="6F5EC417" w:rsidR="005C5031" w:rsidRDefault="005C5031" w:rsidP="005C5031">
      <w:pPr>
        <w:pStyle w:val="NormalWeb"/>
        <w:pageBreakBefore/>
        <w:spacing w:before="0" w:beforeAutospacing="0" w:after="0" w:afterAutospacing="0"/>
        <w:rPr>
          <w:rFonts w:eastAsiaTheme="minorEastAsia"/>
          <w:color w:val="000000" w:themeColor="text1"/>
          <w:kern w:val="24"/>
          <w:lang w:val="es-ES"/>
        </w:rPr>
      </w:pPr>
      <w:r w:rsidRPr="00CD7D2F">
        <w:rPr>
          <w:rFonts w:eastAsiaTheme="minorEastAsia"/>
          <w:color w:val="000000" w:themeColor="text1"/>
          <w:kern w:val="24"/>
          <w:lang w:val="es-ES"/>
        </w:rPr>
        <w:lastRenderedPageBreak/>
        <w:t xml:space="preserve">Supplementary Figure </w:t>
      </w:r>
      <w:r w:rsidR="00D2639C">
        <w:rPr>
          <w:rFonts w:eastAsiaTheme="minorEastAsia"/>
          <w:color w:val="000000" w:themeColor="text1"/>
          <w:kern w:val="24"/>
          <w:lang w:val="es-ES"/>
        </w:rPr>
        <w:t>5</w:t>
      </w:r>
      <w:r w:rsidRPr="00CD7D2F">
        <w:rPr>
          <w:rFonts w:eastAsiaTheme="minorEastAsia"/>
          <w:color w:val="000000" w:themeColor="text1"/>
          <w:kern w:val="24"/>
          <w:lang w:val="es-ES"/>
        </w:rPr>
        <w:t xml:space="preserve">. </w:t>
      </w:r>
    </w:p>
    <w:p w14:paraId="7E8D7079" w14:textId="6E33B4BE" w:rsidR="005C5031" w:rsidRDefault="005C5031" w:rsidP="00CD7D2F">
      <w:pPr>
        <w:pStyle w:val="NormalWeb"/>
        <w:spacing w:before="0" w:beforeAutospacing="0" w:after="0" w:afterAutospacing="0"/>
      </w:pPr>
    </w:p>
    <w:p w14:paraId="50A9C1E0" w14:textId="33F4A597" w:rsidR="005C5031" w:rsidRDefault="005C5031" w:rsidP="00CD7D2F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4B815058" wp14:editId="3AF42C8A">
            <wp:extent cx="5623560" cy="5857875"/>
            <wp:effectExtent l="0" t="0" r="0" b="9525"/>
            <wp:docPr id="12" name="Picture 11" descr="Calendar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F2502CF7-CE32-4F11-96E3-326FF888DC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alendar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F2502CF7-CE32-4F11-96E3-326FF888DC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DFD38" w14:textId="77777777" w:rsidR="00CD7D2F" w:rsidRPr="00CD7D2F" w:rsidRDefault="00CD7D2F" w:rsidP="00CD7D2F">
      <w:pPr>
        <w:pStyle w:val="NormalWeb"/>
        <w:spacing w:before="0" w:beforeAutospacing="0" w:after="0" w:afterAutospacing="0"/>
      </w:pPr>
    </w:p>
    <w:p w14:paraId="0587618F" w14:textId="77777777" w:rsidR="00CD7D2F" w:rsidRPr="00CD7D2F" w:rsidRDefault="00CD7D2F" w:rsidP="00CD7D2F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0A5B4601" w14:textId="0DC2DECD" w:rsidR="0005716E" w:rsidRDefault="0005716E"/>
    <w:p w14:paraId="07EA13D3" w14:textId="77777777" w:rsidR="00CD7D2F" w:rsidRDefault="00CD7D2F"/>
    <w:sectPr w:rsidR="00CD7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2F"/>
    <w:rsid w:val="0005716E"/>
    <w:rsid w:val="004A1E05"/>
    <w:rsid w:val="005C5031"/>
    <w:rsid w:val="00722F23"/>
    <w:rsid w:val="00737CC8"/>
    <w:rsid w:val="008D6CFA"/>
    <w:rsid w:val="00C121E8"/>
    <w:rsid w:val="00CD7D2F"/>
    <w:rsid w:val="00D2639C"/>
    <w:rsid w:val="00E052F4"/>
    <w:rsid w:val="00EB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132CAE63"/>
  <w15:chartTrackingRefBased/>
  <w15:docId w15:val="{0BF31A0B-A31D-42AB-845F-7701CDCF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201</Words>
  <Characters>1236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piyada sitthideatpaiboon</dc:creator>
  <cp:keywords/>
  <dc:description/>
  <cp:lastModifiedBy>piyada sitthideatpaiboon</cp:lastModifiedBy>
  <cp:revision>4</cp:revision>
  <dcterms:created xsi:type="dcterms:W3CDTF">2023-11-22T03:34:00Z</dcterms:created>
  <dcterms:modified xsi:type="dcterms:W3CDTF">2023-11-22T03:53:00Z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744b9176-296b-4e9b-a646-cd164c834ad3</vt:lpwstr>
  </property>
</Properties>
</file>