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32"/>
          <w:szCs w:val="40"/>
          <w:lang w:val="en-US"/>
        </w:rPr>
      </w:pPr>
      <w:bookmarkStart w:id="0" w:name="_Hlk131802405"/>
      <w:r>
        <w:rPr>
          <w:rFonts w:hint="default" w:ascii="Times New Roman" w:hAnsi="Times New Roman" w:eastAsia="Calibri" w:cs="Times New Roman"/>
          <w:b/>
          <w:bCs w:val="0"/>
          <w:color w:val="000000"/>
          <w:kern w:val="0"/>
          <w:sz w:val="32"/>
          <w:szCs w:val="32"/>
          <w:lang w:val="en-US" w:eastAsia="en-US" w:bidi="ar"/>
        </w:rPr>
        <w:t xml:space="preserve">Association </w:t>
      </w:r>
      <w:r>
        <w:rPr>
          <w:rFonts w:hint="default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>Betwee</w:t>
      </w:r>
      <w:bookmarkEnd w:id="0"/>
      <w:r>
        <w:rPr>
          <w:rFonts w:hint="default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 xml:space="preserve">n Glycemic Variability and </w:t>
      </w: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 xml:space="preserve">hort-term </w:t>
      </w: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>M</w:t>
      </w:r>
      <w:r>
        <w:rPr>
          <w:rFonts w:hint="default" w:ascii="Times New Roman" w:hAnsi="Times New Roman" w:eastAsia="宋体" w:cs="Times New Roman"/>
          <w:b/>
          <w:bCs/>
          <w:kern w:val="0"/>
          <w:sz w:val="32"/>
          <w:szCs w:val="40"/>
          <w:lang w:val="en-US" w:eastAsia="zh-CN" w:bidi="ar"/>
        </w:rPr>
        <w:t>ortality in Patients With Acute Kidney Injury: A Retrospective Cohort Study of the MIMIC-IV Database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vertAlign w:val="superscript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Yifan Guo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1,2†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Yue Qiu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3†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Taiqi Xue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Yi Zhou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Pu Yan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Shiyi Liu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Shiwei Liu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Wenjing Zhao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4*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, Ning Zhang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1*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Department of Nephropathy, Wang Jing Hospital of China Academy of Chinese Medical Sciences, Beijing,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Graduate School, Beijing University of Chinese Medicine, Beijing,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Beijing Miyun Hospital of Traditional Chinese Medicine, Miyun area, Beijing,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Department of Nephrology, Beijing Hospital of Traditional Chinese Medicine, Capital Medical University, Beijing,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†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These authors contributed equally to this work.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32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 xml:space="preserve">Correspondence: </w:t>
      </w:r>
      <w:r>
        <w:rPr>
          <w:rFonts w:hint="eastAsia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fldChar w:fldCharType="begin"/>
      </w:r>
      <w:r>
        <w:rPr>
          <w:rFonts w:hint="eastAsia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instrText xml:space="preserve"> HYPERLINK "mailto:znice3927@126.com;" </w:instrText>
      </w:r>
      <w:r>
        <w:rPr>
          <w:rFonts w:hint="eastAsia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>znice3927@126.com;</w:t>
      </w:r>
      <w:r>
        <w:rPr>
          <w:rFonts w:hint="eastAsia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kern w:val="0"/>
          <w:sz w:val="24"/>
          <w:szCs w:val="32"/>
          <w:lang w:val="en-US" w:eastAsia="zh-CN" w:bidi="ar"/>
        </w:rPr>
        <w:t xml:space="preserve"> zhaowenjing@bjzhongyi.com.</w:t>
      </w:r>
    </w:p>
    <w:p>
      <w:pPr>
        <w:spacing w:line="480" w:lineRule="auto"/>
        <w:jc w:val="both"/>
        <w:rPr>
          <w:rFonts w:ascii="Times New Roman" w:hAnsi="Times New Roman" w:cs="Times New Roman"/>
          <w:b/>
          <w:bCs/>
          <w:szCs w:val="32"/>
          <w:lang w:val="en-US"/>
        </w:rPr>
        <w:sectPr>
          <w:footerReference r:id="rId4" w:type="first"/>
          <w:footerReference r:id="rId3" w:type="default"/>
          <w:pgSz w:w="11906" w:h="16838"/>
          <w:pgMar w:top="1440" w:right="1797" w:bottom="1440" w:left="1797" w:header="851" w:footer="992" w:gutter="0"/>
          <w:lnNumType w:countBy="0" w:restart="continuous"/>
          <w:cols w:space="425" w:num="1"/>
          <w:titlePg/>
          <w:docGrid w:type="lines" w:linePitch="326" w:charSpace="0"/>
        </w:sect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Table S1  Results of univariate analysis of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ICU 30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-day mortality.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</w:t>
      </w:r>
    </w:p>
    <w:tbl>
      <w:tblPr>
        <w:tblStyle w:val="6"/>
        <w:tblW w:w="0" w:type="auto"/>
        <w:tblInd w:w="9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371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ICU 30-day mortality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 (years)✝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 (1.30,1.45)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 vs.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 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0.92 (0.83,1.01)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rate (bpm)✝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(0.95,1.05)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 (mmHg)✝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(0.76,0.85)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DBP (mmHg)✝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0.85 (0.8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,0.9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SpO2 (%)✝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0.86 (0.83,0.9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Laboratory tests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Hemoglobin (g/L)✝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(0.86,0.95)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Platelets (10^9/L)✝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(0.85,0.95)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 (10^9/L)✝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(1.04,1.10)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(mmol/L)✝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0.99 (0.94,1.04)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 (mg/dl)✝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(1.04,1.14)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(mg/dl)✝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(1.15,1.25)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Comorbidity disease, n 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Myocardial infarct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val="en-US" w:eastAsia="zh-CN" w:bidi="ar"/>
              </w:rPr>
              <w:t>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(1.22,1.53)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Congestive heart failure↗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(0.94,1.15)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Peripheral vascular disease↗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1.05 (0.91,1.21)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Cerebrovascular disease↗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 (1.02,1.32)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iver disease↗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 (1.22,1.52)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idney disease↗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1.15 (1.03,1.29)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Malignant cancer↗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 (1.27,1.65)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Sepsis↗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 (0.69,0.92)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Hypertension↗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(0.92,1.11) 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Diabetes↗</w:t>
            </w:r>
          </w:p>
        </w:tc>
        <w:tc>
          <w:tcPr>
            <w:tcW w:w="0" w:type="auto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 (0.82,1.02) 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AKI stage, no. (%)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(0.97,1.32)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 (1.55,2.07)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Interventions (day 1), n 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RRT use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 (0.96,1.21)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Mechanical ventilation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1.07 (0.90,1.26)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Vasoactive drug use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1.58 (1.39,1.79)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Hypoglycemic drug use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 (0.61,0.76)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Severity of illness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(1.05,1.08)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Comorbidity index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 (1.08,1.12)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Blood glucose related (day 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MBG (mg/dl)✝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 (1.09,1.19)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 (%)✝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 (1.10,1.18)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Hypoglycemia (%)</w:t>
            </w:r>
            <w:r>
              <w:rPr>
                <w:rStyle w:val="12"/>
                <w:rFonts w:hint="default" w:ascii="Times New Roman" w:hAnsi="Times New Roman" w:cs="Times New Roman"/>
                <w:sz w:val="18"/>
                <w:szCs w:val="18"/>
                <w:lang w:val="en-US" w:eastAsia="zh-CN" w:bidi="ar"/>
              </w:rPr>
              <w:t>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1.70 (1.46,1.97)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✝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 The continuous variables goes up by one SD.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Style w:val="12"/>
          <w:rFonts w:hint="eastAsia" w:ascii="Times New Roman" w:hAnsi="Times New Roman" w:cs="Times New Roman"/>
          <w:sz w:val="18"/>
          <w:szCs w:val="18"/>
          <w:lang w:val="en-US" w:eastAsia="zh-CN" w:bidi="ar"/>
        </w:rPr>
      </w:pPr>
      <w:r>
        <w:rPr>
          <w:rStyle w:val="12"/>
          <w:rFonts w:hint="default" w:ascii="Times New Roman" w:hAnsi="Times New Roman" w:cs="Times New Roman"/>
          <w:sz w:val="18"/>
          <w:szCs w:val="18"/>
          <w:lang w:val="en-US" w:eastAsia="zh-CN" w:bidi="ar"/>
        </w:rPr>
        <w:t>↗</w:t>
      </w:r>
      <w:r>
        <w:rPr>
          <w:rStyle w:val="12"/>
          <w:rFonts w:hint="eastAsia" w:ascii="Times New Roman" w:hAnsi="Times New Roman" w:cs="Times New Roman"/>
          <w:sz w:val="18"/>
          <w:szCs w:val="18"/>
          <w:lang w:val="en-US" w:eastAsia="zh-CN" w:bidi="ar"/>
        </w:rPr>
        <w:t xml:space="preserve">: The categorical variables are referenced by </w:t>
      </w:r>
      <w:r>
        <w:rPr>
          <w:rStyle w:val="12"/>
          <w:rFonts w:hint="default" w:ascii="Times New Roman" w:hAnsi="Times New Roman" w:cs="Times New Roman"/>
          <w:sz w:val="18"/>
          <w:szCs w:val="18"/>
          <w:lang w:val="en-US" w:eastAsia="zh-CN" w:bidi="ar"/>
        </w:rPr>
        <w:t>‘</w:t>
      </w:r>
      <w:r>
        <w:rPr>
          <w:rStyle w:val="12"/>
          <w:rFonts w:hint="eastAsia" w:ascii="Times New Roman" w:hAnsi="Times New Roman" w:cs="Times New Roman"/>
          <w:sz w:val="18"/>
          <w:szCs w:val="18"/>
          <w:lang w:val="en-US" w:eastAsia="zh-CN" w:bidi="ar"/>
        </w:rPr>
        <w:t>No</w:t>
      </w:r>
      <w:r>
        <w:rPr>
          <w:rStyle w:val="12"/>
          <w:rFonts w:hint="default" w:ascii="Times New Roman" w:hAnsi="Times New Roman" w:cs="Times New Roman"/>
          <w:sz w:val="18"/>
          <w:szCs w:val="18"/>
          <w:lang w:val="en-US" w:eastAsia="zh-CN" w:bidi="ar"/>
        </w:rPr>
        <w:t>’</w:t>
      </w:r>
      <w:r>
        <w:rPr>
          <w:rStyle w:val="12"/>
          <w:rFonts w:hint="eastAsia" w:ascii="Times New Roman" w:hAnsi="Times New Roman" w:cs="Times New Roman"/>
          <w:sz w:val="18"/>
          <w:szCs w:val="18"/>
          <w:lang w:val="en-US" w:eastAsia="zh-CN" w:bidi="ar"/>
        </w:rPr>
        <w:t>.</w:t>
      </w:r>
    </w:p>
    <w:p>
      <w:pPr>
        <w:jc w:val="left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MBG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mean blood glucose; CV, coefficient of variation; SBP, systolic blood pressure; DBP, diastolic blood pressure; SpO2, blood oxygen saturation; WBC, white blood cell; Na,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odium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Cr, creatinine; BUN, blood urea nitrogen; RRT, renal replacement therapy; SOFA, sequential organ failure assessment.</w:t>
      </w:r>
    </w:p>
    <w:p>
      <w:pPr>
        <w:jc w:val="left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default"/>
          <w:sz w:val="21"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Multivariable-</w:t>
      </w:r>
      <w:r>
        <w:rPr>
          <w:rStyle w:val="7"/>
          <w:rFonts w:ascii="Times New Roman" w:hAnsi="Times New Roman" w:eastAsia="宋体" w:cs="Times New Roman"/>
          <w:b/>
          <w:bCs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adjusted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HRs and </w:t>
      </w:r>
      <w:r>
        <w:rPr>
          <w:rStyle w:val="7"/>
          <w:rFonts w:ascii="Times New Roman" w:hAnsi="Times New Roman" w:eastAsia="宋体" w:cs="Times New Roman"/>
          <w:b/>
          <w:bCs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95% CIs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of MBG and CV associated with ICU 30-day mortality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(Before multiple imputations)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1424"/>
        <w:gridCol w:w="776"/>
        <w:gridCol w:w="1424"/>
        <w:gridCol w:w="776"/>
        <w:gridCol w:w="1424"/>
        <w:gridCol w:w="776"/>
        <w:gridCol w:w="1424"/>
        <w:gridCol w:w="776"/>
        <w:gridCol w:w="1424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Unadjusted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ICU 30-day mortality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MBG (per one SD, mg/dl)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 (1.09~1.19)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 (1.08~1.19)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 (1.07~1.18)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 (1.11~1.23)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 (1.12~1.25)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125.0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(0.79~1.01)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(0.74~0.95)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(0.77~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 (0.81~1.05)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 (0.8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~1.06)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(≥1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 (1.05~1.33)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 (1.01~1.28)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 (1.01~1.28)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 (1.08~1.41)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 (1.11~1.48)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for trend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 (per one SD, 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 (1.06~1.16)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(1.05~1.14)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1.08 (1.03~1.13)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1.09 (1.04~1.14)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(1.01~1.12)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 (0.94~1.2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1.05 (0.92~1.19)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1.01 (0.89~1.15)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1.04 (0.91~1.18)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 (0.89~1.18)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(1.24~1.57)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(1.24~1.57)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1.31 (1.16~1.48)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1.36 (1.21~1.54)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(1.16~1.52)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for trend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Model 1 </w:t>
      </w:r>
      <w:r>
        <w:rPr>
          <w:rStyle w:val="12"/>
          <w:rFonts w:ascii="Times New Roman" w:hAnsi="Times New Roman" w:eastAsia="微软雅黑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adjusted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 for age and sex.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Model 2 </w:t>
      </w:r>
      <w:r>
        <w:rPr>
          <w:rStyle w:val="12"/>
          <w:rFonts w:ascii="Times New Roman" w:hAnsi="Times New Roman" w:eastAsia="微软雅黑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adjusted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 for Model 1+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heart rate, SBP, DBP, SpO2, platelets, WBC, Cr, </w:t>
      </w:r>
      <w:r>
        <w:rPr>
          <w:rStyle w:val="7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 xml:space="preserve">and 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>BUN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>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Model 3 </w:t>
      </w:r>
      <w:r>
        <w:rPr>
          <w:rStyle w:val="12"/>
          <w:rFonts w:ascii="Times New Roman" w:hAnsi="Times New Roman" w:eastAsia="微软雅黑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adjusted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 for Model 1+Model 2+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myocardial infarct, cerebrovascular disease, liver disease,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k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idney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 disease, malignant cancer, sepsis, hypertension, </w:t>
      </w:r>
      <w:r>
        <w:rPr>
          <w:rStyle w:val="7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 xml:space="preserve">and 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>diabetes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>.</w:t>
      </w:r>
    </w:p>
    <w:p>
      <w:pPr>
        <w:widowControl w:val="0"/>
        <w:spacing w:line="240" w:lineRule="auto"/>
        <w:rPr>
          <w:rFonts w:ascii="Times New Roman" w:hAnsi="Times New Roman" w:cs="Times New Roman"/>
          <w:color w:val="000000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Model 4 </w:t>
      </w:r>
      <w:r>
        <w:rPr>
          <w:rStyle w:val="12"/>
          <w:rFonts w:ascii="Times New Roman" w:hAnsi="Times New Roman" w:eastAsia="微软雅黑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adjusted</w:t>
      </w:r>
      <w:r>
        <w:rPr>
          <w:rStyle w:val="12"/>
          <w:rFonts w:ascii="Times New Roman" w:hAnsi="Times New Roman" w:cs="Times New Roman"/>
          <w:sz w:val="18"/>
          <w:szCs w:val="18"/>
          <w:lang w:val="en-US" w:bidi="ar"/>
        </w:rPr>
        <w:t xml:space="preserve"> for Model 1+Model 2+Model 3+AKI stage, 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RRT use, mechanical ventilation, vasoactive </w:t>
      </w:r>
      <w:r>
        <w:rPr>
          <w:rStyle w:val="7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drug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 use, hypoglycemic </w:t>
      </w:r>
      <w:r>
        <w:rPr>
          <w:rStyle w:val="7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>drug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 use, SOFA score,</w:t>
      </w:r>
      <w:r>
        <w:rPr>
          <w:rStyle w:val="7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u w:val="none" w:color="auto"/>
          <w:vertAlign w:val="baseline"/>
          <w:rtl w:val="0"/>
          <w:cs w:val="0"/>
          <w:lang w:val="en-US" w:eastAsia="zh-CN" w:bidi="ar"/>
        </w:rPr>
        <w:t xml:space="preserve"> and</w:t>
      </w: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 xml:space="preserve"> comorbidity index.</w:t>
      </w:r>
    </w:p>
    <w:p>
      <w:pPr>
        <w:widowControl w:val="0"/>
        <w:spacing w:line="240" w:lineRule="auto"/>
        <w:rPr>
          <w:rFonts w:hint="eastAsia" w:ascii="Times New Roman" w:hAnsi="Times New Roman" w:cs="Times New Roman" w:eastAsiaTheme="minorEastAsia"/>
          <w:szCs w:val="32"/>
          <w:lang w:val="en-US" w:eastAsia="zh-CN"/>
        </w:rPr>
        <w:sectPr>
          <w:pgSz w:w="16838" w:h="11906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color w:val="000000"/>
          <w:sz w:val="18"/>
          <w:szCs w:val="18"/>
          <w:lang w:val="en-US" w:bidi="ar"/>
        </w:rPr>
        <w:t>MBG, mean blood glucose; CV, coefficient of variation; SBP, systolic blood pressure; DBP, diastolic blood pressure; SpO2, blood oxygen saturation; WBC, white blood cell; Cr, creatinine; BUN, blood urea nitrogen; RRT, renal replacement therapy; SOFA, sequential organ failure assessment</w:t>
      </w:r>
      <w:r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  <w:t>.</w:t>
      </w:r>
    </w:p>
    <w:p>
      <w:pPr>
        <w:spacing w:line="360" w:lineRule="auto"/>
        <w:rPr>
          <w:rFonts w:hint="default"/>
          <w:sz w:val="21"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Multivariable-adjusted HRs and 95% CIs of MBG and CV associated with ICU 30-day mortality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(Exclude all missing data)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1424"/>
        <w:gridCol w:w="776"/>
        <w:gridCol w:w="1424"/>
        <w:gridCol w:w="776"/>
        <w:gridCol w:w="1424"/>
        <w:gridCol w:w="776"/>
        <w:gridCol w:w="1424"/>
        <w:gridCol w:w="776"/>
        <w:gridCol w:w="1424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Unadjusted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ICU 30-day mortality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MBG (per one SD, mg/dl)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 (1.07~1.19)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 (1.07~1.19)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 (1.06~1.18)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 (1.09~1.22)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 (1.13~1.26)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126.4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(0.74~0.97)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~0.91)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(0.73~0.96)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(0.76~1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 (0.79~1.05)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(≥1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 (0.99~1.28)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 (0.96~1.24)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 (0.96~1.24)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~1.31)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(1.1~1.47)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for trend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 (per one SD, 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(1.05~1.16)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1.09 (1.04~1.15)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1.08 (1.02~1.13)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1.08 (1.02~1.13)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(1.01~1.12)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(0.94~1.23)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1.06 (0.92~1.21)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1.01 (0.88~1.15)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1.02 (0.89~1.17)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 (0.89~1.17)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 (1.22~1.58)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1.39 (1.22~1.59)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 (1.14~1.48)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1.32 (1.16~1.51)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(1.16~1.52)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for trend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Model 1 adjusted for age and sex.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Model 2 adjusted for Model 1+heart rate, SBP, DBP, SpO2, platelets, WBC, Cr, and BUN.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Model 3 adjusted for Model 1+Model 2+myocardial infarct, cerebrovascular disease, liver disease,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k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idney disease, malignant cancer, sepsis, hypertension, and diabetes.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Model 4 adjusted for Model 1+Model 2+Model 3+AKI stage, RRT use, mechanical ventilation, vasoactive drug use, hypoglycemic drug use, SOFA score, and comorbidity index.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MBG, mean blood glucose; CV, coefficient of variation; SBP, systolic blood pressure; DBP, diastolic blood pressure; SpO2, blood oxygen saturation; WBC, white blood cell; Cr, creatinine; BUN, blood urea nitrogen; RRT, renal replacement therapy; SOFA, sequential organ failure assessment.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br w:type="page"/>
      </w:r>
    </w:p>
    <w:p>
      <w:pPr>
        <w:spacing w:line="360" w:lineRule="auto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T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S4</w:t>
      </w:r>
      <w:r>
        <w:rPr>
          <w:rFonts w:hint="eastAsia" w:ascii="Times New Roman" w:hAnsi="Times New Roman" w:cs="Times New Roman"/>
          <w:b/>
          <w:bCs/>
        </w:rPr>
        <w:t xml:space="preserve">  Multivariable-adjusted HRs and 95% CIs of CV associated with ICU 30-day mortality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in diabetic patients</w:t>
      </w:r>
      <w:r>
        <w:rPr>
          <w:rFonts w:hint="eastAsia" w:ascii="Times New Roman" w:hAnsi="Times New Roman" w:cs="Times New Roman"/>
          <w:b/>
          <w:bCs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424"/>
        <w:gridCol w:w="776"/>
        <w:gridCol w:w="1424"/>
        <w:gridCol w:w="776"/>
        <w:gridCol w:w="1424"/>
        <w:gridCol w:w="776"/>
        <w:gridCol w:w="1424"/>
        <w:gridCol w:w="776"/>
        <w:gridCol w:w="1424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Unadjusted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2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ICU 30-day mortality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CV (per one SD, 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0.99 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~1.08)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0.821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 (0.91~1.09)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 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~1.09)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 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~1.09)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0.98 (0.89~1.07)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0.666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T1 (&lt;12.7)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T2 (12.7~24.8)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0.97 (0.76~1.23)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0.781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0.94 (0.74~1.19)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 (0.72~1.17)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 (0.72~1.17)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0.91 (0.71~1.16)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0.426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T3 (≥24.8)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1.05 (0.84~1.31)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0.651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1.06 (0.85~1.32)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1.03 (0.83~1.28)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1.04 (0.83~1.29)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1.02 (0.82~1.28)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0.833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0.482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0.683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0.633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0.698</w:t>
            </w:r>
          </w:p>
        </w:tc>
      </w:tr>
    </w:tbl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1 adjusted for age and sex.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2 adjusted for Model 1+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heart rate, SBP, DBP, SpO2, platelets, WBC, Cr, and BUN</w:t>
      </w: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3 adjusted for Model 1+Model 2+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 xml:space="preserve">myocardial infarct, cerebrovascular disease, liver disease,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k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idney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 xml:space="preserve"> disease, malignant cancer, sepsis, hypertension</w:t>
      </w: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.</w:t>
      </w:r>
    </w:p>
    <w:p>
      <w:pPr>
        <w:widowControl w:val="0"/>
        <w:spacing w:line="240" w:lineRule="auto"/>
        <w:rPr>
          <w:rFonts w:ascii="Times New Roman" w:hAnsi="Times New Roman" w:cs="Times New Roman"/>
          <w:color w:val="000000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 xml:space="preserve">Model 4 adjusted for Model 1+Model 2+Model 3+AKI stage, 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RRT use, mechanical ventilation, vasoactive drug use, hypoglycemic drug use, SOFA score, and comorbidity index.</w:t>
      </w:r>
    </w:p>
    <w:p>
      <w:pPr>
        <w:spacing w:line="240" w:lineRule="auto"/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</w:pP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MBG, mean blood glucose; CV, coefficient of variation; SBP, systolic blood pressure; DBP, diastolic blood pressure; SpO2, blood oxygen saturation; WBC, white blood cell; Cr, creatinine; BUN, blood urea nitrogen; RRT, renal replacement therapy; SOFA, sequential organ failure assessment</w:t>
      </w:r>
      <w:r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  <w:t>.</w:t>
      </w:r>
    </w:p>
    <w:p>
      <w:pPr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  <w:br w:type="page"/>
      </w:r>
    </w:p>
    <w:p>
      <w:pPr>
        <w:spacing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T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S5</w:t>
      </w:r>
      <w:r>
        <w:rPr>
          <w:rFonts w:hint="eastAsia" w:ascii="Times New Roman" w:hAnsi="Times New Roman" w:cs="Times New Roman"/>
          <w:b/>
          <w:bCs/>
        </w:rPr>
        <w:t xml:space="preserve">  Multivariable-adjusted HRs and 95% CIs of CV associated with ICU 30-day mortality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in non-diabetic patients</w:t>
      </w:r>
      <w:r>
        <w:rPr>
          <w:rFonts w:hint="eastAsia" w:ascii="Times New Roman" w:hAnsi="Times New Roman" w:cs="Times New Roman"/>
          <w:b/>
          <w:bCs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424"/>
        <w:gridCol w:w="776"/>
        <w:gridCol w:w="1424"/>
        <w:gridCol w:w="776"/>
        <w:gridCol w:w="1424"/>
        <w:gridCol w:w="776"/>
        <w:gridCol w:w="1424"/>
        <w:gridCol w:w="776"/>
        <w:gridCol w:w="1424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Unadjusted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2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3</w:t>
            </w:r>
          </w:p>
        </w:tc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Model 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ICU 30-day mortality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CV (per one SD, 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1.16 (1.11~1.22)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1.15 (1.1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~1.2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1.12 (1.07~1.18)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1.13 (1.08~1.18)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1.11 (1.06~1.17)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T1 (&lt;12.7)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T2 (12.7~24.8)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~1.2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~1.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1.06 (0.92~1.23)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1.08 (0.93~1.26)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1.08 (0.93~1.26)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0.285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T3 (≥24.8)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~1.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4~1.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93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1.54 (1.33~1.78)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1.55 (1.34~1.79)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bidi="ar"/>
              </w:rPr>
              <w:t>1.56 (1.34~1.81)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</w:tbl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1 adjusted for age and sex.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2 adjusted for Model 1+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heart rate, SBP, DBP, SpO2, platelets, WBC, Cr, and BUN</w:t>
      </w: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.</w:t>
      </w:r>
    </w:p>
    <w:p>
      <w:pPr>
        <w:widowControl w:val="0"/>
        <w:spacing w:line="240" w:lineRule="auto"/>
        <w:rPr>
          <w:rStyle w:val="12"/>
          <w:rFonts w:ascii="Times New Roman" w:hAnsi="Times New Roman" w:cs="Times New Roman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Model 3 adjusted for Model 1+Model 2+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 xml:space="preserve">myocardial infarct, cerebrovascular disease, liver disease,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k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idney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 xml:space="preserve"> disease, malignant cancer, sepsis, hypertension</w:t>
      </w: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>.</w:t>
      </w:r>
    </w:p>
    <w:p>
      <w:pPr>
        <w:widowControl w:val="0"/>
        <w:spacing w:line="240" w:lineRule="auto"/>
        <w:rPr>
          <w:rFonts w:ascii="Times New Roman" w:hAnsi="Times New Roman" w:cs="Times New Roman"/>
          <w:color w:val="000000"/>
          <w:sz w:val="18"/>
          <w:szCs w:val="18"/>
          <w:lang w:bidi="ar"/>
        </w:rPr>
      </w:pPr>
      <w:r>
        <w:rPr>
          <w:rStyle w:val="12"/>
          <w:rFonts w:ascii="Times New Roman" w:hAnsi="Times New Roman" w:cs="Times New Roman"/>
          <w:sz w:val="18"/>
          <w:szCs w:val="18"/>
          <w:lang w:bidi="ar"/>
        </w:rPr>
        <w:t xml:space="preserve">Model 4 adjusted for Model 1+Model 2+Model 3+AKI stage, </w:t>
      </w: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RRT use, mechanical ventilation, vasoactive drug use, hypoglycemic drug use, SOFA score, and comorbidity index.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ascii="Times New Roman" w:hAnsi="Times New Roman" w:cs="Times New Roman"/>
          <w:color w:val="000000"/>
          <w:sz w:val="18"/>
          <w:szCs w:val="18"/>
          <w:lang w:bidi="ar"/>
        </w:rPr>
        <w:t>MBG, mean blood glucose; CV, coefficient of variation; SBP, systolic blood pressure; DBP, diastolic blood pressure; SpO2, blood oxygen saturation; WBC, white blood cell; Cr, creatinine; BUN, blood urea nitrogen; RRT, renal replacement therapy; SOFA, sequential organ failure assessment</w:t>
      </w:r>
      <w:r>
        <w:rPr>
          <w:rFonts w:hint="eastAsia" w:ascii="Times New Roman" w:hAnsi="Times New Roman" w:cs="Times New Roman"/>
          <w:color w:val="000000"/>
          <w:sz w:val="18"/>
          <w:szCs w:val="18"/>
          <w:lang w:val="en-US" w:eastAsia="zh-CN" w:bidi="ar"/>
        </w:rPr>
        <w:t>.</w:t>
      </w:r>
      <w:bookmarkStart w:id="1" w:name="_GoBack"/>
      <w:bookmarkEnd w:id="1"/>
    </w:p>
    <w:sectPr>
      <w:pgSz w:w="16838" w:h="11906" w:orient="landscape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ZDI4MWNkMTAzZGJjYTg0MjQyODAwY2FhNDYxODgifQ=="/>
  </w:docVars>
  <w:rsids>
    <w:rsidRoot w:val="00000000"/>
    <w:rsid w:val="004874D5"/>
    <w:rsid w:val="019E4ED3"/>
    <w:rsid w:val="027A76EE"/>
    <w:rsid w:val="02CF5D26"/>
    <w:rsid w:val="033F6241"/>
    <w:rsid w:val="044A4F10"/>
    <w:rsid w:val="04644185"/>
    <w:rsid w:val="04A42DA8"/>
    <w:rsid w:val="05DF698D"/>
    <w:rsid w:val="068A7E4D"/>
    <w:rsid w:val="06A630F7"/>
    <w:rsid w:val="073267E9"/>
    <w:rsid w:val="07EF745B"/>
    <w:rsid w:val="08314CF2"/>
    <w:rsid w:val="086A5B0F"/>
    <w:rsid w:val="08A92ADB"/>
    <w:rsid w:val="08D833C0"/>
    <w:rsid w:val="09F91840"/>
    <w:rsid w:val="0A7E6E55"/>
    <w:rsid w:val="0B36617C"/>
    <w:rsid w:val="0B9A3CB1"/>
    <w:rsid w:val="0C122745"/>
    <w:rsid w:val="0CC17E16"/>
    <w:rsid w:val="0CE916F8"/>
    <w:rsid w:val="0D091D9A"/>
    <w:rsid w:val="0DAD5587"/>
    <w:rsid w:val="0DF2282E"/>
    <w:rsid w:val="0E552DBD"/>
    <w:rsid w:val="0E7E0566"/>
    <w:rsid w:val="0FD52407"/>
    <w:rsid w:val="119A7465"/>
    <w:rsid w:val="11BD3153"/>
    <w:rsid w:val="12883761"/>
    <w:rsid w:val="159266A5"/>
    <w:rsid w:val="161812A0"/>
    <w:rsid w:val="16A62CF9"/>
    <w:rsid w:val="1867206B"/>
    <w:rsid w:val="187327BD"/>
    <w:rsid w:val="19B412DF"/>
    <w:rsid w:val="1A6B4FB8"/>
    <w:rsid w:val="1B6A434C"/>
    <w:rsid w:val="1BF43C15"/>
    <w:rsid w:val="1CAE0268"/>
    <w:rsid w:val="1DC07338"/>
    <w:rsid w:val="1F925C1F"/>
    <w:rsid w:val="1F9B55EC"/>
    <w:rsid w:val="1FB45B95"/>
    <w:rsid w:val="20AC0F62"/>
    <w:rsid w:val="226338A3"/>
    <w:rsid w:val="22C07DB6"/>
    <w:rsid w:val="23977CA8"/>
    <w:rsid w:val="24350880"/>
    <w:rsid w:val="250255F5"/>
    <w:rsid w:val="260C2082"/>
    <w:rsid w:val="26977FBF"/>
    <w:rsid w:val="26F970D3"/>
    <w:rsid w:val="276F5EB6"/>
    <w:rsid w:val="27FB05A4"/>
    <w:rsid w:val="280D2C72"/>
    <w:rsid w:val="28D728F5"/>
    <w:rsid w:val="29954C89"/>
    <w:rsid w:val="29B13146"/>
    <w:rsid w:val="2CAD5E46"/>
    <w:rsid w:val="2CC17279"/>
    <w:rsid w:val="2D0F6B01"/>
    <w:rsid w:val="2D173C07"/>
    <w:rsid w:val="2D4D13D7"/>
    <w:rsid w:val="2D947006"/>
    <w:rsid w:val="2EAB3134"/>
    <w:rsid w:val="2EF57F78"/>
    <w:rsid w:val="2F136F75"/>
    <w:rsid w:val="309A1A1B"/>
    <w:rsid w:val="31085D41"/>
    <w:rsid w:val="314042DB"/>
    <w:rsid w:val="31615451"/>
    <w:rsid w:val="322079C5"/>
    <w:rsid w:val="33E91940"/>
    <w:rsid w:val="345B087E"/>
    <w:rsid w:val="3492329A"/>
    <w:rsid w:val="35E8426A"/>
    <w:rsid w:val="35F165B8"/>
    <w:rsid w:val="37E34E12"/>
    <w:rsid w:val="37F039D3"/>
    <w:rsid w:val="39A64FDB"/>
    <w:rsid w:val="3A8D2D9B"/>
    <w:rsid w:val="3B2E4FD7"/>
    <w:rsid w:val="3BAF48AC"/>
    <w:rsid w:val="3ECC295E"/>
    <w:rsid w:val="3F083469"/>
    <w:rsid w:val="3F584337"/>
    <w:rsid w:val="401A783F"/>
    <w:rsid w:val="417E204F"/>
    <w:rsid w:val="427D6A3C"/>
    <w:rsid w:val="42935686"/>
    <w:rsid w:val="43F62371"/>
    <w:rsid w:val="44C25999"/>
    <w:rsid w:val="44E14213"/>
    <w:rsid w:val="44F3143F"/>
    <w:rsid w:val="45953AE0"/>
    <w:rsid w:val="463D6035"/>
    <w:rsid w:val="464078D3"/>
    <w:rsid w:val="470D1EAB"/>
    <w:rsid w:val="47264D1B"/>
    <w:rsid w:val="48027536"/>
    <w:rsid w:val="48180B08"/>
    <w:rsid w:val="48992399"/>
    <w:rsid w:val="497D499A"/>
    <w:rsid w:val="49831FB1"/>
    <w:rsid w:val="4A050411"/>
    <w:rsid w:val="4A210A4A"/>
    <w:rsid w:val="4A9A32D2"/>
    <w:rsid w:val="4B3A0D95"/>
    <w:rsid w:val="4B9366F7"/>
    <w:rsid w:val="4B950B65"/>
    <w:rsid w:val="4C0E0ACA"/>
    <w:rsid w:val="4C0F3FD0"/>
    <w:rsid w:val="4D702A21"/>
    <w:rsid w:val="4DF07E31"/>
    <w:rsid w:val="4E7C16C5"/>
    <w:rsid w:val="4EA355F9"/>
    <w:rsid w:val="4ED94208"/>
    <w:rsid w:val="4F2A1121"/>
    <w:rsid w:val="4F710AFD"/>
    <w:rsid w:val="5060129E"/>
    <w:rsid w:val="51167BAE"/>
    <w:rsid w:val="51B22B59"/>
    <w:rsid w:val="51FF6894"/>
    <w:rsid w:val="52195BA8"/>
    <w:rsid w:val="530E0072"/>
    <w:rsid w:val="538F59F6"/>
    <w:rsid w:val="53D14261"/>
    <w:rsid w:val="541D3002"/>
    <w:rsid w:val="54441AE8"/>
    <w:rsid w:val="54A83213"/>
    <w:rsid w:val="560721BC"/>
    <w:rsid w:val="56266BD2"/>
    <w:rsid w:val="56582A17"/>
    <w:rsid w:val="56972662"/>
    <w:rsid w:val="569951D6"/>
    <w:rsid w:val="575E22AF"/>
    <w:rsid w:val="5878703E"/>
    <w:rsid w:val="594352B9"/>
    <w:rsid w:val="59AB78CC"/>
    <w:rsid w:val="5AE33BC8"/>
    <w:rsid w:val="5B044F1C"/>
    <w:rsid w:val="5B373A6F"/>
    <w:rsid w:val="5B661732"/>
    <w:rsid w:val="5B982953"/>
    <w:rsid w:val="5BBC125E"/>
    <w:rsid w:val="5D301FF8"/>
    <w:rsid w:val="5E6C3504"/>
    <w:rsid w:val="5FC133DB"/>
    <w:rsid w:val="5FFD4232"/>
    <w:rsid w:val="609621D0"/>
    <w:rsid w:val="60E956CE"/>
    <w:rsid w:val="614B38A4"/>
    <w:rsid w:val="622132DC"/>
    <w:rsid w:val="653B3C30"/>
    <w:rsid w:val="65962C14"/>
    <w:rsid w:val="65DA5E6B"/>
    <w:rsid w:val="65DD6A95"/>
    <w:rsid w:val="669E7FD2"/>
    <w:rsid w:val="673B3A73"/>
    <w:rsid w:val="67650AF0"/>
    <w:rsid w:val="67F80341"/>
    <w:rsid w:val="682140F7"/>
    <w:rsid w:val="68E2113A"/>
    <w:rsid w:val="69E93C5A"/>
    <w:rsid w:val="6B52582F"/>
    <w:rsid w:val="6B8E2D0B"/>
    <w:rsid w:val="6C597DB7"/>
    <w:rsid w:val="6C702411"/>
    <w:rsid w:val="6C8701BD"/>
    <w:rsid w:val="6D082649"/>
    <w:rsid w:val="6D2149B9"/>
    <w:rsid w:val="6DA73C10"/>
    <w:rsid w:val="6DD95D94"/>
    <w:rsid w:val="6E08472C"/>
    <w:rsid w:val="6E82467D"/>
    <w:rsid w:val="6EB83BFB"/>
    <w:rsid w:val="6EFA74DB"/>
    <w:rsid w:val="6F8D5088"/>
    <w:rsid w:val="708E73B5"/>
    <w:rsid w:val="709D2305"/>
    <w:rsid w:val="71110254"/>
    <w:rsid w:val="71205BD9"/>
    <w:rsid w:val="7189187F"/>
    <w:rsid w:val="71A7216A"/>
    <w:rsid w:val="71EF5F51"/>
    <w:rsid w:val="71F907B3"/>
    <w:rsid w:val="72BC63B0"/>
    <w:rsid w:val="73375A36"/>
    <w:rsid w:val="73B82331"/>
    <w:rsid w:val="73DD6B53"/>
    <w:rsid w:val="73FE56DD"/>
    <w:rsid w:val="74626AE3"/>
    <w:rsid w:val="74650381"/>
    <w:rsid w:val="757A4300"/>
    <w:rsid w:val="767825EE"/>
    <w:rsid w:val="76E25CB9"/>
    <w:rsid w:val="76E41A31"/>
    <w:rsid w:val="773B1404"/>
    <w:rsid w:val="781F40D3"/>
    <w:rsid w:val="78342545"/>
    <w:rsid w:val="79621333"/>
    <w:rsid w:val="796E3EF0"/>
    <w:rsid w:val="79D42883"/>
    <w:rsid w:val="7B424F78"/>
    <w:rsid w:val="7B7407B7"/>
    <w:rsid w:val="7C2F7BF3"/>
    <w:rsid w:val="7C885555"/>
    <w:rsid w:val="7D657644"/>
    <w:rsid w:val="7DCE343B"/>
    <w:rsid w:val="7DD95881"/>
    <w:rsid w:val="7E6B0C8A"/>
    <w:rsid w:val="7E941F8F"/>
    <w:rsid w:val="7F0B2060"/>
    <w:rsid w:val="7F413799"/>
    <w:rsid w:val="7FC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0">
    <w:name w:val="font11"/>
    <w:basedOn w:val="7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1">
    <w:name w:val="font51"/>
    <w:basedOn w:val="7"/>
    <w:autoRedefine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2">
    <w:name w:val="font01"/>
    <w:basedOn w:val="7"/>
    <w:autoRedefine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856</Words>
  <Characters>4895</Characters>
  <Lines>0</Lines>
  <Paragraphs>0</Paragraphs>
  <TotalTime>8</TotalTime>
  <ScaleCrop>false</ScaleCrop>
  <LinksUpToDate>false</LinksUpToDate>
  <CharactersWithSpaces>5445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2023-02-26T01:19:00Z</dcterms:created>
  <dc:creator>guoyifan</dc:creator>
  <cp:lastModifiedBy>郭弋凡</cp:lastModifiedBy>
  <dcterms:modified xsi:type="dcterms:W3CDTF">2024-03-06T04:57:28Z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93D783926D894DBA84CDEB5D358E4B4A</vt:lpwstr>
  </property>
</Properties>
</file>