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B70AE" w14:textId="77777777" w:rsidR="00961AA3" w:rsidRDefault="00961AA3" w:rsidP="00961AA3">
      <w:pPr>
        <w:jc w:val="center"/>
      </w:pPr>
    </w:p>
    <w:p w14:paraId="52FAED65" w14:textId="77777777" w:rsidR="001F082A" w:rsidRDefault="001F082A" w:rsidP="001F082A">
      <w:pPr>
        <w:jc w:val="center"/>
        <w:rPr>
          <w:rFonts w:ascii="Times New Roman" w:hAnsi="Times New Roman" w:cs="Times New Roman"/>
        </w:rPr>
      </w:pPr>
      <w:proofErr w:type="spellStart"/>
      <w:r>
        <w:rPr>
          <w:rFonts w:ascii="Times New Roman" w:hAnsi="Times New Roman" w:cs="Times New Roman"/>
        </w:rPr>
        <w:t>Deprescribing</w:t>
      </w:r>
      <w:proofErr w:type="spellEnd"/>
      <w:r>
        <w:rPr>
          <w:rFonts w:ascii="Times New Roman" w:hAnsi="Times New Roman" w:cs="Times New Roman"/>
        </w:rPr>
        <w:t xml:space="preserve"> Potential of Commonly Used Medications among community-dwelling Older Adults: Insights from a Pharmacist’s Geriatric Assessment</w:t>
      </w:r>
    </w:p>
    <w:p w14:paraId="7F7212AE" w14:textId="77777777" w:rsidR="001F082A" w:rsidRDefault="001F082A" w:rsidP="001F082A">
      <w:pPr>
        <w:rPr>
          <w:rFonts w:ascii="Times New Roman" w:hAnsi="Times New Roman" w:cs="Times New Roman"/>
          <w:vertAlign w:val="superscript"/>
        </w:rPr>
      </w:pPr>
      <w:r>
        <w:rPr>
          <w:rFonts w:ascii="Times New Roman" w:hAnsi="Times New Roman" w:cs="Times New Roman"/>
          <w:b/>
          <w:bCs/>
        </w:rPr>
        <w:t>Authors</w:t>
      </w:r>
      <w:r>
        <w:rPr>
          <w:rFonts w:ascii="Times New Roman" w:hAnsi="Times New Roman" w:cs="Times New Roman"/>
        </w:rPr>
        <w:t xml:space="preserve">: Iva </w:t>
      </w:r>
      <w:proofErr w:type="spellStart"/>
      <w:r>
        <w:rPr>
          <w:rFonts w:ascii="Times New Roman" w:hAnsi="Times New Roman" w:cs="Times New Roman"/>
        </w:rPr>
        <w:t>Bužančić</w:t>
      </w:r>
      <w:proofErr w:type="spellEnd"/>
      <w:r>
        <w:rPr>
          <w:rFonts w:ascii="Times New Roman" w:hAnsi="Times New Roman" w:cs="Times New Roman"/>
        </w:rPr>
        <w:t xml:space="preserve">, (ORCID ID: 0000-0002-4140-8657) </w:t>
      </w:r>
      <w:r>
        <w:rPr>
          <w:rFonts w:ascii="Times New Roman" w:hAnsi="Times New Roman" w:cs="Times New Roman"/>
          <w:vertAlign w:val="superscript"/>
        </w:rPr>
        <w:t>1,2,</w:t>
      </w:r>
      <w:r>
        <w:rPr>
          <w:rFonts w:ascii="Times New Roman" w:hAnsi="Times New Roman" w:cs="Times New Roman"/>
        </w:rPr>
        <w:t xml:space="preserve">*; </w:t>
      </w:r>
      <w:proofErr w:type="spellStart"/>
      <w:r>
        <w:rPr>
          <w:rFonts w:ascii="Times New Roman" w:hAnsi="Times New Roman" w:cs="Times New Roman"/>
        </w:rPr>
        <w:t>Margita</w:t>
      </w:r>
      <w:proofErr w:type="spellEnd"/>
      <w:r>
        <w:rPr>
          <w:rFonts w:ascii="Times New Roman" w:hAnsi="Times New Roman" w:cs="Times New Roman"/>
        </w:rPr>
        <w:t xml:space="preserve"> </w:t>
      </w:r>
      <w:proofErr w:type="spellStart"/>
      <w:r>
        <w:rPr>
          <w:rFonts w:ascii="Times New Roman" w:hAnsi="Times New Roman" w:cs="Times New Roman"/>
        </w:rPr>
        <w:t>Držaić</w:t>
      </w:r>
      <w:proofErr w:type="spellEnd"/>
      <w:r>
        <w:rPr>
          <w:rFonts w:ascii="Times New Roman" w:hAnsi="Times New Roman" w:cs="Times New Roman"/>
        </w:rPr>
        <w:t xml:space="preserve">, (ORCID ID: 0000-0002-1539-4482) </w:t>
      </w:r>
      <w:r>
        <w:rPr>
          <w:rFonts w:ascii="Times New Roman" w:hAnsi="Times New Roman" w:cs="Times New Roman"/>
          <w:vertAlign w:val="superscript"/>
        </w:rPr>
        <w:t>1,2,</w:t>
      </w:r>
      <w:r>
        <w:rPr>
          <w:rFonts w:ascii="Times New Roman" w:hAnsi="Times New Roman" w:cs="Times New Roman"/>
        </w:rPr>
        <w:t xml:space="preserve">*; Ingrid </w:t>
      </w:r>
      <w:proofErr w:type="spellStart"/>
      <w:r>
        <w:rPr>
          <w:rFonts w:ascii="Times New Roman" w:hAnsi="Times New Roman" w:cs="Times New Roman"/>
        </w:rPr>
        <w:t>Kummer</w:t>
      </w:r>
      <w:proofErr w:type="spellEnd"/>
      <w:r>
        <w:rPr>
          <w:rFonts w:ascii="Times New Roman" w:hAnsi="Times New Roman" w:cs="Times New Roman"/>
        </w:rPr>
        <w:t>, (ORCID ID: 0000-0003-020</w:t>
      </w:r>
      <w:bookmarkStart w:id="0" w:name="_GoBack"/>
      <w:bookmarkEnd w:id="0"/>
      <w:r>
        <w:rPr>
          <w:rFonts w:ascii="Times New Roman" w:hAnsi="Times New Roman" w:cs="Times New Roman"/>
        </w:rPr>
        <w:t xml:space="preserve">5-1576) </w:t>
      </w:r>
      <w:r>
        <w:rPr>
          <w:rFonts w:ascii="Times New Roman" w:hAnsi="Times New Roman" w:cs="Times New Roman"/>
          <w:vertAlign w:val="superscript"/>
        </w:rPr>
        <w:t>3</w:t>
      </w:r>
      <w:r>
        <w:rPr>
          <w:rFonts w:ascii="Times New Roman" w:hAnsi="Times New Roman" w:cs="Times New Roman"/>
        </w:rPr>
        <w:t xml:space="preserve">; Maja </w:t>
      </w:r>
      <w:proofErr w:type="spellStart"/>
      <w:r>
        <w:rPr>
          <w:rFonts w:ascii="Times New Roman" w:hAnsi="Times New Roman" w:cs="Times New Roman"/>
        </w:rPr>
        <w:t>Ortner</w:t>
      </w:r>
      <w:proofErr w:type="spellEnd"/>
      <w:r>
        <w:rPr>
          <w:rFonts w:ascii="Times New Roman" w:hAnsi="Times New Roman" w:cs="Times New Roman"/>
        </w:rPr>
        <w:t xml:space="preserve"> </w:t>
      </w:r>
      <w:proofErr w:type="spellStart"/>
      <w:r>
        <w:rPr>
          <w:rFonts w:ascii="Times New Roman" w:hAnsi="Times New Roman" w:cs="Times New Roman"/>
        </w:rPr>
        <w:t>Hadžiabdić</w:t>
      </w:r>
      <w:proofErr w:type="spellEnd"/>
      <w:r>
        <w:rPr>
          <w:rFonts w:ascii="Times New Roman" w:hAnsi="Times New Roman" w:cs="Times New Roman"/>
        </w:rPr>
        <w:t xml:space="preserve">, (ORCID ID: 0000-0003-1578-9764) </w:t>
      </w:r>
      <w:r>
        <w:rPr>
          <w:rFonts w:ascii="Times New Roman" w:hAnsi="Times New Roman" w:cs="Times New Roman"/>
          <w:vertAlign w:val="superscript"/>
        </w:rPr>
        <w:t>2</w:t>
      </w:r>
      <w:r>
        <w:rPr>
          <w:rFonts w:ascii="Times New Roman" w:hAnsi="Times New Roman" w:cs="Times New Roman"/>
        </w:rPr>
        <w:t xml:space="preserve"> ; </w:t>
      </w:r>
      <w:proofErr w:type="spellStart"/>
      <w:r>
        <w:rPr>
          <w:rFonts w:ascii="Times New Roman" w:hAnsi="Times New Roman" w:cs="Times New Roman"/>
        </w:rPr>
        <w:t>Jovana</w:t>
      </w:r>
      <w:proofErr w:type="spellEnd"/>
      <w:r>
        <w:rPr>
          <w:rFonts w:ascii="Times New Roman" w:hAnsi="Times New Roman" w:cs="Times New Roman"/>
        </w:rPr>
        <w:t xml:space="preserve"> </w:t>
      </w:r>
      <w:proofErr w:type="spellStart"/>
      <w:r>
        <w:rPr>
          <w:rFonts w:ascii="Times New Roman" w:hAnsi="Times New Roman" w:cs="Times New Roman"/>
        </w:rPr>
        <w:t>Brkić</w:t>
      </w:r>
      <w:proofErr w:type="spellEnd"/>
      <w:r>
        <w:rPr>
          <w:rFonts w:ascii="Times New Roman" w:hAnsi="Times New Roman" w:cs="Times New Roman"/>
        </w:rPr>
        <w:t xml:space="preserve">, </w:t>
      </w:r>
      <w:r>
        <w:rPr>
          <w:rFonts w:ascii="Times New Roman" w:hAnsi="Times New Roman" w:cs="Times New Roman"/>
          <w:vertAlign w:val="superscript"/>
        </w:rPr>
        <w:t>3,4</w:t>
      </w:r>
      <w:r>
        <w:rPr>
          <w:rFonts w:ascii="Times New Roman" w:hAnsi="Times New Roman" w:cs="Times New Roman"/>
        </w:rPr>
        <w:t xml:space="preserve">; Daniela </w:t>
      </w:r>
      <w:proofErr w:type="spellStart"/>
      <w:r>
        <w:rPr>
          <w:rFonts w:ascii="Times New Roman" w:hAnsi="Times New Roman" w:cs="Times New Roman"/>
        </w:rPr>
        <w:t>Fialová</w:t>
      </w:r>
      <w:proofErr w:type="spellEnd"/>
      <w:r>
        <w:rPr>
          <w:rFonts w:ascii="Times New Roman" w:hAnsi="Times New Roman" w:cs="Times New Roman"/>
        </w:rPr>
        <w:t xml:space="preserve">, (ORCID ID: 0000-0001-5638-9690) </w:t>
      </w:r>
      <w:r>
        <w:rPr>
          <w:rFonts w:ascii="Times New Roman" w:hAnsi="Times New Roman" w:cs="Times New Roman"/>
          <w:vertAlign w:val="superscript"/>
        </w:rPr>
        <w:t>3,5</w:t>
      </w:r>
    </w:p>
    <w:p w14:paraId="564398FE" w14:textId="77777777" w:rsidR="001F082A" w:rsidRDefault="001F082A" w:rsidP="001F082A">
      <w:pP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 City Pharmacies Zagreb, </w:t>
      </w:r>
      <w:proofErr w:type="spellStart"/>
      <w:r>
        <w:rPr>
          <w:rFonts w:ascii="Times New Roman" w:hAnsi="Times New Roman" w:cs="Times New Roman"/>
        </w:rPr>
        <w:t>Kralja</w:t>
      </w:r>
      <w:proofErr w:type="spellEnd"/>
      <w:r>
        <w:rPr>
          <w:rFonts w:ascii="Times New Roman" w:hAnsi="Times New Roman" w:cs="Times New Roman"/>
        </w:rPr>
        <w:t xml:space="preserve"> </w:t>
      </w:r>
      <w:proofErr w:type="spellStart"/>
      <w:r>
        <w:rPr>
          <w:rFonts w:ascii="Times New Roman" w:hAnsi="Times New Roman" w:cs="Times New Roman"/>
        </w:rPr>
        <w:t>Držislava</w:t>
      </w:r>
      <w:proofErr w:type="spellEnd"/>
      <w:r>
        <w:rPr>
          <w:rFonts w:ascii="Times New Roman" w:hAnsi="Times New Roman" w:cs="Times New Roman"/>
        </w:rPr>
        <w:t xml:space="preserve"> 6, Zagreb, Croatia</w:t>
      </w:r>
    </w:p>
    <w:p w14:paraId="7A5124CF" w14:textId="77777777" w:rsidR="001F082A" w:rsidRDefault="001F082A" w:rsidP="001F082A">
      <w:pPr>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 xml:space="preserve"> University of Zagreb, Faculty of Pharmacy and Biochemistry, A. </w:t>
      </w:r>
      <w:proofErr w:type="spellStart"/>
      <w:r>
        <w:rPr>
          <w:rFonts w:ascii="Times New Roman" w:hAnsi="Times New Roman" w:cs="Times New Roman"/>
        </w:rPr>
        <w:t>Kovačića</w:t>
      </w:r>
      <w:proofErr w:type="spellEnd"/>
      <w:r>
        <w:rPr>
          <w:rFonts w:ascii="Times New Roman" w:hAnsi="Times New Roman" w:cs="Times New Roman"/>
        </w:rPr>
        <w:t xml:space="preserve"> 1, Zagreb, Croatia</w:t>
      </w:r>
    </w:p>
    <w:p w14:paraId="15FDFF8E" w14:textId="77777777" w:rsidR="001F082A" w:rsidRDefault="001F082A" w:rsidP="001F082A">
      <w:pPr>
        <w:rPr>
          <w:rFonts w:ascii="Times New Roman" w:hAnsi="Times New Roman" w:cs="Times New Roman"/>
        </w:rPr>
      </w:pPr>
      <w:r>
        <w:rPr>
          <w:rFonts w:ascii="Times New Roman" w:hAnsi="Times New Roman" w:cs="Times New Roman"/>
          <w:vertAlign w:val="superscript"/>
        </w:rPr>
        <w:t>3</w:t>
      </w:r>
      <w:r>
        <w:rPr>
          <w:rFonts w:ascii="Times New Roman" w:hAnsi="Times New Roman" w:cs="Times New Roman"/>
        </w:rPr>
        <w:t xml:space="preserve"> Department of Social and Clinical Pharmacy, Faculty of Pharmacy in Hradec </w:t>
      </w:r>
      <w:proofErr w:type="spellStart"/>
      <w:r>
        <w:rPr>
          <w:rFonts w:ascii="Times New Roman" w:hAnsi="Times New Roman" w:cs="Times New Roman"/>
        </w:rPr>
        <w:t>Králové</w:t>
      </w:r>
      <w:proofErr w:type="spellEnd"/>
      <w:r>
        <w:rPr>
          <w:rFonts w:ascii="Times New Roman" w:hAnsi="Times New Roman" w:cs="Times New Roman"/>
        </w:rPr>
        <w:t>,</w:t>
      </w:r>
      <w:r>
        <w:t xml:space="preserve"> </w:t>
      </w:r>
      <w:proofErr w:type="spellStart"/>
      <w:r>
        <w:rPr>
          <w:rFonts w:ascii="Times New Roman" w:hAnsi="Times New Roman" w:cs="Times New Roman"/>
        </w:rPr>
        <w:t>Akademika</w:t>
      </w:r>
      <w:proofErr w:type="spellEnd"/>
      <w:r>
        <w:rPr>
          <w:rFonts w:ascii="Times New Roman" w:hAnsi="Times New Roman" w:cs="Times New Roman"/>
        </w:rPr>
        <w:t xml:space="preserve"> </w:t>
      </w:r>
      <w:proofErr w:type="spellStart"/>
      <w:r>
        <w:rPr>
          <w:rFonts w:ascii="Times New Roman" w:hAnsi="Times New Roman" w:cs="Times New Roman"/>
        </w:rPr>
        <w:t>Heyrovského</w:t>
      </w:r>
      <w:proofErr w:type="spellEnd"/>
      <w:r>
        <w:rPr>
          <w:rFonts w:ascii="Times New Roman" w:hAnsi="Times New Roman" w:cs="Times New Roman"/>
        </w:rPr>
        <w:t xml:space="preserve"> 1203/8, Hradec </w:t>
      </w:r>
      <w:proofErr w:type="spellStart"/>
      <w:r>
        <w:rPr>
          <w:rFonts w:ascii="Times New Roman" w:hAnsi="Times New Roman" w:cs="Times New Roman"/>
        </w:rPr>
        <w:t>Králové</w:t>
      </w:r>
      <w:proofErr w:type="spellEnd"/>
      <w:r>
        <w:rPr>
          <w:rFonts w:ascii="Times New Roman" w:hAnsi="Times New Roman" w:cs="Times New Roman"/>
        </w:rPr>
        <w:t>, Charles University, Prague, Czech Republic</w:t>
      </w:r>
    </w:p>
    <w:p w14:paraId="4C41A2DB" w14:textId="77777777" w:rsidR="001F082A" w:rsidRDefault="001F082A" w:rsidP="001F082A">
      <w:pPr>
        <w:rPr>
          <w:rFonts w:ascii="Times New Roman" w:hAnsi="Times New Roman" w:cs="Times New Roman"/>
        </w:rPr>
      </w:pPr>
      <w:r>
        <w:rPr>
          <w:rFonts w:ascii="Times New Roman" w:hAnsi="Times New Roman" w:cs="Times New Roman"/>
          <w:vertAlign w:val="superscript"/>
        </w:rPr>
        <w:t xml:space="preserve">4 </w:t>
      </w:r>
      <w:r>
        <w:rPr>
          <w:rFonts w:ascii="Times New Roman" w:hAnsi="Times New Roman" w:cs="Times New Roman"/>
        </w:rPr>
        <w:t xml:space="preserve">Department of Social Pharmacy and Pharmaceutical Legislation, Faculty of Pharmacy, University of Belgrade, 450 </w:t>
      </w:r>
      <w:proofErr w:type="spellStart"/>
      <w:r>
        <w:rPr>
          <w:rFonts w:ascii="Times New Roman" w:hAnsi="Times New Roman" w:cs="Times New Roman"/>
        </w:rPr>
        <w:t>Vojvode</w:t>
      </w:r>
      <w:proofErr w:type="spellEnd"/>
      <w:r>
        <w:rPr>
          <w:rFonts w:ascii="Times New Roman" w:hAnsi="Times New Roman" w:cs="Times New Roman"/>
        </w:rPr>
        <w:t xml:space="preserve"> </w:t>
      </w:r>
      <w:proofErr w:type="spellStart"/>
      <w:r>
        <w:rPr>
          <w:rFonts w:ascii="Times New Roman" w:hAnsi="Times New Roman" w:cs="Times New Roman"/>
        </w:rPr>
        <w:t>Stepe</w:t>
      </w:r>
      <w:proofErr w:type="spellEnd"/>
      <w:r>
        <w:rPr>
          <w:rFonts w:ascii="Times New Roman" w:hAnsi="Times New Roman" w:cs="Times New Roman"/>
        </w:rPr>
        <w:t xml:space="preserve"> Street, Belgrade, Serbia</w:t>
      </w:r>
    </w:p>
    <w:p w14:paraId="0D119536" w14:textId="77777777" w:rsidR="001F082A" w:rsidRDefault="001F082A" w:rsidP="001F082A">
      <w:pPr>
        <w:rPr>
          <w:rFonts w:ascii="Times New Roman" w:hAnsi="Times New Roman" w:cs="Times New Roman"/>
        </w:rPr>
      </w:pPr>
      <w:r>
        <w:rPr>
          <w:rFonts w:ascii="Times New Roman" w:hAnsi="Times New Roman" w:cs="Times New Roman"/>
          <w:vertAlign w:val="superscript"/>
        </w:rPr>
        <w:t>5</w:t>
      </w:r>
      <w:r>
        <w:rPr>
          <w:rFonts w:ascii="Times New Roman" w:hAnsi="Times New Roman" w:cs="Times New Roman"/>
        </w:rPr>
        <w:t xml:space="preserve"> Department of Geriatrics and Gerontology, 1st Faculty of Medicine in Prague, Charles University, </w:t>
      </w:r>
      <w:proofErr w:type="spellStart"/>
      <w:r>
        <w:rPr>
          <w:rFonts w:ascii="Times New Roman" w:hAnsi="Times New Roman" w:cs="Times New Roman"/>
        </w:rPr>
        <w:t>Kateřinská</w:t>
      </w:r>
      <w:proofErr w:type="spellEnd"/>
      <w:r>
        <w:rPr>
          <w:rFonts w:ascii="Times New Roman" w:hAnsi="Times New Roman" w:cs="Times New Roman"/>
        </w:rPr>
        <w:t xml:space="preserve"> 32, Prague, Czech Republic</w:t>
      </w:r>
    </w:p>
    <w:p w14:paraId="7695F070" w14:textId="77777777" w:rsidR="001F082A" w:rsidRDefault="001F082A" w:rsidP="001F082A">
      <w:pPr>
        <w:rPr>
          <w:rFonts w:ascii="Times New Roman" w:hAnsi="Times New Roman" w:cs="Times New Roman"/>
        </w:rPr>
      </w:pPr>
      <w:r>
        <w:rPr>
          <w:rFonts w:ascii="Times New Roman" w:hAnsi="Times New Roman" w:cs="Times New Roman"/>
        </w:rPr>
        <w:t>*shared first authorship; these authors contributed equally</w:t>
      </w:r>
    </w:p>
    <w:p w14:paraId="7135DEE3" w14:textId="77777777" w:rsidR="001F082A" w:rsidRDefault="001F082A" w:rsidP="001F082A">
      <w:pPr>
        <w:rPr>
          <w:rFonts w:ascii="Times New Roman" w:hAnsi="Times New Roman" w:cs="Times New Roman"/>
        </w:rPr>
      </w:pPr>
      <w:proofErr w:type="gramStart"/>
      <w:r>
        <w:rPr>
          <w:rFonts w:ascii="Times New Roman" w:hAnsi="Times New Roman" w:cs="Times New Roman"/>
        </w:rPr>
        <w:t>email</w:t>
      </w:r>
      <w:proofErr w:type="gramEnd"/>
      <w:r>
        <w:rPr>
          <w:rFonts w:ascii="Times New Roman" w:hAnsi="Times New Roman" w:cs="Times New Roman"/>
        </w:rPr>
        <w:t xml:space="preserve"> addresses: Iva </w:t>
      </w:r>
      <w:proofErr w:type="spellStart"/>
      <w:r>
        <w:rPr>
          <w:rFonts w:ascii="Times New Roman" w:hAnsi="Times New Roman" w:cs="Times New Roman"/>
        </w:rPr>
        <w:t>Bužančić</w:t>
      </w:r>
      <w:proofErr w:type="spellEnd"/>
      <w:r>
        <w:rPr>
          <w:rFonts w:ascii="Times New Roman" w:hAnsi="Times New Roman" w:cs="Times New Roman"/>
        </w:rPr>
        <w:t>- buzanciciva@gmail.com</w:t>
      </w:r>
    </w:p>
    <w:p w14:paraId="3AB4A160" w14:textId="77777777" w:rsidR="001F082A" w:rsidRDefault="001F082A" w:rsidP="001F082A">
      <w:pPr>
        <w:rPr>
          <w:rFonts w:ascii="Times New Roman" w:hAnsi="Times New Roman" w:cs="Times New Roman"/>
        </w:rPr>
      </w:pP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Margita</w:t>
      </w:r>
      <w:proofErr w:type="spellEnd"/>
      <w:r>
        <w:rPr>
          <w:rFonts w:ascii="Times New Roman" w:hAnsi="Times New Roman" w:cs="Times New Roman"/>
        </w:rPr>
        <w:t xml:space="preserve"> </w:t>
      </w:r>
      <w:proofErr w:type="spellStart"/>
      <w:r>
        <w:rPr>
          <w:rFonts w:ascii="Times New Roman" w:hAnsi="Times New Roman" w:cs="Times New Roman"/>
        </w:rPr>
        <w:t>Držaić</w:t>
      </w:r>
      <w:proofErr w:type="spellEnd"/>
      <w:r>
        <w:rPr>
          <w:rFonts w:ascii="Times New Roman" w:hAnsi="Times New Roman" w:cs="Times New Roman"/>
        </w:rPr>
        <w:t>-</w:t>
      </w:r>
      <w:r>
        <w:rPr>
          <w:rFonts w:ascii="Times New Roman" w:hAnsi="Times New Roman" w:cs="Times New Roman"/>
          <w:color w:val="222222"/>
          <w:shd w:val="clear" w:color="auto" w:fill="FFFFFF"/>
        </w:rPr>
        <w:t xml:space="preserve"> margitadrzaic@gmail.com</w:t>
      </w:r>
    </w:p>
    <w:p w14:paraId="3E9FC3E8" w14:textId="77777777" w:rsidR="001F082A" w:rsidRDefault="001F082A" w:rsidP="001F082A">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Ingrid </w:t>
      </w:r>
      <w:proofErr w:type="spellStart"/>
      <w:r>
        <w:rPr>
          <w:rFonts w:ascii="Times New Roman" w:hAnsi="Times New Roman" w:cs="Times New Roman"/>
        </w:rPr>
        <w:t>Kummer</w:t>
      </w:r>
      <w:proofErr w:type="spellEnd"/>
      <w:r>
        <w:rPr>
          <w:rFonts w:ascii="Times New Roman" w:hAnsi="Times New Roman" w:cs="Times New Roman"/>
        </w:rPr>
        <w:t xml:space="preserve">- </w:t>
      </w:r>
      <w:r>
        <w:rPr>
          <w:rFonts w:ascii="Times New Roman" w:hAnsi="Times New Roman" w:cs="Times New Roman"/>
          <w:color w:val="222222"/>
          <w:shd w:val="clear" w:color="auto" w:fill="FFFFFF"/>
        </w:rPr>
        <w:t>ingrid.kummer2@gmail.com</w:t>
      </w:r>
    </w:p>
    <w:p w14:paraId="122B6191" w14:textId="77777777" w:rsidR="001F082A" w:rsidRDefault="001F082A" w:rsidP="001F082A">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Maja </w:t>
      </w:r>
      <w:proofErr w:type="spellStart"/>
      <w:r>
        <w:rPr>
          <w:rFonts w:ascii="Times New Roman" w:hAnsi="Times New Roman" w:cs="Times New Roman"/>
        </w:rPr>
        <w:t>Ortner</w:t>
      </w:r>
      <w:proofErr w:type="spellEnd"/>
      <w:r>
        <w:rPr>
          <w:rFonts w:ascii="Times New Roman" w:hAnsi="Times New Roman" w:cs="Times New Roman"/>
        </w:rPr>
        <w:t xml:space="preserve"> </w:t>
      </w:r>
      <w:proofErr w:type="spellStart"/>
      <w:r>
        <w:rPr>
          <w:rFonts w:ascii="Times New Roman" w:hAnsi="Times New Roman" w:cs="Times New Roman"/>
        </w:rPr>
        <w:t>Hadžiabdić</w:t>
      </w:r>
      <w:proofErr w:type="spellEnd"/>
      <w:r>
        <w:rPr>
          <w:rFonts w:ascii="Times New Roman" w:hAnsi="Times New Roman" w:cs="Times New Roman"/>
        </w:rPr>
        <w:t>- mortner@pharma.hr</w:t>
      </w:r>
    </w:p>
    <w:p w14:paraId="254AB9B1" w14:textId="77777777" w:rsidR="001F082A" w:rsidRDefault="001F082A" w:rsidP="001F082A">
      <w:pPr>
        <w:rPr>
          <w:rFonts w:ascii="Times New Roman" w:hAnsi="Times New Roman" w:cs="Times New Roman"/>
        </w:rPr>
      </w:pP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Jovana</w:t>
      </w:r>
      <w:proofErr w:type="spellEnd"/>
      <w:r>
        <w:rPr>
          <w:rFonts w:ascii="Times New Roman" w:hAnsi="Times New Roman" w:cs="Times New Roman"/>
        </w:rPr>
        <w:t xml:space="preserve"> </w:t>
      </w:r>
      <w:proofErr w:type="spellStart"/>
      <w:r>
        <w:rPr>
          <w:rFonts w:ascii="Times New Roman" w:hAnsi="Times New Roman" w:cs="Times New Roman"/>
        </w:rPr>
        <w:t>Brkić</w:t>
      </w:r>
      <w:proofErr w:type="spellEnd"/>
      <w:r>
        <w:rPr>
          <w:rFonts w:ascii="Times New Roman" w:hAnsi="Times New Roman" w:cs="Times New Roman"/>
        </w:rPr>
        <w:t xml:space="preserve">- </w:t>
      </w:r>
      <w:r>
        <w:rPr>
          <w:rFonts w:ascii="Times New Roman" w:hAnsi="Times New Roman" w:cs="Times New Roman"/>
          <w:color w:val="222222"/>
          <w:shd w:val="clear" w:color="auto" w:fill="FFFFFF"/>
        </w:rPr>
        <w:t>jovanabrkic37@gmail.com</w:t>
      </w:r>
    </w:p>
    <w:p w14:paraId="3EC26FC0" w14:textId="77777777" w:rsidR="001F082A" w:rsidRDefault="001F082A" w:rsidP="001F082A">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Daniela </w:t>
      </w:r>
      <w:proofErr w:type="spellStart"/>
      <w:r>
        <w:rPr>
          <w:rFonts w:ascii="Times New Roman" w:hAnsi="Times New Roman" w:cs="Times New Roman"/>
        </w:rPr>
        <w:t>Fialová</w:t>
      </w:r>
      <w:proofErr w:type="spellEnd"/>
      <w:r>
        <w:rPr>
          <w:rFonts w:ascii="Times New Roman" w:hAnsi="Times New Roman" w:cs="Times New Roman"/>
        </w:rPr>
        <w:t xml:space="preserve">- </w:t>
      </w:r>
      <w:r>
        <w:rPr>
          <w:rFonts w:ascii="Times New Roman" w:hAnsi="Times New Roman" w:cs="Times New Roman"/>
          <w:color w:val="222222"/>
          <w:shd w:val="clear" w:color="auto" w:fill="FFFFFF"/>
        </w:rPr>
        <w:t>fialovad@faf.cuni.cz</w:t>
      </w:r>
    </w:p>
    <w:p w14:paraId="4445F849" w14:textId="77777777" w:rsidR="001F082A" w:rsidRDefault="001F082A" w:rsidP="001F082A">
      <w:pPr>
        <w:rPr>
          <w:rFonts w:ascii="Times New Roman" w:hAnsi="Times New Roman" w:cs="Times New Roman"/>
        </w:rPr>
      </w:pPr>
      <w:r>
        <w:rPr>
          <w:rFonts w:ascii="Times New Roman" w:hAnsi="Times New Roman" w:cs="Times New Roman"/>
          <w:b/>
          <w:bCs/>
        </w:rPr>
        <w:t>Corresponding author</w:t>
      </w:r>
      <w:r>
        <w:rPr>
          <w:rFonts w:ascii="Times New Roman" w:hAnsi="Times New Roman" w:cs="Times New Roman"/>
        </w:rPr>
        <w:t xml:space="preserve">: Assoc. </w:t>
      </w:r>
      <w:proofErr w:type="spellStart"/>
      <w:r>
        <w:rPr>
          <w:rFonts w:ascii="Times New Roman" w:hAnsi="Times New Roman" w:cs="Times New Roman"/>
        </w:rPr>
        <w:t>Prof.</w:t>
      </w:r>
      <w:proofErr w:type="spellEnd"/>
      <w:r>
        <w:rPr>
          <w:rFonts w:ascii="Times New Roman" w:hAnsi="Times New Roman" w:cs="Times New Roman"/>
        </w:rPr>
        <w:t xml:space="preserve"> Maja </w:t>
      </w:r>
      <w:proofErr w:type="spellStart"/>
      <w:r>
        <w:rPr>
          <w:rFonts w:ascii="Times New Roman" w:hAnsi="Times New Roman" w:cs="Times New Roman"/>
        </w:rPr>
        <w:t>Ortner</w:t>
      </w:r>
      <w:proofErr w:type="spellEnd"/>
      <w:r>
        <w:rPr>
          <w:rFonts w:ascii="Times New Roman" w:hAnsi="Times New Roman" w:cs="Times New Roman"/>
        </w:rPr>
        <w:t xml:space="preserve"> </w:t>
      </w:r>
      <w:proofErr w:type="spellStart"/>
      <w:r>
        <w:rPr>
          <w:rFonts w:ascii="Times New Roman" w:hAnsi="Times New Roman" w:cs="Times New Roman"/>
        </w:rPr>
        <w:t>Hadžiabdić</w:t>
      </w:r>
      <w:proofErr w:type="spellEnd"/>
      <w:r>
        <w:rPr>
          <w:rFonts w:ascii="Times New Roman" w:hAnsi="Times New Roman" w:cs="Times New Roman"/>
        </w:rPr>
        <w:t xml:space="preserve">, </w:t>
      </w:r>
      <w:proofErr w:type="spellStart"/>
      <w:r>
        <w:rPr>
          <w:rFonts w:ascii="Times New Roman" w:hAnsi="Times New Roman" w:cs="Times New Roman"/>
        </w:rPr>
        <w:t>MPharm</w:t>
      </w:r>
      <w:proofErr w:type="spellEnd"/>
      <w:r>
        <w:rPr>
          <w:rFonts w:ascii="Times New Roman" w:hAnsi="Times New Roman" w:cs="Times New Roman"/>
        </w:rPr>
        <w:t>, PhD</w:t>
      </w:r>
    </w:p>
    <w:p w14:paraId="4B52D2B3" w14:textId="77777777" w:rsidR="001F082A" w:rsidRDefault="001F082A" w:rsidP="001F082A">
      <w:pPr>
        <w:rPr>
          <w:rFonts w:ascii="Times New Roman" w:hAnsi="Times New Roman" w:cs="Times New Roman"/>
        </w:rPr>
      </w:pPr>
      <w:proofErr w:type="spellStart"/>
      <w:r>
        <w:rPr>
          <w:rFonts w:ascii="Times New Roman" w:hAnsi="Times New Roman" w:cs="Times New Roman"/>
        </w:rPr>
        <w:t>Center</w:t>
      </w:r>
      <w:proofErr w:type="spellEnd"/>
      <w:r>
        <w:rPr>
          <w:rFonts w:ascii="Times New Roman" w:hAnsi="Times New Roman" w:cs="Times New Roman"/>
        </w:rPr>
        <w:t xml:space="preserve"> for Applied Pharmacy</w:t>
      </w:r>
    </w:p>
    <w:p w14:paraId="4369F01F" w14:textId="77777777" w:rsidR="001F082A" w:rsidRDefault="001F082A" w:rsidP="001F082A">
      <w:pPr>
        <w:rPr>
          <w:rFonts w:ascii="Times New Roman" w:hAnsi="Times New Roman" w:cs="Times New Roman"/>
        </w:rPr>
      </w:pPr>
      <w:r>
        <w:rPr>
          <w:rFonts w:ascii="Times New Roman" w:hAnsi="Times New Roman" w:cs="Times New Roman"/>
        </w:rPr>
        <w:t>University of Zagreb</w:t>
      </w:r>
    </w:p>
    <w:p w14:paraId="522DBFF5" w14:textId="77777777" w:rsidR="001F082A" w:rsidRDefault="001F082A" w:rsidP="001F082A">
      <w:pPr>
        <w:rPr>
          <w:rFonts w:ascii="Times New Roman" w:hAnsi="Times New Roman" w:cs="Times New Roman"/>
        </w:rPr>
      </w:pPr>
      <w:r>
        <w:rPr>
          <w:rFonts w:ascii="Times New Roman" w:hAnsi="Times New Roman" w:cs="Times New Roman"/>
        </w:rPr>
        <w:t>Faculty of Pharmacy and Biochemistry</w:t>
      </w:r>
    </w:p>
    <w:p w14:paraId="402A0D05" w14:textId="77777777" w:rsidR="001F082A" w:rsidRDefault="001F082A" w:rsidP="001F082A">
      <w:pPr>
        <w:rPr>
          <w:rFonts w:ascii="Times New Roman" w:hAnsi="Times New Roman" w:cs="Times New Roman"/>
        </w:rPr>
      </w:pPr>
      <w:r>
        <w:rPr>
          <w:rFonts w:ascii="Times New Roman" w:hAnsi="Times New Roman" w:cs="Times New Roman"/>
        </w:rPr>
        <w:t xml:space="preserve">Ante </w:t>
      </w:r>
      <w:proofErr w:type="spellStart"/>
      <w:r>
        <w:rPr>
          <w:rFonts w:ascii="Times New Roman" w:hAnsi="Times New Roman" w:cs="Times New Roman"/>
        </w:rPr>
        <w:t>Kovačića</w:t>
      </w:r>
      <w:proofErr w:type="spellEnd"/>
      <w:r>
        <w:rPr>
          <w:rFonts w:ascii="Times New Roman" w:hAnsi="Times New Roman" w:cs="Times New Roman"/>
        </w:rPr>
        <w:t xml:space="preserve"> 1, 10 000 Zagreb, Croatia</w:t>
      </w:r>
    </w:p>
    <w:p w14:paraId="28424BB0" w14:textId="77777777" w:rsidR="001F082A" w:rsidRDefault="001F082A" w:rsidP="001F082A">
      <w:pPr>
        <w:rPr>
          <w:rFonts w:ascii="Times New Roman" w:hAnsi="Times New Roman" w:cs="Times New Roman"/>
        </w:rPr>
      </w:pPr>
      <w:r>
        <w:rPr>
          <w:rFonts w:ascii="Times New Roman" w:hAnsi="Times New Roman" w:cs="Times New Roman"/>
        </w:rPr>
        <w:t>E-mail: mortner@pharma.hr</w:t>
      </w:r>
    </w:p>
    <w:p w14:paraId="06AC0350" w14:textId="77777777" w:rsidR="00961AA3" w:rsidRDefault="00961AA3">
      <w:r>
        <w:br w:type="page"/>
      </w:r>
    </w:p>
    <w:p w14:paraId="5E664384" w14:textId="40AEA2E5" w:rsidR="00961AA3" w:rsidRDefault="00961AA3" w:rsidP="00961AA3">
      <w:pPr>
        <w:jc w:val="center"/>
      </w:pPr>
      <w:proofErr w:type="spellStart"/>
      <w:r w:rsidRPr="00333FF4">
        <w:lastRenderedPageBreak/>
        <w:t>Deprescribing</w:t>
      </w:r>
      <w:proofErr w:type="spellEnd"/>
      <w:r w:rsidRPr="00333FF4">
        <w:t xml:space="preserve"> Potential of Commonly Used Medications among Community-Dwelling Older Adults: Insights from a </w:t>
      </w:r>
      <w:r>
        <w:t>Pharmacist-led</w:t>
      </w:r>
      <w:r w:rsidRPr="00333FF4">
        <w:t xml:space="preserve"> Geriatric Assessment</w:t>
      </w:r>
      <w:r>
        <w:t>-APPENDIX FILE 1</w:t>
      </w:r>
    </w:p>
    <w:p w14:paraId="1438F9B2" w14:textId="77777777" w:rsidR="00961AA3" w:rsidRDefault="00961AA3" w:rsidP="00961AA3">
      <w:pPr>
        <w:jc w:val="center"/>
        <w:rPr>
          <w:u w:val="single"/>
        </w:rPr>
      </w:pPr>
    </w:p>
    <w:p w14:paraId="68CFD3DD" w14:textId="77777777" w:rsidR="00961AA3" w:rsidRDefault="00961AA3" w:rsidP="00961AA3">
      <w:pPr>
        <w:jc w:val="both"/>
      </w:pPr>
      <w:r w:rsidRPr="008759D3">
        <w:rPr>
          <w:u w:val="single"/>
        </w:rPr>
        <w:t xml:space="preserve">Proton Pump Inhibitors (PPI) </w:t>
      </w:r>
      <w:proofErr w:type="spellStart"/>
      <w:r w:rsidRPr="008759D3">
        <w:rPr>
          <w:u w:val="single"/>
        </w:rPr>
        <w:t>Deprescribing</w:t>
      </w:r>
      <w:proofErr w:type="spellEnd"/>
      <w:r w:rsidRPr="008759D3">
        <w:rPr>
          <w:u w:val="single"/>
        </w:rPr>
        <w:t xml:space="preserve"> criteria</w:t>
      </w:r>
      <w:r w:rsidRPr="008759D3">
        <w:rPr>
          <w:u w:val="single"/>
        </w:rPr>
        <w:fldChar w:fldCharType="begin" w:fldLock="1"/>
      </w:r>
      <w:r>
        <w:rPr>
          <w:u w:val="single"/>
        </w:rPr>
        <w:instrText>ADDIN CSL_CITATION {"citationItems":[{"id":"ITEM-1","itemData":{"abstract":"Objective To develop an evidence-based guideline to help clinicians make decisions about when and how to safely taper or stop proton pump inhibitors (PPIs); to focus on the highest level of evidence available and seek input from primary care professionals in the guideline development, review, and endorsement processes. Methods Five health professionals (1 family physician, 3 pharmacists, and 1 gastroenterologist) and 5 nonvoting members comprised the overall team; members disclosed conficts of interest. The guideline process included the GRADE (Grading of Recommendations Assessment, Development and Evaluation) approach, with a detailed evidence review in in-person, telephone, and online meetings. Uniquely, the guideline development process included a systematic review of PPI deprescribing trials and examination of reviews of the harm of continued PPI use. Narrative syntheses of patient preferences and resource-implication literature informed recommendations. The team refned guideline content and recommendation wording through consensus and synthesized clinical considerations to address common front-line clinician questions. The draft guideline was distributed to clinicians and then to health care professional associations for review and revisions made at each stage. A decision-support algorithm was developed in conjunction with the guideline. Recommendations This guideline recommends deprescribing PPIs (reducing dose, stopping, or using \"on-demand\" dosing) in adults who have completed a minimum of 4 weeks of PPI treatment for heartburn or mild to moderate gastroesophageal refux disease or esophagitis, and whose symptoms are resolved. The recommendations do not apply to those who have or have had Barrett esophagus, severe esophagitis grade C or D, or documented history of bleeding gastrointestinal ulcers. Conclusion This guideline provides practical recommendations for making decisions about when and how to reduce the dose of or stop PPIs. Recommendations are meant to assist with, not dictate, decision making in conjunction with patients.","author":[{"dropping-particle":"","family":"Farrell Pharmd","given":"Barbara","non-dropping-particle":"","parse-names":false,"suffix":""},{"dropping-particle":"","family":"Fcshp","given":"Acpr","non-dropping-particle":"","parse-names":false,"suffix":""},{"dropping-particle":"","family":"Pottie","given":"Kevin","non-dropping-particle":"","parse-names":false,"suffix":""},{"dropping-particle":"","family":"Fcfp","given":"Mclsc","non-dropping-particle":"","parse-names":false,"suffix":""},{"dropping-particle":"","family":"Thompson Taline","given":"Wade","non-dropping-particle":"","parse-names":false,"suffix":""},{"dropping-particle":"","family":"Acpr","given":"Boghossian","non-dropping-particle":"","parse-names":false,"suffix":""},{"dropping-particle":"","family":"Pizzola","given":"Lisa","non-dropping-particle":"","parse-names":false,"suffix":""},{"dropping-particle":"","family":"Joy","given":"Farah","non-dropping-particle":"","parse-names":false,"suffix":""},{"dropping-particle":"","family":"Acpr","given":"Rashid","non-dropping-particle":"","parse-names":false,"suffix":""},{"dropping-particle":"","family":"Rojas-Fernandez","given":"Carlos","non-dropping-particle":"","parse-names":false,"suffix":""},{"dropping-particle":"","family":"Kate","given":"Pharmd","non-dropping-particle":"","parse-names":false,"suffix":""},{"dropping-particle":"","family":"Acpr","given":"Walsh","non-dropping-particle":"","parse-names":false,"suffix":""},{"dropping-particle":"","family":"Welch","given":"Vivian","non-dropping-particle":"","parse-names":false,"suffix":""},{"dropping-particle":"","family":"Moayyedi","given":"Paul","non-dropping-particle":"","parse-names":false,"suffix":""}],"container-title":"Canadian Family Physician • Le Médecin de famille canadien","id":"ITEM-1","issued":{"date-parts":[["2017"]]},"title":"Clinical Practice Guidelines Deprescribing proton pump inhibitors Evidence-based clinical practice guideline","type":"article-journal","volume":"63"},"uris":["http://www.mendeley.com/documents/?uuid=1a1fd40c-d422-31ef-b743-b0a4fdef4290"]},{"id":"ITEM-2","itemData":{"DOI":"10.1053/j.gastro.2021.12.247","ISSN":"15280012","PMID":"35183361","abstract":"Description: Proton pump inhibitors (PPIs) are among the most commonly used medications in the world. Developed for the treatment and prevention of acid-mediated upper gastrointestinal conditions, these agents are being used increasingly for indications where their benefits are less certain. PPI overprescription imposes an economic cost and contributes to polypharmacy. In addition, PPI use has been increasingly linked to a number of adverse events (PPI-associated adverse events [PAAEs]). Therefore, de-prescribing of PPIs is an important strategy to lower pill burden while reducing real costs and theoretical risks. The purpose of this clinical update was to provide Best Practice Advice (BPA) statements about how to approach PPI de-prescribing in ambulatory patients. Methods: Our guiding principle was that, although PPIs are generally safe, patients should not use any medication when there is not a reasonable expectation of benefit based on scientific evidence or prior treatment response. Prescribers are responsible for determining whether PPI use is absolutely or conditionally indicated and, when uncertainty exists, to incorporate patient perspectives into PPI decision making. We collaboratively outlined a high-level “process map” of the conceptual approach to de-prescribing PPIs in a clinical setting. We identified the following 3 key domains that required BPA guidance: documentation of PPI indication; identifying suitable candidates for consideration of de-prescribing; and optimizing successful de-prescribing. Co-authors drafted 1 or more potential BPAs, supported by literature review, for each domain. All co-authors reviewed, edited, and selected or rejected draft BPAs for inclusion in the final list submitted to the American Gastroenterological Association Governing Board. Because this was not a systematic review, we did not carry out a formal rating of the quality of evidence or strength of the presented considerations. Best Practice Advice Statements Best Practice Advice 1: All patients taking a PPI should have a regular review of the ongoing indications for use and documentation of that indication. This review should be the responsibility of the patient's primary care provider. Best Practice Advice 2: All patients without a definitive indication for chronic PPI should be considered for trial of de-prescribing. Best Practice Advice 3: Most patients with an indication for chronic PPI use who take twice-daily dosing should be considered for step down…","author":[{"dropping-particle":"","family":"Targownik","given":"Laura E.","non-dropping-particle":"","parse-names":false,"suffix":""},{"dropping-particle":"","family":"Fisher","given":"Deborah A.","non-dropping-particle":"","parse-names":false,"suffix":""},{"dropping-particle":"","family":"Saini","given":"Sameer D.","non-dropping-particle":"","parse-names":false,"suffix":""}],"container-title":"Gastroenterology","id":"ITEM-2","issue":"4","issued":{"date-parts":[["2022","4","1"]]},"page":"1334-1342","publisher":"W.B. Saunders","title":"AGA Clinical Practice Update on De-Prescribing of Proton Pump Inhibitors: Expert Review","type":"article-journal","volume":"162"},"uris":["http://www.mendeley.com/documents/?uuid=06b62f35-2062-4118-98d3-0d6ce359673b"]}],"mendeley":{"formattedCitation":"&lt;sup&gt;1,2&lt;/sup&gt;","plainTextFormattedCitation":"1,2","previouslyFormattedCitation":"&lt;sup&gt;1,2&lt;/sup&gt;"},"properties":{"noteIndex":0},"schema":"https://github.com/citation-style-language/schema/raw/master/csl-citation.json"}</w:instrText>
      </w:r>
      <w:r w:rsidRPr="008759D3">
        <w:rPr>
          <w:u w:val="single"/>
        </w:rPr>
        <w:fldChar w:fldCharType="separate"/>
      </w:r>
      <w:r w:rsidRPr="008759D3">
        <w:rPr>
          <w:noProof/>
          <w:u w:val="single"/>
          <w:vertAlign w:val="superscript"/>
        </w:rPr>
        <w:t>1,2</w:t>
      </w:r>
      <w:r w:rsidRPr="008759D3">
        <w:rPr>
          <w:u w:val="single"/>
        </w:rPr>
        <w:fldChar w:fldCharType="end"/>
      </w:r>
      <w:r w:rsidRPr="008759D3">
        <w:t>:</w:t>
      </w:r>
    </w:p>
    <w:p w14:paraId="07FFB9F4" w14:textId="77777777" w:rsidR="00961AA3" w:rsidRPr="008759D3" w:rsidRDefault="00961AA3" w:rsidP="00961AA3">
      <w:pPr>
        <w:jc w:val="both"/>
      </w:pPr>
      <w:r>
        <w:t xml:space="preserve">PPI available: pantoprazole, omeprazole, esomeprazole, </w:t>
      </w:r>
      <w:proofErr w:type="spellStart"/>
      <w:r>
        <w:t>rabeprazole</w:t>
      </w:r>
      <w:proofErr w:type="spellEnd"/>
      <w:r>
        <w:t>, lansoprazole</w:t>
      </w:r>
    </w:p>
    <w:p w14:paraId="788D71FF" w14:textId="77777777" w:rsidR="00961AA3" w:rsidRPr="008759D3" w:rsidRDefault="00961AA3" w:rsidP="00961AA3">
      <w:pPr>
        <w:jc w:val="both"/>
      </w:pPr>
      <w:proofErr w:type="spellStart"/>
      <w:r w:rsidRPr="008759D3">
        <w:t>Deprescribing</w:t>
      </w:r>
      <w:proofErr w:type="spellEnd"/>
      <w:r w:rsidRPr="008759D3">
        <w:t xml:space="preserve"> can include stopping, stepping down, or reducing doses. Stopping can be done either via abrupt discontinuation or a tapering regimen. Stepping down involves abrupt discontinuation or tapering of the PPI followed by prescription of an H2 RA (any H2 RA at any approved dose and dosing interval according to the drug monograph)</w:t>
      </w:r>
    </w:p>
    <w:p w14:paraId="655B31DB" w14:textId="77777777" w:rsidR="00961AA3" w:rsidRPr="008759D3" w:rsidRDefault="00961AA3" w:rsidP="00961AA3">
      <w:pPr>
        <w:jc w:val="both"/>
      </w:pPr>
      <w:r w:rsidRPr="008759D3">
        <w:t xml:space="preserve">Reducing includes the following subcategories: </w:t>
      </w:r>
    </w:p>
    <w:p w14:paraId="76947FE3" w14:textId="77777777" w:rsidR="00961AA3" w:rsidRPr="008759D3" w:rsidRDefault="00961AA3" w:rsidP="00961AA3">
      <w:pPr>
        <w:ind w:firstLine="720"/>
        <w:jc w:val="both"/>
      </w:pPr>
      <w:r w:rsidRPr="008759D3">
        <w:t>-Intermittent PPI use, which is defined by the Canadian Consensus Conference as “daily intake of a medication for a predetermined, finite period (usually two to eight weeks) to produce resolution of reflux-related symptoms or healing of oesophageal lesions following relapse of the individual’s condition”</w:t>
      </w:r>
    </w:p>
    <w:p w14:paraId="39FB25CB" w14:textId="77777777" w:rsidR="00961AA3" w:rsidRPr="008759D3" w:rsidRDefault="00961AA3" w:rsidP="00961AA3">
      <w:pPr>
        <w:ind w:firstLine="720"/>
        <w:jc w:val="both"/>
      </w:pPr>
      <w:r w:rsidRPr="008759D3">
        <w:t xml:space="preserve"> -On-demand PPI use, which is defined by the Canadian Consensus Conference as “the daily intake of a medication for a period sufficient to achieve resolution of the individual’s reflux-related symptoms; following symptom resolution, the medication is discontinued until the individual’s symptoms recur, at which point, medication is again taken daily until the symptoms resolve”</w:t>
      </w:r>
    </w:p>
    <w:p w14:paraId="72E5C02C" w14:textId="77777777" w:rsidR="00961AA3" w:rsidRPr="008759D3" w:rsidRDefault="00961AA3" w:rsidP="00961AA3">
      <w:pPr>
        <w:ind w:firstLine="720"/>
        <w:jc w:val="both"/>
      </w:pPr>
      <w:r w:rsidRPr="008759D3">
        <w:t>-Low dose, which is a reduction from a standard dose to a maintenance dose</w:t>
      </w:r>
    </w:p>
    <w:p w14:paraId="730A599C" w14:textId="77777777" w:rsidR="00961AA3" w:rsidRPr="008759D3" w:rsidRDefault="00961AA3" w:rsidP="00961AA3">
      <w:pPr>
        <w:jc w:val="both"/>
      </w:pPr>
      <w:r w:rsidRPr="008759D3">
        <w:t>For adults (&gt;18 y) with upper gastrointestinal (GI) symptoms, who have completed a minimum 4-week course of PPI treatment, resulting in resolution of upper GI symptoms, it is recommended to decrease the daily dose or stop and change to on-demand (as needed) use. Alternatively, it can be suggested to consider an H2 RA as an alternative to PPIs.</w:t>
      </w:r>
    </w:p>
    <w:p w14:paraId="6F1C98CD" w14:textId="77777777" w:rsidR="00961AA3" w:rsidRPr="008759D3" w:rsidRDefault="00961AA3" w:rsidP="00961AA3">
      <w:pPr>
        <w:spacing w:after="0"/>
        <w:jc w:val="both"/>
      </w:pPr>
      <w:r w:rsidRPr="008759D3">
        <w:t>Risk factors for GI bleed in antiplatelet user:</w:t>
      </w:r>
    </w:p>
    <w:p w14:paraId="371ED64D" w14:textId="77777777" w:rsidR="00961AA3" w:rsidRPr="008759D3" w:rsidRDefault="00961AA3" w:rsidP="00961AA3">
      <w:pPr>
        <w:pStyle w:val="ListParagraph"/>
        <w:numPr>
          <w:ilvl w:val="0"/>
          <w:numId w:val="9"/>
        </w:numPr>
        <w:spacing w:after="0"/>
        <w:jc w:val="both"/>
      </w:pPr>
      <w:r w:rsidRPr="008759D3">
        <w:t>concomitant use of another antiplatelet</w:t>
      </w:r>
    </w:p>
    <w:p w14:paraId="35101C1E" w14:textId="77777777" w:rsidR="00961AA3" w:rsidRPr="008759D3" w:rsidRDefault="00961AA3" w:rsidP="00961AA3">
      <w:pPr>
        <w:pStyle w:val="ListParagraph"/>
        <w:numPr>
          <w:ilvl w:val="0"/>
          <w:numId w:val="9"/>
        </w:numPr>
        <w:spacing w:after="0"/>
        <w:jc w:val="both"/>
      </w:pPr>
      <w:r w:rsidRPr="008759D3">
        <w:t>previous peptic ulcer disease</w:t>
      </w:r>
    </w:p>
    <w:p w14:paraId="46138410" w14:textId="77777777" w:rsidR="00961AA3" w:rsidRPr="008759D3" w:rsidRDefault="00961AA3" w:rsidP="00961AA3">
      <w:pPr>
        <w:pStyle w:val="ListParagraph"/>
        <w:numPr>
          <w:ilvl w:val="0"/>
          <w:numId w:val="9"/>
        </w:numPr>
        <w:spacing w:after="0"/>
        <w:jc w:val="both"/>
      </w:pPr>
      <w:r w:rsidRPr="008759D3">
        <w:t>concomitant therapy with nonsteroidal anti-inflammatory drug (NSAID)</w:t>
      </w:r>
    </w:p>
    <w:p w14:paraId="75BE397E" w14:textId="77777777" w:rsidR="00961AA3" w:rsidRPr="008759D3" w:rsidRDefault="00961AA3" w:rsidP="00961AA3">
      <w:pPr>
        <w:pStyle w:val="ListParagraph"/>
        <w:numPr>
          <w:ilvl w:val="0"/>
          <w:numId w:val="9"/>
        </w:numPr>
        <w:spacing w:after="0"/>
        <w:jc w:val="both"/>
      </w:pPr>
      <w:proofErr w:type="spellStart"/>
      <w:r w:rsidRPr="008759D3">
        <w:t>H.pylori</w:t>
      </w:r>
      <w:proofErr w:type="spellEnd"/>
      <w:r w:rsidRPr="008759D3">
        <w:t xml:space="preserve"> infection</w:t>
      </w:r>
    </w:p>
    <w:p w14:paraId="1DB09541" w14:textId="77777777" w:rsidR="00961AA3" w:rsidRPr="008759D3" w:rsidRDefault="00961AA3" w:rsidP="00961AA3">
      <w:pPr>
        <w:pStyle w:val="ListParagraph"/>
        <w:numPr>
          <w:ilvl w:val="0"/>
          <w:numId w:val="9"/>
        </w:numPr>
        <w:spacing w:after="0"/>
        <w:jc w:val="both"/>
      </w:pPr>
      <w:r w:rsidRPr="008759D3">
        <w:t>&gt;70 years of age</w:t>
      </w:r>
    </w:p>
    <w:p w14:paraId="1A5AA978" w14:textId="77777777" w:rsidR="00961AA3" w:rsidRPr="008759D3" w:rsidRDefault="00961AA3" w:rsidP="00961AA3">
      <w:pPr>
        <w:pStyle w:val="ListParagraph"/>
        <w:spacing w:after="0"/>
        <w:jc w:val="both"/>
      </w:pPr>
    </w:p>
    <w:p w14:paraId="232425AE" w14:textId="77777777" w:rsidR="00961AA3" w:rsidRPr="008759D3" w:rsidRDefault="00961AA3" w:rsidP="00961AA3">
      <w:pPr>
        <w:spacing w:after="0"/>
        <w:jc w:val="both"/>
      </w:pPr>
      <w:r w:rsidRPr="008759D3">
        <w:t>Risk factors for GI bleed in vitamin K antagonist (VKA) and direct oral anticoagulant (DOAC) user:</w:t>
      </w:r>
    </w:p>
    <w:p w14:paraId="3CC649D2" w14:textId="77777777" w:rsidR="00961AA3" w:rsidRPr="008759D3" w:rsidRDefault="00961AA3" w:rsidP="00961AA3">
      <w:pPr>
        <w:pStyle w:val="ListParagraph"/>
        <w:numPr>
          <w:ilvl w:val="0"/>
          <w:numId w:val="9"/>
        </w:numPr>
        <w:spacing w:after="0"/>
        <w:jc w:val="both"/>
      </w:pPr>
      <w:r w:rsidRPr="008759D3">
        <w:t>&gt;65 years of age (VKA) or &gt;75 years of age (DOAC; &gt;70 years of age for dabigatran)</w:t>
      </w:r>
    </w:p>
    <w:p w14:paraId="1E0ACD51" w14:textId="77777777" w:rsidR="00961AA3" w:rsidRPr="008759D3" w:rsidRDefault="00961AA3" w:rsidP="00961AA3">
      <w:pPr>
        <w:pStyle w:val="ListParagraph"/>
        <w:numPr>
          <w:ilvl w:val="0"/>
          <w:numId w:val="9"/>
        </w:numPr>
        <w:spacing w:after="0"/>
        <w:jc w:val="both"/>
      </w:pPr>
      <w:r w:rsidRPr="008759D3">
        <w:t>previous GI bleed or ulcer disease</w:t>
      </w:r>
    </w:p>
    <w:p w14:paraId="1F734F9B" w14:textId="77777777" w:rsidR="00961AA3" w:rsidRPr="008759D3" w:rsidRDefault="00961AA3" w:rsidP="00961AA3">
      <w:pPr>
        <w:pStyle w:val="ListParagraph"/>
        <w:numPr>
          <w:ilvl w:val="0"/>
          <w:numId w:val="9"/>
        </w:numPr>
        <w:spacing w:after="0"/>
        <w:jc w:val="both"/>
      </w:pPr>
      <w:r w:rsidRPr="008759D3">
        <w:t>liver cirrhosis (VKA) or kidney failure (DOAC)</w:t>
      </w:r>
    </w:p>
    <w:p w14:paraId="25C1A31C" w14:textId="77777777" w:rsidR="00961AA3" w:rsidRPr="008759D3" w:rsidRDefault="00961AA3" w:rsidP="00961AA3">
      <w:pPr>
        <w:pStyle w:val="ListParagraph"/>
        <w:numPr>
          <w:ilvl w:val="0"/>
          <w:numId w:val="9"/>
        </w:numPr>
        <w:spacing w:after="0"/>
        <w:jc w:val="both"/>
      </w:pPr>
      <w:r w:rsidRPr="008759D3">
        <w:t>diverticulosis of the colon (VKA)</w:t>
      </w:r>
    </w:p>
    <w:p w14:paraId="109B2CAF" w14:textId="77777777" w:rsidR="00961AA3" w:rsidRPr="008759D3" w:rsidRDefault="00961AA3" w:rsidP="00961AA3">
      <w:pPr>
        <w:pStyle w:val="ListParagraph"/>
        <w:numPr>
          <w:ilvl w:val="0"/>
          <w:numId w:val="9"/>
        </w:numPr>
        <w:spacing w:after="0"/>
        <w:jc w:val="both"/>
      </w:pPr>
      <w:r w:rsidRPr="008759D3">
        <w:t>concomitant use of lipid-lowering agents (VKA)</w:t>
      </w:r>
    </w:p>
    <w:p w14:paraId="2C0E024D" w14:textId="77777777" w:rsidR="00961AA3" w:rsidRPr="008759D3" w:rsidRDefault="00961AA3" w:rsidP="00961AA3">
      <w:pPr>
        <w:pStyle w:val="ListParagraph"/>
        <w:numPr>
          <w:ilvl w:val="0"/>
          <w:numId w:val="9"/>
        </w:numPr>
        <w:spacing w:after="0"/>
        <w:jc w:val="both"/>
      </w:pPr>
      <w:r w:rsidRPr="008759D3">
        <w:t>concomitant use of NSAIDs, acetylsalicylic acid (ASA), or COX-2</w:t>
      </w:r>
    </w:p>
    <w:p w14:paraId="307B1DD0" w14:textId="77777777" w:rsidR="00961AA3" w:rsidRPr="008759D3" w:rsidRDefault="00961AA3" w:rsidP="00961AA3">
      <w:pPr>
        <w:pStyle w:val="ListParagraph"/>
        <w:numPr>
          <w:ilvl w:val="0"/>
          <w:numId w:val="9"/>
        </w:numPr>
        <w:spacing w:after="0"/>
        <w:jc w:val="both"/>
      </w:pPr>
      <w:r w:rsidRPr="008759D3">
        <w:t>concomitant use of an antiplatelet</w:t>
      </w:r>
    </w:p>
    <w:p w14:paraId="7E33863B" w14:textId="77777777" w:rsidR="00961AA3" w:rsidRPr="008759D3" w:rsidRDefault="00961AA3" w:rsidP="00961AA3">
      <w:pPr>
        <w:pStyle w:val="ListParagraph"/>
        <w:spacing w:after="0"/>
        <w:jc w:val="both"/>
      </w:pPr>
    </w:p>
    <w:p w14:paraId="19B18530" w14:textId="77777777" w:rsidR="00961AA3" w:rsidRDefault="00961AA3" w:rsidP="00961AA3">
      <w:r>
        <w:br w:type="page"/>
      </w:r>
    </w:p>
    <w:p w14:paraId="4A4F50BD" w14:textId="77777777" w:rsidR="00961AA3" w:rsidRPr="008759D3" w:rsidRDefault="00961AA3" w:rsidP="00961AA3">
      <w:pPr>
        <w:jc w:val="both"/>
      </w:pPr>
      <w:proofErr w:type="gramStart"/>
      <w:r w:rsidRPr="008759D3">
        <w:lastRenderedPageBreak/>
        <w:t>General  factors</w:t>
      </w:r>
      <w:proofErr w:type="gramEnd"/>
      <w:r w:rsidRPr="008759D3">
        <w:t xml:space="preserve"> for GI bleed:</w:t>
      </w:r>
    </w:p>
    <w:tbl>
      <w:tblPr>
        <w:tblStyle w:val="TableGrid"/>
        <w:tblW w:w="0" w:type="auto"/>
        <w:tblLook w:val="04A0" w:firstRow="1" w:lastRow="0" w:firstColumn="1" w:lastColumn="0" w:noHBand="0" w:noVBand="1"/>
      </w:tblPr>
      <w:tblGrid>
        <w:gridCol w:w="4531"/>
        <w:gridCol w:w="4531"/>
      </w:tblGrid>
      <w:tr w:rsidR="00961AA3" w:rsidRPr="008759D3" w14:paraId="306E41C3" w14:textId="77777777" w:rsidTr="00DA37A8">
        <w:tc>
          <w:tcPr>
            <w:tcW w:w="4531" w:type="dxa"/>
          </w:tcPr>
          <w:p w14:paraId="5FD93561" w14:textId="77777777" w:rsidR="00961AA3" w:rsidRPr="008759D3" w:rsidRDefault="00961AA3" w:rsidP="00DA37A8">
            <w:pPr>
              <w:jc w:val="both"/>
              <w:rPr>
                <w:b/>
                <w:bCs/>
              </w:rPr>
            </w:pPr>
            <w:r w:rsidRPr="008759D3">
              <w:rPr>
                <w:b/>
                <w:bCs/>
              </w:rPr>
              <w:t>high risk factors for GI bleed (one or more)</w:t>
            </w:r>
          </w:p>
        </w:tc>
        <w:tc>
          <w:tcPr>
            <w:tcW w:w="4531" w:type="dxa"/>
          </w:tcPr>
          <w:p w14:paraId="2AE1B876" w14:textId="77777777" w:rsidR="00961AA3" w:rsidRPr="008759D3" w:rsidRDefault="00961AA3" w:rsidP="00DA37A8">
            <w:pPr>
              <w:jc w:val="both"/>
              <w:rPr>
                <w:b/>
                <w:bCs/>
              </w:rPr>
            </w:pPr>
            <w:r w:rsidRPr="008759D3">
              <w:rPr>
                <w:b/>
                <w:bCs/>
              </w:rPr>
              <w:t>moderate risk factors for GI bleed (two or more)</w:t>
            </w:r>
          </w:p>
        </w:tc>
      </w:tr>
      <w:tr w:rsidR="00961AA3" w:rsidRPr="008759D3" w14:paraId="62F42364" w14:textId="77777777" w:rsidTr="00DA37A8">
        <w:tc>
          <w:tcPr>
            <w:tcW w:w="4531" w:type="dxa"/>
          </w:tcPr>
          <w:p w14:paraId="10DDA6D7" w14:textId="77777777" w:rsidR="00961AA3" w:rsidRPr="008759D3" w:rsidRDefault="00961AA3" w:rsidP="00DA37A8">
            <w:pPr>
              <w:jc w:val="both"/>
            </w:pPr>
            <w:r w:rsidRPr="008759D3">
              <w:t>history of GI ulcer or ulcer complication</w:t>
            </w:r>
          </w:p>
        </w:tc>
        <w:tc>
          <w:tcPr>
            <w:tcW w:w="4531" w:type="dxa"/>
          </w:tcPr>
          <w:p w14:paraId="22564725" w14:textId="77777777" w:rsidR="00961AA3" w:rsidRPr="008759D3" w:rsidRDefault="00961AA3" w:rsidP="00DA37A8">
            <w:pPr>
              <w:jc w:val="both"/>
            </w:pPr>
            <w:r w:rsidRPr="008759D3">
              <w:t>dyspepsia or GERD symptoms</w:t>
            </w:r>
          </w:p>
        </w:tc>
      </w:tr>
      <w:tr w:rsidR="00961AA3" w:rsidRPr="008759D3" w14:paraId="7EBC8A21" w14:textId="77777777" w:rsidTr="00DA37A8">
        <w:tc>
          <w:tcPr>
            <w:tcW w:w="4531" w:type="dxa"/>
          </w:tcPr>
          <w:p w14:paraId="4AFEA212" w14:textId="77777777" w:rsidR="00961AA3" w:rsidRPr="008759D3" w:rsidRDefault="00961AA3" w:rsidP="00DA37A8">
            <w:pPr>
              <w:jc w:val="both"/>
            </w:pPr>
            <w:r w:rsidRPr="008759D3">
              <w:t>previous upper gastrointestinal or lower gastrointestinal bleeding</w:t>
            </w:r>
          </w:p>
        </w:tc>
        <w:tc>
          <w:tcPr>
            <w:tcW w:w="4531" w:type="dxa"/>
          </w:tcPr>
          <w:p w14:paraId="259C7837" w14:textId="77777777" w:rsidR="00961AA3" w:rsidRPr="008759D3" w:rsidRDefault="00961AA3" w:rsidP="00DA37A8">
            <w:pPr>
              <w:jc w:val="both"/>
            </w:pPr>
            <w:r w:rsidRPr="008759D3">
              <w:t>concomitant use of medicines known to increase risk of GI bleeds (oral corticosteroids)</w:t>
            </w:r>
          </w:p>
        </w:tc>
      </w:tr>
      <w:tr w:rsidR="00961AA3" w:rsidRPr="008759D3" w14:paraId="00600496" w14:textId="77777777" w:rsidTr="00DA37A8">
        <w:tc>
          <w:tcPr>
            <w:tcW w:w="4531" w:type="dxa"/>
          </w:tcPr>
          <w:p w14:paraId="220BFE04" w14:textId="77777777" w:rsidR="00961AA3" w:rsidRPr="008759D3" w:rsidRDefault="00961AA3" w:rsidP="00DA37A8">
            <w:pPr>
              <w:jc w:val="both"/>
            </w:pPr>
            <w:r w:rsidRPr="008759D3">
              <w:t>dual antiplatelet therapy</w:t>
            </w:r>
          </w:p>
        </w:tc>
        <w:tc>
          <w:tcPr>
            <w:tcW w:w="4531" w:type="dxa"/>
          </w:tcPr>
          <w:p w14:paraId="411C93D4" w14:textId="77777777" w:rsidR="00961AA3" w:rsidRPr="008759D3" w:rsidRDefault="00961AA3" w:rsidP="00DA37A8">
            <w:pPr>
              <w:jc w:val="both"/>
            </w:pPr>
            <w:r w:rsidRPr="008759D3">
              <w:t>heavy smoking (more than 10 cigarettes a day)</w:t>
            </w:r>
          </w:p>
        </w:tc>
      </w:tr>
      <w:tr w:rsidR="00961AA3" w:rsidRPr="008759D3" w14:paraId="1597EEF1" w14:textId="77777777" w:rsidTr="00DA37A8">
        <w:tc>
          <w:tcPr>
            <w:tcW w:w="4531" w:type="dxa"/>
          </w:tcPr>
          <w:p w14:paraId="7E9C966D" w14:textId="77777777" w:rsidR="00961AA3" w:rsidRPr="008759D3" w:rsidRDefault="00961AA3" w:rsidP="00DA37A8">
            <w:pPr>
              <w:jc w:val="both"/>
            </w:pPr>
            <w:r w:rsidRPr="008759D3">
              <w:t>concomitant use of anticoagulant/antiplatelet with:</w:t>
            </w:r>
          </w:p>
          <w:p w14:paraId="5843CCAF" w14:textId="77777777" w:rsidR="00961AA3" w:rsidRPr="008759D3" w:rsidRDefault="00961AA3" w:rsidP="00DA37A8">
            <w:pPr>
              <w:pStyle w:val="ListParagraph"/>
              <w:numPr>
                <w:ilvl w:val="0"/>
                <w:numId w:val="7"/>
              </w:numPr>
              <w:jc w:val="both"/>
            </w:pPr>
            <w:r w:rsidRPr="008759D3">
              <w:t>orally administered corticosteroids</w:t>
            </w:r>
          </w:p>
          <w:p w14:paraId="3C102BD1" w14:textId="77777777" w:rsidR="00961AA3" w:rsidRPr="008759D3" w:rsidRDefault="00961AA3" w:rsidP="00DA37A8">
            <w:pPr>
              <w:pStyle w:val="ListParagraph"/>
              <w:numPr>
                <w:ilvl w:val="0"/>
                <w:numId w:val="7"/>
              </w:numPr>
              <w:jc w:val="both"/>
            </w:pPr>
            <w:r w:rsidRPr="008759D3">
              <w:t xml:space="preserve">with ASA or other </w:t>
            </w:r>
            <w:proofErr w:type="spellStart"/>
            <w:r w:rsidRPr="008759D3">
              <w:t>antiplatelets</w:t>
            </w:r>
            <w:proofErr w:type="spellEnd"/>
            <w:r w:rsidRPr="008759D3">
              <w:t xml:space="preserve"> (including low dose ASA)</w:t>
            </w:r>
          </w:p>
          <w:p w14:paraId="536DCD63" w14:textId="77777777" w:rsidR="00961AA3" w:rsidRPr="008759D3" w:rsidRDefault="00961AA3" w:rsidP="00DA37A8">
            <w:pPr>
              <w:pStyle w:val="ListParagraph"/>
              <w:numPr>
                <w:ilvl w:val="0"/>
                <w:numId w:val="7"/>
              </w:numPr>
              <w:jc w:val="both"/>
            </w:pPr>
            <w:r w:rsidRPr="008759D3">
              <w:t>with high dose of NSAID or multiple NSAID therapy (i.e. &gt;2400mg/ibuprofen)</w:t>
            </w:r>
          </w:p>
        </w:tc>
        <w:tc>
          <w:tcPr>
            <w:tcW w:w="4531" w:type="dxa"/>
          </w:tcPr>
          <w:p w14:paraId="366D2E59" w14:textId="77777777" w:rsidR="00961AA3" w:rsidRPr="008759D3" w:rsidRDefault="00961AA3" w:rsidP="00DA37A8">
            <w:pPr>
              <w:jc w:val="both"/>
            </w:pPr>
            <w:r w:rsidRPr="008759D3">
              <w:t>excess alcohol consumption (more than 8 drinks per week for women, more than 15 drinks per week for men)</w:t>
            </w:r>
          </w:p>
        </w:tc>
      </w:tr>
      <w:tr w:rsidR="00961AA3" w:rsidRPr="008759D3" w14:paraId="361BC22F" w14:textId="77777777" w:rsidTr="00DA37A8">
        <w:tc>
          <w:tcPr>
            <w:tcW w:w="4531" w:type="dxa"/>
          </w:tcPr>
          <w:p w14:paraId="00B64887" w14:textId="77777777" w:rsidR="00961AA3" w:rsidRPr="008759D3" w:rsidRDefault="00961AA3" w:rsidP="00DA37A8">
            <w:pPr>
              <w:jc w:val="both"/>
            </w:pPr>
            <w:r w:rsidRPr="008759D3">
              <w:t>patients &gt;70 years of age receiving antiplatelet treatment (including low dose ASA)</w:t>
            </w:r>
          </w:p>
        </w:tc>
        <w:tc>
          <w:tcPr>
            <w:tcW w:w="4531" w:type="dxa"/>
          </w:tcPr>
          <w:p w14:paraId="6C0926A0" w14:textId="77777777" w:rsidR="00961AA3" w:rsidRPr="008759D3" w:rsidRDefault="00961AA3" w:rsidP="00DA37A8">
            <w:pPr>
              <w:jc w:val="both"/>
            </w:pPr>
            <w:r w:rsidRPr="008759D3">
              <w:t>patients &gt;65 years</w:t>
            </w:r>
          </w:p>
        </w:tc>
      </w:tr>
    </w:tbl>
    <w:p w14:paraId="61F56668" w14:textId="77777777" w:rsidR="00961AA3" w:rsidRPr="008759D3" w:rsidRDefault="00961AA3" w:rsidP="00961AA3">
      <w:pPr>
        <w:jc w:val="both"/>
      </w:pPr>
    </w:p>
    <w:p w14:paraId="1E667BC0" w14:textId="77777777" w:rsidR="00961AA3" w:rsidRPr="008759D3" w:rsidRDefault="00961AA3" w:rsidP="00961AA3">
      <w:pPr>
        <w:pStyle w:val="ListParagraph"/>
        <w:numPr>
          <w:ilvl w:val="0"/>
          <w:numId w:val="1"/>
        </w:numPr>
        <w:jc w:val="both"/>
      </w:pPr>
      <w:r w:rsidRPr="008759D3">
        <w:rPr>
          <w:b/>
          <w:bCs/>
        </w:rPr>
        <w:t>Lack of indication for use PPI</w:t>
      </w:r>
      <w:r w:rsidRPr="008759D3">
        <w:t xml:space="preserve"> </w:t>
      </w:r>
      <w:r w:rsidRPr="008759D3">
        <w:rPr>
          <w:b/>
          <w:bCs/>
        </w:rPr>
        <w:t xml:space="preserve">and patient does not report any symptoms </w:t>
      </w:r>
      <w:r w:rsidRPr="008759D3">
        <w:t xml:space="preserve">(such as </w:t>
      </w:r>
      <w:proofErr w:type="spellStart"/>
      <w:r w:rsidRPr="008759D3">
        <w:t>eGERD</w:t>
      </w:r>
      <w:proofErr w:type="spellEnd"/>
      <w:r w:rsidRPr="008759D3">
        <w:t xml:space="preserve">, </w:t>
      </w:r>
      <w:proofErr w:type="spellStart"/>
      <w:r w:rsidRPr="008759D3">
        <w:t>h.pylori</w:t>
      </w:r>
      <w:proofErr w:type="spellEnd"/>
      <w:r w:rsidRPr="008759D3">
        <w:t xml:space="preserve"> eradication, ulcer disease, </w:t>
      </w:r>
      <w:proofErr w:type="spellStart"/>
      <w:r w:rsidRPr="008759D3">
        <w:t>Zollinger</w:t>
      </w:r>
      <w:proofErr w:type="spellEnd"/>
      <w:r w:rsidRPr="008759D3">
        <w:t xml:space="preserve">-Ellison syndrome or other </w:t>
      </w:r>
      <w:proofErr w:type="spellStart"/>
      <w:r w:rsidRPr="008759D3">
        <w:t>hypersecretory</w:t>
      </w:r>
      <w:proofErr w:type="spellEnd"/>
      <w:r w:rsidRPr="008759D3">
        <w:t xml:space="preserve"> conditions, short-term treatment of acid reflux conditions or gastritis)</w:t>
      </w:r>
    </w:p>
    <w:p w14:paraId="5CA631AA" w14:textId="77777777" w:rsidR="00961AA3" w:rsidRPr="008759D3" w:rsidRDefault="00961AA3" w:rsidP="00961AA3">
      <w:pPr>
        <w:pStyle w:val="ListParagraph"/>
        <w:numPr>
          <w:ilvl w:val="0"/>
          <w:numId w:val="1"/>
        </w:numPr>
        <w:jc w:val="both"/>
      </w:pPr>
      <w:r w:rsidRPr="008759D3">
        <w:rPr>
          <w:b/>
          <w:bCs/>
        </w:rPr>
        <w:t>Inappropriately long use and patient does not report any symptoms</w:t>
      </w:r>
      <w:r w:rsidRPr="008759D3">
        <w:t xml:space="preserve"> (indication for use is present, but the length of use is inappropriate: for reflux oesophagitis longer than 8 weeks, for symptomatic GERD longer than 4 weeks, for </w:t>
      </w:r>
      <w:proofErr w:type="spellStart"/>
      <w:r w:rsidRPr="008759D3">
        <w:t>h.pylori</w:t>
      </w:r>
      <w:proofErr w:type="spellEnd"/>
      <w:r w:rsidRPr="008759D3">
        <w:t xml:space="preserve"> ulcer disease for longer than 12 weeks, for peptic ulcer treatment longer than 8 weeks) without appropriate indication for long-term use (Barret’s oesophagus, chronic NSAID use with increased bleeding risk, sever oesophagitis, or bleeding GI ulcer)</w:t>
      </w:r>
    </w:p>
    <w:p w14:paraId="6ECC3A72" w14:textId="77777777" w:rsidR="00961AA3" w:rsidRPr="008759D3" w:rsidRDefault="00961AA3" w:rsidP="00961AA3">
      <w:pPr>
        <w:pStyle w:val="ListParagraph"/>
        <w:numPr>
          <w:ilvl w:val="0"/>
          <w:numId w:val="1"/>
        </w:numPr>
        <w:jc w:val="both"/>
      </w:pPr>
      <w:r w:rsidRPr="008759D3">
        <w:rPr>
          <w:b/>
          <w:bCs/>
        </w:rPr>
        <w:t>GI protection indicated</w:t>
      </w:r>
      <w:r w:rsidRPr="008759D3">
        <w:fldChar w:fldCharType="begin" w:fldLock="1"/>
      </w:r>
      <w:r w:rsidRPr="008759D3">
        <w:instrText>ADDIN CSL_CITATION {"citationItems":[{"id":"ITEM-1","itemData":{"DOI":"10.14309/AJG.0000000000001538","ISSN":"15720241","PMID":"34807007","abstract":"Gastroesophageal reflux disease (GERD) continues to be among the most common diseases seen by gastroenterologists, surgeons, and primary care physicians. Our understanding of the varied presentations of GERD, enhancements in diagnostic testing, and approach to patient management have evolved. During this time, scrutiny of proton pump inhibitors (PPIs) has increased considerably. Although PPIs remain the medical treatment of choice for GERD, multiple publications have raised questions about adverse events, raising doubts about the safety of long-term use and increasing concern about overprescribing of PPIs. New data regarding the potential for surgical and endoscopic interventions have emerged. In this new document, we provide updated, evidence-based recommendations and practical guidance for the evaluation and management of GERD, including pharmacologic, lifestyle, surgical, and endoscopic management. The Grading of Recommendations, Assessment, Development, and Evaluation system was used to evaluate the evidence and the strength of recommendations. Key concepts and suggestions that as of this writing do not have sufficient evidence to grade are also provided.","author":[{"dropping-particle":"","family":"Katz","given":"Philip O.","non-dropping-particle":"","parse-names":false,"suffix":""},{"dropping-particle":"","family":"Dunbar","given":"Kerry B.","non-dropping-particle":"","parse-names":false,"suffix":""},{"dropping-particle":"","family":"Schnoll-Sussman","given":"Felice H.","non-dropping-particle":"","parse-names":false,"suffix":""},{"dropping-particle":"","family":"Greer","given":"Katarina B.","non-dropping-particle":"","parse-names":false,"suffix":""},{"dropping-particle":"","family":"Yadlapati","given":"Rena","non-dropping-particle":"","parse-names":false,"suffix":""},{"dropping-particle":"","family":"Spechler","given":"Stuart Jon","non-dropping-particle":"","parse-names":false,"suffix":""}],"container-title":"American Journal of Gastroenterology","id":"ITEM-1","issue":"1","issued":{"date-parts":[["2022","1","1"]]},"page":"27-56","publisher":"Wolters Kluwer Health","title":"ACG Clinical Guideline for the Diagnosis and Management of Gastroesophageal Reflux Disease","type":"article-journal","volume":"117"},"uris":["http://www.mendeley.com/documents/?uuid=855202a9-a96e-3a43-8bb5-c9255ec426ba"]}],"mendeley":{"formattedCitation":"&lt;sup&gt;3&lt;/sup&gt;","plainTextFormattedCitation":"3","previouslyFormattedCitation":"&lt;sup&gt;3&lt;/sup&gt;"},"properties":{"noteIndex":0},"schema":"https://github.com/citation-style-language/schema/raw/master/csl-citation.json"}</w:instrText>
      </w:r>
      <w:r w:rsidRPr="008759D3">
        <w:fldChar w:fldCharType="separate"/>
      </w:r>
      <w:r w:rsidRPr="008759D3">
        <w:rPr>
          <w:noProof/>
          <w:vertAlign w:val="superscript"/>
        </w:rPr>
        <w:t>3</w:t>
      </w:r>
      <w:r w:rsidRPr="008759D3">
        <w:fldChar w:fldCharType="end"/>
      </w:r>
      <w:r w:rsidRPr="008759D3">
        <w:t xml:space="preserve">, </w:t>
      </w:r>
      <w:r w:rsidRPr="008759D3">
        <w:rPr>
          <w:b/>
          <w:bCs/>
        </w:rPr>
        <w:t>but patient presented without clear need for such treatment</w:t>
      </w:r>
      <w:r w:rsidRPr="008759D3">
        <w:t xml:space="preserve">/ </w:t>
      </w:r>
      <w:r w:rsidRPr="008759D3">
        <w:rPr>
          <w:b/>
          <w:bCs/>
        </w:rPr>
        <w:t>patient has low risk</w:t>
      </w:r>
      <w:r w:rsidRPr="008759D3">
        <w:fldChar w:fldCharType="begin" w:fldLock="1"/>
      </w:r>
      <w:r w:rsidRPr="008759D3">
        <w:instrText>ADDIN CSL_CITATION {"citationItems":[{"id":"ITEM-1","itemData":{"DOI":"10.1007/S11938-020-00316-9","ISSN":"1092-8472","PMID":"33199955","abstract":"Purpose of review Peptic ulcer disease (PUD) is a recognized complication of non-steroidal anti-inflammatory drugs (NSAIDs). Stress ulcers are a concern for intensive care unit (ICU) patients; PUD is also an issue for patients taking anticoagulation. Helicobacter pylori test and treat is an option for patients starting NSAID therapy, and proton pump inhibitors (PPIs) may reduce PUD in NSAID patients and other high-risk groups. Recent findings There are a large number of trials that demonstrate that Helicobacter pylori eradication reduces PUD in NSAID patients. PPI is also effective at reducing PUD in this group and is also effective in ICU patients and those on anticoagulants. The effect is too modest for PPI to be recommended in everyone, and more research is needed as to which groups would benefit the most. Increasing age, past history of PUD, and comorbidity are the most important risk factors. Summary H. pylori test and treat should be offered to older patients starting NSAIDS, while PPIs should be prescribed to patients that are at high risk of developing PUD and at risk of dying from PUD complications.","author":[{"dropping-particle":"","family":"Kanno","given":"Takeshi","non-dropping-particle":"","parse-names":false,"suffix":""},{"dropping-particle":"","family":"Moayyedi","given":"Paul","non-dropping-particle":"","parse-names":false,"suffix":""}],"container-title":"Current Treatment Options in Gastroenterology","id":"ITEM-1","issue":"4","issued":{"date-parts":[["2020","12"]]},"page":"557","publisher":"Nature Publishing Group","title":"Who Needs Gastroprotection in 2020?","type":"article-journal","volume":"18"},"uris":["http://www.mendeley.com/documents/?uuid=69fae113-86cc-3db2-9aa6-e57c54c63c0e"]},{"id":"ITEM-2","itemData":{"DOI":"10.1016/J.EJIM.2020.11.014","PMID":"33279389","abstract":"Aspirin and P2Y12 receptor antagonists are widely used across the spectrum of cardiovascular and cerebrovascular diseases. Gastrointestinal complications, including ulcer and bleeding, are relatively common during antiplatelet treatment and, therefore, concomitant proton pump inhibitor (PPI) treatment is often prescribed. However, potential increased risk of cardiovascular events has been suggested for PPIs, and, in recent years, it has been discussed whether these drugs may reduce the cardiovascular protection by aspirin and, even more so, clopidogrel. Indeed, pharmacodynamic and pharmacokinetic studies suggested an interaction through hepatic CYP2C19 between PPIs and clopidogrel, which could translate into clinical inefficacy, leading to higher rates of cardiovascular events. The FDA and the EMA sent a warning in 2010 discouraging the concomitant use of clopidogrel with omeprazole or esomeprazole. In addition, whether the use of PPIs may affect the clinical efficacy of the new P2Y12 receptor antagonists, ticagrelor and prasugrel, remains less known. According to current guidelines, PPIs in combination with antiplatelet treatment are recommended in patients with risk factors for gastrointestinal bleeding, including advanced age, concurrent use of anticoagulants, steroids or non-steroidal anti-inflammatory drugs, and Helicobacter pylori infection. Like vitamin K antagonists (VKAs), DOACs can determine gastrointestinal bleeding. Results from both randomized clinical trials and observational studies suggest that high-dose dabigatran (150 mg bid), rivaroxaban and high-dose edoxaban (60 mg daily) are associated with a higher risk of GI bleeding as compared with apixaban and warfarin. In patients taking oral anticoagulant with GI risk factor, PPI could be recommended, even if usefulness of PPIs in these patients deserves further data. Helicobacter pylori should always be searched, and treated, in patients with history of peptic ulcer disease (with or without complication). Given the large number of patients treated with antithrombotic drugs and PPIs, even a minor reduction of platelet inhibition or anticoagulant effect potentially carries a considerable clinical impact. The present joint statement by ANMCO and AIGO summarizes the current knowledge regarding the widespread use of platelet inhibitors, anticoagulants, and PPIs in combination. Moreover, it outlines evidence supporting or opposing drug interactions between these drugs and discusses consequent cli…","author":[{"dropping-particle":"","family":"Abrignani","given":"Maurizio Giuseppe","non-dropping-particle":"","parse-names":false,"suffix":""},{"dropping-particle":"","family":"Gatta","given":"Luigi","non-dropping-particle":"","parse-names":false,"suffix":""},{"dropping-particle":"","family":"Gabrielli","given":"Domenico","non-dropping-particle":"","parse-names":false,"suffix":""},{"dropping-particle":"","family":"Milazzo","given":"Giuseppe","non-dropping-particle":"","parse-names":false,"suffix":""},{"dropping-particle":"","family":"Francesco","given":"Vincenzo","non-dropping-particle":"De","parse-names":false,"suffix":""},{"dropping-particle":"","family":"Luca","given":"Leonardo","non-dropping-particle":"De","parse-names":false,"suffix":""},{"dropping-particle":"","family":"Francese","given":"Maura","non-dropping-particle":"","parse-names":false,"suffix":""},{"dropping-particle":"","family":"Imazio","given":"Massimo","non-dropping-particle":"","parse-names":false,"suffix":""},{"dropping-particle":"","family":"Riccio","given":"Elisabetta","non-dropping-particle":"","parse-names":false,"suffix":""},{"dropping-particle":"","family":"Rossini","given":"Roberta","non-dropping-particle":"","parse-names":false,"suffix":""},{"dropping-particle":"","family":"Scotto di Uccio","given":"Fortunato","non-dropping-particle":"","parse-names":false,"suffix":""},{"dropping-particle":"","family":"Soncini","given":"Marco","non-dropping-particle":"","parse-names":false,"suffix":""},{"dropping-particle":"","family":"Zullo","given":"Angelo","non-dropping-particle":"","parse-names":false,"suffix":""},{"dropping-particle":"","family":"Colivicchi","given":"Furio","non-dropping-particle":"","parse-names":false,"suffix":""},{"dropping-particle":"","family":"Lenarda","given":"Andrea","non-dropping-particle":"Di","parse-names":false,"suffix":""},{"dropping-particle":"","family":"Gulizia","given":"Michele Massimo","non-dropping-particle":"","parse-names":false,"suffix":""},{"dropping-particle":"","family":"Monica","given":"Fabio","non-dropping-particle":"","parse-names":false,"suffix":""}],"id":"ITEM-2","issued":{"date-parts":[["2021","3","1"]]},"page":"1-13","title":"Gastroprotection in patients on antiplatelet and/or anticoagulant therapy: a position paper of National Association of Hospital Cardiologists (ANMCO) and the Italian Association of Hospital Gastroenterologists and Endoscopists (AIGO)","type":"article-journal","volume":"85"},"uris":["http://www.mendeley.com/documents/?uuid=8c4891eb-5c0e-46e2-827e-c76714ede2b6"]}],"mendeley":{"formattedCitation":"&lt;sup&gt;4,5&lt;/sup&gt;","plainTextFormattedCitation":"4,5","previouslyFormattedCitation":"&lt;sup&gt;4,5&lt;/sup&gt;"},"properties":{"noteIndex":0},"schema":"https://github.com/citation-style-language/schema/raw/master/csl-citation.json"}</w:instrText>
      </w:r>
      <w:r w:rsidRPr="008759D3">
        <w:fldChar w:fldCharType="separate"/>
      </w:r>
      <w:r w:rsidRPr="008759D3">
        <w:rPr>
          <w:noProof/>
          <w:vertAlign w:val="superscript"/>
        </w:rPr>
        <w:t>4,5</w:t>
      </w:r>
      <w:r w:rsidRPr="008759D3">
        <w:fldChar w:fldCharType="end"/>
      </w:r>
      <w:r w:rsidRPr="008759D3">
        <w:t xml:space="preserve">.     </w:t>
      </w:r>
    </w:p>
    <w:p w14:paraId="2BEB12A3" w14:textId="77777777" w:rsidR="00961AA3" w:rsidRPr="008759D3" w:rsidRDefault="00961AA3" w:rsidP="00961AA3">
      <w:pPr>
        <w:pStyle w:val="ListParagraph"/>
        <w:numPr>
          <w:ilvl w:val="1"/>
          <w:numId w:val="1"/>
        </w:numPr>
        <w:jc w:val="both"/>
      </w:pPr>
      <w:r w:rsidRPr="008759D3">
        <w:t xml:space="preserve">In case of chronic non-COX-selective NSAID use, PPI </w:t>
      </w:r>
      <w:proofErr w:type="spellStart"/>
      <w:r w:rsidRPr="008759D3">
        <w:t>gastroprotection</w:t>
      </w:r>
      <w:proofErr w:type="spellEnd"/>
      <w:r w:rsidRPr="008759D3">
        <w:t xml:space="preserve"> is indicated for patients with moderate (2 risk factors) or high risk of GI bleeding (history of GI ulcer, or 3 and more risk factors). </w:t>
      </w:r>
    </w:p>
    <w:p w14:paraId="7436CE5B" w14:textId="77777777" w:rsidR="00961AA3" w:rsidRPr="008759D3" w:rsidRDefault="00961AA3" w:rsidP="00961AA3">
      <w:pPr>
        <w:pStyle w:val="ListParagraph"/>
        <w:numPr>
          <w:ilvl w:val="1"/>
          <w:numId w:val="1"/>
        </w:numPr>
        <w:jc w:val="both"/>
      </w:pPr>
      <w:r w:rsidRPr="008759D3">
        <w:t xml:space="preserve">In case of chronic selective COX-2 inhibitor use, PPI </w:t>
      </w:r>
      <w:proofErr w:type="spellStart"/>
      <w:r w:rsidRPr="008759D3">
        <w:t>gastroprotection</w:t>
      </w:r>
      <w:proofErr w:type="spellEnd"/>
      <w:r w:rsidRPr="008759D3">
        <w:t xml:space="preserve"> is indicated in high risk patients  </w:t>
      </w:r>
    </w:p>
    <w:p w14:paraId="75975C69" w14:textId="77777777" w:rsidR="00961AA3" w:rsidRPr="008759D3" w:rsidRDefault="00961AA3" w:rsidP="00961AA3">
      <w:pPr>
        <w:pStyle w:val="ListParagraph"/>
        <w:numPr>
          <w:ilvl w:val="1"/>
          <w:numId w:val="1"/>
        </w:numPr>
        <w:jc w:val="both"/>
      </w:pPr>
      <w:r w:rsidRPr="008759D3">
        <w:t xml:space="preserve">In case of anticoagulant and antiplatelet medications use, PPI </w:t>
      </w:r>
      <w:proofErr w:type="spellStart"/>
      <w:r w:rsidRPr="008759D3">
        <w:t>gastroprotection</w:t>
      </w:r>
      <w:proofErr w:type="spellEnd"/>
      <w:r w:rsidRPr="008759D3">
        <w:t xml:space="preserve"> is indicated in patients with moderate (2 risk factors) or high risk of GI bleeding (history of GI ulcer, or 3 and more risk factors) </w:t>
      </w:r>
    </w:p>
    <w:p w14:paraId="4AC122F4" w14:textId="77777777" w:rsidR="00961AA3" w:rsidRPr="008759D3" w:rsidRDefault="00961AA3" w:rsidP="00961AA3">
      <w:pPr>
        <w:pStyle w:val="ListParagraph"/>
        <w:numPr>
          <w:ilvl w:val="1"/>
          <w:numId w:val="1"/>
        </w:numPr>
        <w:jc w:val="both"/>
      </w:pPr>
      <w:r w:rsidRPr="008759D3">
        <w:t xml:space="preserve">In case of use of orally administered corticosteroids, PPI </w:t>
      </w:r>
      <w:proofErr w:type="spellStart"/>
      <w:r w:rsidRPr="008759D3">
        <w:t>gastroprotection</w:t>
      </w:r>
      <w:proofErr w:type="spellEnd"/>
      <w:r w:rsidRPr="008759D3">
        <w:t xml:space="preserve"> is recommended for patients with history of GI ulcer, and/or concomitant use of NSAIDs</w:t>
      </w:r>
    </w:p>
    <w:p w14:paraId="6E66B963" w14:textId="77777777" w:rsidR="00961AA3" w:rsidRPr="008759D3" w:rsidRDefault="00961AA3" w:rsidP="00961AA3">
      <w:pPr>
        <w:pStyle w:val="ListParagraph"/>
        <w:numPr>
          <w:ilvl w:val="0"/>
          <w:numId w:val="1"/>
        </w:numPr>
        <w:jc w:val="both"/>
      </w:pPr>
      <w:r w:rsidRPr="008759D3">
        <w:rPr>
          <w:b/>
          <w:bCs/>
        </w:rPr>
        <w:t xml:space="preserve">Prescribed </w:t>
      </w:r>
      <w:proofErr w:type="spellStart"/>
      <w:r w:rsidRPr="008759D3">
        <w:rPr>
          <w:b/>
          <w:bCs/>
        </w:rPr>
        <w:t>gastroprotective</w:t>
      </w:r>
      <w:proofErr w:type="spellEnd"/>
      <w:r w:rsidRPr="008759D3">
        <w:rPr>
          <w:b/>
          <w:bCs/>
        </w:rPr>
        <w:t xml:space="preserve"> dose of PPI is too high</w:t>
      </w:r>
      <w:r w:rsidRPr="008759D3">
        <w:t xml:space="preserve"> </w:t>
      </w:r>
    </w:p>
    <w:p w14:paraId="75E3077E" w14:textId="77777777" w:rsidR="00961AA3" w:rsidRPr="008759D3" w:rsidRDefault="00961AA3" w:rsidP="00961AA3">
      <w:pPr>
        <w:pStyle w:val="ListParagraph"/>
        <w:numPr>
          <w:ilvl w:val="1"/>
          <w:numId w:val="1"/>
        </w:numPr>
        <w:jc w:val="both"/>
      </w:pPr>
      <w:r w:rsidRPr="008759D3">
        <w:t xml:space="preserve">Recommended doses are: 10mg/day for </w:t>
      </w:r>
      <w:proofErr w:type="spellStart"/>
      <w:r w:rsidRPr="008759D3">
        <w:t>rabeprazole</w:t>
      </w:r>
      <w:proofErr w:type="spellEnd"/>
      <w:r w:rsidRPr="008759D3">
        <w:t>, 20mg/ day for esomeprazole, pantoprazole, and omeprazole, and 30mg/day for lansoprazole</w:t>
      </w:r>
    </w:p>
    <w:p w14:paraId="21A368C8" w14:textId="77777777" w:rsidR="00961AA3" w:rsidRPr="008759D3" w:rsidRDefault="00961AA3" w:rsidP="00961AA3">
      <w:pPr>
        <w:pStyle w:val="ListParagraph"/>
        <w:numPr>
          <w:ilvl w:val="0"/>
          <w:numId w:val="1"/>
        </w:numPr>
        <w:jc w:val="both"/>
        <w:rPr>
          <w:b/>
          <w:bCs/>
        </w:rPr>
      </w:pPr>
      <w:r w:rsidRPr="008759D3">
        <w:rPr>
          <w:b/>
          <w:bCs/>
        </w:rPr>
        <w:t xml:space="preserve">PPI prescribed for NSAID </w:t>
      </w:r>
      <w:proofErr w:type="spellStart"/>
      <w:r w:rsidRPr="008759D3">
        <w:rPr>
          <w:b/>
          <w:bCs/>
        </w:rPr>
        <w:t>gastroprotection</w:t>
      </w:r>
      <w:proofErr w:type="spellEnd"/>
      <w:r w:rsidRPr="008759D3">
        <w:t xml:space="preserve">, </w:t>
      </w:r>
      <w:r w:rsidRPr="008759D3">
        <w:rPr>
          <w:b/>
          <w:bCs/>
        </w:rPr>
        <w:t>but NSAID used as need</w:t>
      </w:r>
    </w:p>
    <w:p w14:paraId="14F78BD0" w14:textId="77777777" w:rsidR="00961AA3" w:rsidRPr="008759D3" w:rsidRDefault="00961AA3" w:rsidP="00961AA3">
      <w:pPr>
        <w:pStyle w:val="ListParagraph"/>
        <w:numPr>
          <w:ilvl w:val="0"/>
          <w:numId w:val="1"/>
        </w:numPr>
        <w:jc w:val="both"/>
        <w:rPr>
          <w:b/>
          <w:bCs/>
        </w:rPr>
      </w:pPr>
      <w:r w:rsidRPr="008759D3">
        <w:rPr>
          <w:b/>
          <w:bCs/>
        </w:rPr>
        <w:t>Safety concerns</w:t>
      </w:r>
    </w:p>
    <w:p w14:paraId="77BB6527" w14:textId="77777777" w:rsidR="00961AA3" w:rsidRPr="0003398A" w:rsidRDefault="00961AA3" w:rsidP="00961AA3">
      <w:pPr>
        <w:pStyle w:val="ListParagraph"/>
        <w:numPr>
          <w:ilvl w:val="1"/>
          <w:numId w:val="1"/>
        </w:numPr>
        <w:jc w:val="both"/>
        <w:rPr>
          <w:b/>
          <w:bCs/>
        </w:rPr>
      </w:pPr>
      <w:r w:rsidRPr="008759D3">
        <w:t xml:space="preserve">potential clinically significant drug-drug interactions (D or X as assessed by </w:t>
      </w:r>
      <w:proofErr w:type="spellStart"/>
      <w:r w:rsidRPr="008759D3">
        <w:t>Lexicomp</w:t>
      </w:r>
      <w:proofErr w:type="spellEnd"/>
      <w:r w:rsidRPr="008759D3">
        <w:rPr>
          <w:rFonts w:cstheme="minorHAnsi"/>
        </w:rPr>
        <w:t>®)</w:t>
      </w:r>
    </w:p>
    <w:p w14:paraId="6B248B04" w14:textId="77777777" w:rsidR="00961AA3" w:rsidRPr="008759D3" w:rsidRDefault="00961AA3" w:rsidP="00961AA3">
      <w:pPr>
        <w:pStyle w:val="ListParagraph"/>
        <w:ind w:left="1440"/>
        <w:jc w:val="both"/>
        <w:rPr>
          <w:b/>
          <w:bCs/>
        </w:rPr>
      </w:pPr>
    </w:p>
    <w:p w14:paraId="73F61069" w14:textId="77777777" w:rsidR="00961AA3" w:rsidRPr="008759D3" w:rsidRDefault="00961AA3" w:rsidP="00961AA3">
      <w:pPr>
        <w:ind w:firstLine="720"/>
        <w:jc w:val="both"/>
      </w:pPr>
    </w:p>
    <w:p w14:paraId="41E08501" w14:textId="77777777" w:rsidR="00961AA3" w:rsidRDefault="00961AA3" w:rsidP="00961AA3">
      <w:pPr>
        <w:rPr>
          <w:u w:val="single"/>
        </w:rPr>
      </w:pPr>
      <w:r>
        <w:rPr>
          <w:u w:val="single"/>
        </w:rPr>
        <w:br w:type="page"/>
      </w:r>
    </w:p>
    <w:p w14:paraId="5D5B50C0" w14:textId="77777777" w:rsidR="00961AA3" w:rsidRDefault="00961AA3" w:rsidP="00961AA3">
      <w:pPr>
        <w:jc w:val="both"/>
        <w:rPr>
          <w:u w:val="single"/>
        </w:rPr>
      </w:pPr>
      <w:r w:rsidRPr="008759D3">
        <w:rPr>
          <w:u w:val="single"/>
        </w:rPr>
        <w:lastRenderedPageBreak/>
        <w:t xml:space="preserve">Non-Steroidal Anti-Inflammatory Drugs (NSAID) </w:t>
      </w:r>
      <w:proofErr w:type="spellStart"/>
      <w:r w:rsidRPr="008759D3">
        <w:rPr>
          <w:u w:val="single"/>
        </w:rPr>
        <w:t>deprescribing</w:t>
      </w:r>
      <w:proofErr w:type="spellEnd"/>
      <w:r w:rsidRPr="008759D3">
        <w:rPr>
          <w:u w:val="single"/>
        </w:rPr>
        <w:t xml:space="preserve"> criteria</w:t>
      </w:r>
      <w:r w:rsidRPr="008759D3">
        <w:rPr>
          <w:u w:val="single"/>
        </w:rPr>
        <w:fldChar w:fldCharType="begin" w:fldLock="1"/>
      </w:r>
      <w:r>
        <w:rPr>
          <w:u w:val="single"/>
        </w:rPr>
        <w:instrText>ADDIN CSL_CITATION {"citationItems":[{"id":"ITEM-1","itemData":{"author":[{"dropping-particle":"","family":"Primary health Tasmania","given":"Australia","non-dropping-particle":"","parse-names":false,"suffix":""}],"id":"ITEM-1","issued":{"date-parts":[["2019"]]},"number-of-pages":"1-6","title":"Non- steroidal anti-inflamatory drugs recommended deprescribing strategy (NSAIDs)","type":"report"},"uris":["http://www.mendeley.com/documents/?uuid=705e7bcb-44b8-3ece-a160-c3d5dfce779f"]},{"id":"ITEM-2","itemData":{"DOI":"10.18553/JMCP.2020.26.7.918","ISSN":"2376-1032","PMID":"32584681","abstract":"BACKGROUND: Nonsteroidal anti-inflammatory drugs (NSAIDs) are commonly used to treat symptoms of chronic inflammatory diseases such as osteoarthritis and rheumatoid arthritis; however, they are also associated with various adverse effects, including gastrointestinal (GI) bleeding and renal harm. As patients get older, some medications may no longer be beneficial or may even cause harm. Deprescribing is defined as the planned and supervised process of dose reduction or discontinuation of medications. While there are studies showing that deprescribing strategies with several classes of medications positively affects outcomes in elderly patients, there is a lack of strong evidence and guidance to deprescribe NSAIDs. OBJECTIVE: To evaluate the effectiveness, safety, and economic impact of pharmacists deprescribing NSAIDs under the guidance of a standardized deprescribing program compared with usual care within an integrated health care system. METHODS: This retrospective, propensity score-matched cohort study included patients aged ≥65 years who were eligible for the NSAID deprescribing program from July 2016 to June 2018. Those patients in the deprescribing group were assessed by pharmacists and had their medications deprescribed. Patients who were eligible for the deprescribing program but did not receive any interventions were matched to the deprescribed group using propensity score matching at a 4:1 ratio and became the usual care group. Patients were followed for 6 months, until end of membership, or until death, whichever occurred first. The effectiveness and safety outcomes included rates of 3 adverse events: GI bleeds, acute kidney injuries (AKI), and exacerbation of pain triggering a hospitalization or emergency room visit. The economic outcome was the change in monthly NSAID cost. Descriptive statistics, t-tests, chi-square tests, and conditional logistic regression models were used for analysis. RESULTS: There were 431 patients in the deprescribed group and 1,724 patients in the usual care group, with similar baseline characteristics after propensity score matching. The adjusted results showed no significant difference between the deprescribed and usual care groups for GI bleed events (OR=0.65, 95% CI=0.36-1.16, P=0.15) and AKI (OR=0.53, 95% CI=0.24-1.16, P=0.11). The deprescribed group experienced a significant 2-fold decrease in the odds of exacerbation of pain versus the deprescribed group (OR=0.50, 95% CI=0.33-0.77, P&lt;0.01). Finally, there wa…","author":[{"dropping-particle":"","family":"Rashid","given":"Rezoana","non-dropping-particle":"","parse-names":false,"suffix":""},{"dropping-particle":"","family":"Chang","given":"Christopher","non-dropping-particle":"","parse-names":false,"suffix":""},{"dropping-particle":"","family":"Niu","given":"Fang","non-dropping-particle":"","parse-names":false,"suffix":""},{"dropping-particle":"","family":"Deguzman","given":"Lynn","non-dropping-particle":"","parse-names":false,"suffix":""},{"dropping-particle":"","family":"Draves","given":"Maisha","non-dropping-particle":"","parse-names":false,"suffix":""},{"dropping-particle":"","family":"Awsare","given":"Sameer","non-dropping-particle":"","parse-names":false,"suffix":""},{"dropping-particle":"","family":"Hui","given":"Rita","non-dropping-particle":"","parse-names":false,"suffix":""}],"container-title":"Journal of managed care &amp; specialty pharmacy","id":"ITEM-2","issue":"7","issued":{"date-parts":[["2020","7","1"]]},"page":"918-924","publisher":"J Manag Care Spec Pharm","title":"Evaluation of a Pharmacist-Managed Nonsteroidal Anti-Inflammatory Drugs Deprescribing Program in an Integrated Health Care System","type":"article-journal","volume":"26"},"uris":["http://www.mendeley.com/documents/?uuid=1c9d70ce-ec7e-3c45-aa33-aa7a7a5b0dc7"]},{"id":"ITEM-3","itemData":{"DOI":"10.7759/CUREUS.3293","PMID":"30443463","abstract":"License CC-BY 3.0., which permits unrestricted use, distribution, and reproduction in any medium, provided the original author and source are credited. Abstract A majority of the elderly suffer from chronic pain that significantly alters their daily activities and imposes an enormous burden on health care. Multiple comorbidities and the risk of polypharmacy in the elderly make it a challenge to determine the appropriate drug, dosage, and maintenance of therapy. Opioids are the most commonly used agents for this purpose in the elderly. The aim of this article is to discuss both the current well-established therapies used for managing chronic pain in the elderly and also the emerging newer therapies.","author":[{"dropping-particle":"","family":"Ali","given":"Asad","non-dropping-particle":"","parse-names":false,"suffix":""},{"dropping-particle":"","family":"Arif","given":"Abdul Wahab","non-dropping-particle":"","parse-names":false,"suffix":""},{"dropping-particle":"","family":"Bhan","given":"Chandur","non-dropping-particle":"","parse-names":false,"suffix":""},{"dropping-particle":"","family":"Kumar","given":"Deepak","non-dropping-particle":"","parse-names":false,"suffix":""},{"dropping-particle":"","family":"Malik","given":"Muhammad Bilal","non-dropping-particle":"","parse-names":false,"suffix":""},{"dropping-particle":"","family":"Sayyed","given":"Zohaib","non-dropping-particle":"","parse-names":false,"suffix":""},{"dropping-particle":"","family":"Akhtar","given":"Khawaja Hassan","non-dropping-particle":"","parse-names":false,"suffix":""},{"dropping-particle":"","family":"Ahmad","given":"Malik Qistas","non-dropping-particle":"","parse-names":false,"suffix":""}],"container-title":"Cureus","id":"ITEM-3","issue":"9","issued":{"date-parts":[["2018","9","13"]]},"publisher":"Cureus Inc.","title":"Managing Chronic Pain in the Elderly: An Overview of the Recent Therapeutic Advancements","type":"article-journal","volume":"10"},"uris":["http://www.mendeley.com/documents/?uuid=075b3850-da2b-321d-89bc-d884df55c16a"]},{"id":"ITEM-4","itemData":{"DOI":"10.1002/art.41142","abstract":"Objective. To develop an evidence-based guideline for the comprehensive management of osteoarthritis (OA) as a collaboration between the American College of Rheumatology (ACR) and the Arthritis Foundation, updating the 2012 ACR recommendations for the management of hand, hip, and knee OA. Methods. We identified clinically relevant population, intervention, comparator, outcomes questions and critical outcomes in OA. A Literature Review Team performed a systematic literature review to summarize evidence supporting the benefits and harms of available educational, behavioral, psychosocial, physical, mind-body, and pharmacologic therapies for OA. Grading of Recommendations Assessment, Development and Evaluation methodology was used to rate the quality of the evidence. A Voting Panel, including rheumatologists, an internist, physical and occupational therapists, and patients, achieved consensus on the recommendations. Results. Based on the available evidence, either strong or conditional recommendations were made for or against the approaches evaluated. Strong recommendations were made for exercise, weight loss in patients with knee and/or hip OA who are overweight or obese, self-efficacy and self-management programs, tai chi, cane use, hand orthoses for first carpometacarpal (CMC) joint OA, tibiofemoral bracing for tibiofemoral knee OA, topical nonsteroidal antiinflammatory drugs (NSAIDs) for knee OA, oral NSAIDs, and intraarticular glucocorticoid injections for knee OA. Conditional recommendations were made for balance exercises , yoga, cognitive behavioral therapy, kinesiotaping for first CMC OA, orthoses for hand joints other than the first CMC joint, patellofemoral bracing for patellofemoral knee OA, acupuncture, thermal modalities, radiofrequency ablation for knee OA, topical NSAIDs, intraarticular steroid injections and chondroitin sulfate for hand OA, topical capsaicin for knee OA, acetaminophen, du-loxetine, and tramadol. Conclusion. This guideline provides direction for clinicians and patients making treatment decisions for the management of OA. Clinicians and patients should engage in shared decision-making that accounts for patients' values, preferences, and comor-bidities. These recommendations should not be used to limit or deny access to therapies. Guidelines and recommendations developed and/or endorsed by the American College of Rheumatology (ACR) are intended to provide guidance for patterns of practice and not to dictate the care of a parti…","author":[{"dropping-particle":"","family":"Kolasinski","given":"Sharon L","non-dropping-particle":"","parse-names":false,"suffix":""},{"dropping-particle":"","family":"Neogi","given":"Tuhina","non-dropping-particle":"","parse-names":false,"suffix":""},{"dropping-particle":"","family":"Hochberg","given":"Marc C","non-dropping-particle":"","parse-names":false,"suffix":""},{"dropping-particle":"","family":"Oatis","given":"Carol","non-dropping-particle":"","parse-names":false,"suffix":""},{"dropping-particle":"","family":"Guyatt","given":"Gordon","non-dropping-particle":"","parse-names":false,"suffix":""},{"dropping-particle":"","family":"Block","given":"Joel","non-dropping-particle":"","parse-names":false,"suffix":""},{"dropping-particle":"","family":"Callahan","given":"Leigh","non-dropping-particle":"","parse-names":false,"suffix":""},{"dropping-particle":"","family":"Copenhaver","given":"Cindy","non-dropping-particle":"","parse-names":false,"suffix":""},{"dropping-particle":"","family":"Dodge","given":"Carole","non-dropping-particle":"","parse-names":false,"suffix":""},{"dropping-particle":"","family":"Felson","given":"David","non-dropping-particle":"","parse-names":false,"suffix":""},{"dropping-particle":"","family":"Gellar","given":"Kathleen","non-dropping-particle":"","parse-names":false,"suffix":""},{"dropping-particle":"","family":"Harvey","given":"William F","non-dropping-particle":"","parse-names":false,"suffix":""},{"dropping-particle":"","family":"Hawker","given":"Gillian","non-dropping-particle":"","parse-names":false,"suffix":""},{"dropping-particle":"","family":"Herzig","given":"Edward","non-dropping-particle":"","parse-names":false,"suffix":""},{"dropping-particle":"","family":"Kwoh","given":"C Kent","non-dropping-particle":"","parse-names":false,"suffix":""},{"dropping-particle":"","family":"Nelson","given":"Amanda E","non-dropping-particle":"","parse-names":false,"suffix":""},{"dropping-particle":"","family":"Samuels","given":"Jonathan","non-dropping-particle":"","parse-names":false,"suffix":""},{"dropping-particle":"","family":"Scanzello","given":"Carla","non-dropping-particle":"","parse-names":false,"suffix":""},{"dropping-particle":"","family":"White","given":"Daniel","non-dropping-particle":"","parse-names":false,"suffix":""},{"dropping-particle":"","family":"Wise","given":"Barton","non-dropping-particle":"","parse-names":false,"suffix":""},{"dropping-particle":"","family":"Altman","given":"Roy D","non-dropping-particle":"","parse-names":false,"suffix":""},{"dropping-particle":"","family":"Direnzo","given":"Dana","non-dropping-particle":"","parse-names":false,"suffix":""},{"dropping-particle":"","family":"Fontanarosa","given":"Joann","non-dropping-particle":"","parse-names":false,"suffix":""},{"dropping-particle":"","family":"Giradi","given":"Gina","non-dropping-particle":"","parse-names":false,"suffix":""},{"dropping-particle":"","family":"Ishimori","given":"Mariko","non-dropping-particle":"","parse-names":false,"suffix":""},{"dropping-particle":"","family":"Misra","given":"Devyani","non-dropping-particle":"","parse-names":false,"suffix":""},{"dropping-particle":"","family":"Shah","given":"Amit Aakash","non-dropping-particle":"","parse-names":false,"suffix":""},{"dropping-particle":"","family":"Shmagel","given":"Anna K","non-dropping-particle":"","parse-names":false,"suffix":""},{"dropping-particle":"","family":"Thoma","given":"Louise M","non-dropping-particle":"","parse-names":false,"suffix":""},{"dropping-particle":"","family":"Turgunbaev","given":"Marat","non-dropping-particle":"","parse-names":false,"suffix":""},{"dropping-particle":"","family":"Turner","given":"Amy S","non-dropping-particle":"","parse-names":false,"suffix":""},{"dropping-particle":"","family":"Reston","given":"James","non-dropping-particle":"","parse-names":false,"suffix":""}],"container-title":"Arthritis &amp; Rheumatology","id":"ITEM-4","issue":"2","issued":{"date-parts":[["2020"]]},"page":"220-233","title":"Foundation Guideline for the Management of Osteoarthritis of the Hand, Hip, and Knee","type":"article-journal","volume":"72"},"uris":["http://www.mendeley.com/documents/?uuid=5475b423-859e-3b10-8d4b-4cfd29f55554"]},{"id":"ITEM-5","itemData":{"DOI":"10.3238/ARZTEBL.M2022.0377","ISSN":"1866-0452","PMID":"36507719","abstract":"BACKGROUND: The term potentially inadequate medication (PIM) is used to describe substances that may be unsuitable for use in the elderly and should be avoided. The PRISCUS list, published in 2010, was the first catalog of PIM designed for the German drug market to become adopted in practice. While 24% of German patients aged ≥ 65 years were prescribed at least one PIM per year in 2009, the proportion in 2019 was only 14.5%. METHODS: In a three-round Delphi process, experts from clinical practice and research evaluated whether selected substances are PIM for the elderly. The participants were provided with dedicated literature including systematic reviews carried out for the particular purposes of this project. RESULTS: Fifty-nine persons took part in the Delphi process and, in addition, contributed comments and therapeutic alternatives. Altogether, 187 substances were classed as PIM. One hundred thirtythree of the substances now listed were not in the original PRISCUS list: these include some oral antidiabetics, all of the selective COX-2 inhibitors, and moderately long acting benzodiazepines such as oxazepam. For some other substances, e.g., proton pump inhibitors (PPI), the advisability of treatment for more than 8 weeks was considered as potentially inappropriate, as was the use of ibuprofen in doses &gt;1200 mg/day and for more than 1 week without PPI. Risperidone for more than 6 weeks is also PIM. CONCLUSION: The new, greatly extended PRISCUS list must now be validated in epidemiological and prospective studies and its practicability in routine daily use must be verified.","author":[{"dropping-particle":"","family":"Mann","given":"Nina-Kristin","non-dropping-particle":"","parse-names":false,"suffix":""},{"dropping-particle":"","family":"Mathes","given":"Tim","non-dropping-particle":"","parse-names":false,"suffix":""},{"dropping-particle":"","family":"Sönnichsen","given":"Andreas","non-dropping-particle":"","parse-names":false,"suffix":""},{"dropping-particle":"","family":"Pieper","given":"Dawid","non-dropping-particle":"","parse-names":false,"suffix":""},{"dropping-particle":"","family":"Klager","given":"Elisabeth","non-dropping-particle":"","parse-names":false,"suffix":""},{"dropping-particle":"","family":"Moussa","given":"Mahmoud","non-dropping-particle":"","parse-names":false,"suffix":""},{"dropping-particle":"","family":"Thürmann","given":"Petra A.","non-dropping-particle":"","parse-names":false,"suffix":""}],"container-title":"Dtsch Arztebl Int","id":"ITEM-5","issue":"1-2","issued":{"date-parts":[["2023","1","9"]]},"page":"3","publisher":"Deutscher Arzte-Verlag GmbH","title":"Potentially Inadequate Medications in the Elderly: PRISCUS 2.0 First Update of the PRISCUS List","type":"article-journal","volume":"120"},"uris":["http://www.mendeley.com/documents/?uuid=448cb2e7-573e-47c3-a423-ad6fb33a9f16"]},{"id":"ITEM-6","itemData":{"DOI":"10.1007/S41999-023-00777-Y/TABLES/2","ISSN":"18787657","PMID":"37256475","abstract":"Purpose: STOPP/START is a physiological systems-based explicit set of criteria that attempts to define the clinically important prescribing problems relating to potentially inappropriate medications (PIMs–STOPP criteria) and potential prescribing omissions (PPOs–START criteria). The previous two versions of STOPP/START criteria were published in 2008 and 2015. The present study describes the revised and updated third version of the criteria. Methods: A detailed system-by-system review of the published literature from April 2014 to March 2022 was undertaken with the aim of including clinically important new explicit PIM and PPO criteria and removing any criteria considered to be no longer correct or outdated. A panel of 11 academic physicians with recognized expertise in geriatric pharmacotherapy from 8 European countries participated in a Delphi panel with the task of validating the draft criteria. The panel was presented with the draft new criteria using the SurveyMonkey® on-line platform in which panelists were asked to indicate their level of agreement on a five-point Likert scale. Results: Two hundred and four evidence-based draft criteria (one hundred and forty-five STOPP criteria, fifty-nine START criteria) were presented to panelists for assessment using the Delphi validation method. Over the course of four rounds of Delphi validation, the panel achieved consensus on 133 STOPP criteria and 57 START criteria, i.e., 190 STOPP/START criteria in total representing a 66.7% increase in the number of criteria compared to STOPP/START version 2 published in 2015. Conclusion: A fully revised and updated version of STOPP/START criteria has been validated by a European expert panel using the Delphi consensus process.","author":[{"dropping-particle":"","family":"O’Mahony","given":"Denis","non-dropping-particle":"","parse-names":false,"suffix":""},{"dropping-particle":"","family":"Cherubini","given":"Antonio","non-dropping-particle":"","parse-names":false,"suffix":""},{"dropping-particle":"","family":"Guiteras","given":"Anna Renom","non-dropping-particle":"","parse-names":false,"suffix":""},{"dropping-particle":"","family":"Denkinger","given":"Michael","non-dropping-particle":"","parse-names":false,"suffix":""},{"dropping-particle":"","family":"Beuscart","given":"Jean Baptiste","non-dropping-particle":"","parse-names":false,"suffix":""},{"dropping-particle":"","family":"Onder","given":"Graziano","non-dropping-particle":"","parse-names":false,"suffix":""},{"dropping-particle":"","family":"Gudmundsson","given":"Adalsteinn","non-dropping-particle":"","parse-names":false,"suffix":""},{"dropping-particle":"","family":"Cruz-Jentoft","given":"Alfonso J.","non-dropping-particle":"","parse-names":false,"suffix":""},{"dropping-particle":"","family":"Knol","given":"Wilma","non-dropping-particle":"","parse-names":false,"suffix":""},{"dropping-particle":"","family":"Bahat","given":"Gülistan","non-dropping-particle":"","parse-names":false,"suffix":""},{"dropping-particle":"","family":"Velde","given":"Nathalie","non-dropping-particle":"van der","parse-names":false,"suffix":""},{"dropping-particle":"","family":"Petrovic","given":"Mirko","non-dropping-particle":"","parse-names":false,"suffix":""},{"dropping-particle":"","family":"Curtin","given":"Denis","non-dropping-particle":"","parse-names":false,"suffix":""}],"container-title":"European Geriatric Medicine","id":"ITEM-6","issue":"4","issued":{"date-parts":[["2023","8","1"]]},"page":"625-632","publisher":"Springer Science and Business Media Deutschland GmbH","title":"STOPP/START criteria for potentially inappropriate prescribing in older people: version 3","type":"article-journal","volume":"14"},"uris":["http://www.mendeley.com/documents/?uuid=e36defbc-fc3f-30f6-898c-5072ea7f41e4"]}],"mendeley":{"formattedCitation":"&lt;sup&gt;6–11&lt;/sup&gt;","plainTextFormattedCitation":"6–11","previouslyFormattedCitation":"&lt;sup&gt;6–11&lt;/sup&gt;"},"properties":{"noteIndex":0},"schema":"https://github.com/citation-style-language/schema/raw/master/csl-citation.json"}</w:instrText>
      </w:r>
      <w:r w:rsidRPr="008759D3">
        <w:rPr>
          <w:u w:val="single"/>
        </w:rPr>
        <w:fldChar w:fldCharType="separate"/>
      </w:r>
      <w:r w:rsidRPr="00D55DAA">
        <w:rPr>
          <w:noProof/>
          <w:vertAlign w:val="superscript"/>
        </w:rPr>
        <w:t>6–11</w:t>
      </w:r>
      <w:r w:rsidRPr="008759D3">
        <w:rPr>
          <w:u w:val="single"/>
        </w:rPr>
        <w:fldChar w:fldCharType="end"/>
      </w:r>
    </w:p>
    <w:p w14:paraId="1335CA57" w14:textId="77777777" w:rsidR="00961AA3" w:rsidRPr="00587F64" w:rsidRDefault="00961AA3" w:rsidP="00961AA3">
      <w:pPr>
        <w:jc w:val="both"/>
      </w:pPr>
      <w:r w:rsidRPr="00587F64">
        <w:t>NSAIDs available:</w:t>
      </w:r>
      <w:r>
        <w:t xml:space="preserve"> </w:t>
      </w:r>
      <w:proofErr w:type="spellStart"/>
      <w:r>
        <w:t>acemetacin</w:t>
      </w:r>
      <w:proofErr w:type="spellEnd"/>
      <w:r>
        <w:t xml:space="preserve">, ibuprofen, </w:t>
      </w:r>
      <w:proofErr w:type="spellStart"/>
      <w:r>
        <w:t>ketoprofen</w:t>
      </w:r>
      <w:proofErr w:type="spellEnd"/>
      <w:r>
        <w:t xml:space="preserve">, diclofenac, </w:t>
      </w:r>
      <w:proofErr w:type="spellStart"/>
      <w:r>
        <w:t>dexketoprofen</w:t>
      </w:r>
      <w:proofErr w:type="spellEnd"/>
      <w:r>
        <w:t xml:space="preserve">, indomethacin, naproxen, celecoxib, </w:t>
      </w:r>
      <w:proofErr w:type="spellStart"/>
      <w:r>
        <w:t>etoricoxib</w:t>
      </w:r>
      <w:proofErr w:type="spellEnd"/>
      <w:r>
        <w:t xml:space="preserve">, </w:t>
      </w:r>
      <w:proofErr w:type="spellStart"/>
      <w:r>
        <w:t>piroxicam</w:t>
      </w:r>
      <w:proofErr w:type="spellEnd"/>
      <w:r>
        <w:t>, meloxicam</w:t>
      </w:r>
    </w:p>
    <w:p w14:paraId="11A0375C" w14:textId="77777777" w:rsidR="00961AA3" w:rsidRPr="008759D3" w:rsidRDefault="00961AA3" w:rsidP="00961AA3">
      <w:pPr>
        <w:ind w:firstLine="360"/>
        <w:jc w:val="both"/>
      </w:pPr>
      <w:r w:rsidRPr="008759D3">
        <w:t xml:space="preserve">Generally, there is no tapering required when </w:t>
      </w:r>
      <w:proofErr w:type="spellStart"/>
      <w:r w:rsidRPr="008759D3">
        <w:t>deprescribing</w:t>
      </w:r>
      <w:proofErr w:type="spellEnd"/>
      <w:r w:rsidRPr="008759D3">
        <w:t xml:space="preserve"> NSAIDs for osteoarthritis. Where there is an underlying inflammatory condition (e.g. rheumatoid arthritis) there may be an increase in pain after cessation. This may be attenuated by slow dose reduction.</w:t>
      </w:r>
      <w:r w:rsidRPr="008759D3">
        <w:fldChar w:fldCharType="begin" w:fldLock="1"/>
      </w:r>
      <w:r w:rsidRPr="008759D3">
        <w:instrText>ADDIN CSL_CITATION {"citationItems":[{"id":"ITEM-1","itemData":{"author":[{"dropping-particle":"","family":"Primary health Tasmania","given":"Australia","non-dropping-particle":"","parse-names":false,"suffix":""}],"id":"ITEM-1","issued":{"date-parts":[["2019"]]},"number-of-pages":"1-6","title":"Non- steroidal anti-inflamatory drugs recommended deprescribing strategy (NSAIDs)","type":"report"},"uris":["http://www.mendeley.com/documents/?uuid=705e7bcb-44b8-3ece-a160-c3d5dfce779f"]}],"mendeley":{"formattedCitation":"&lt;sup&gt;6&lt;/sup&gt;","plainTextFormattedCitation":"6","previouslyFormattedCitation":"&lt;sup&gt;6&lt;/sup&gt;"},"properties":{"noteIndex":0},"schema":"https://github.com/citation-style-language/schema/raw/master/csl-citation.json"}</w:instrText>
      </w:r>
      <w:r w:rsidRPr="008759D3">
        <w:fldChar w:fldCharType="separate"/>
      </w:r>
      <w:r w:rsidRPr="008759D3">
        <w:rPr>
          <w:noProof/>
          <w:vertAlign w:val="superscript"/>
        </w:rPr>
        <w:t>6</w:t>
      </w:r>
      <w:r w:rsidRPr="008759D3">
        <w:fldChar w:fldCharType="end"/>
      </w:r>
    </w:p>
    <w:p w14:paraId="4A789066" w14:textId="77777777" w:rsidR="00961AA3" w:rsidRPr="008759D3" w:rsidRDefault="00961AA3" w:rsidP="00961AA3">
      <w:pPr>
        <w:pStyle w:val="ListParagraph"/>
        <w:numPr>
          <w:ilvl w:val="0"/>
          <w:numId w:val="2"/>
        </w:numPr>
        <w:jc w:val="both"/>
      </w:pPr>
      <w:r w:rsidRPr="008759D3">
        <w:rPr>
          <w:b/>
          <w:bCs/>
        </w:rPr>
        <w:t>Lack of indication for chronic use NSAIDs</w:t>
      </w:r>
      <w:r w:rsidRPr="008759D3">
        <w:rPr>
          <w:b/>
          <w:bCs/>
        </w:rPr>
        <w:fldChar w:fldCharType="begin" w:fldLock="1"/>
      </w:r>
      <w:r w:rsidRPr="008759D3">
        <w:rPr>
          <w:b/>
          <w:bCs/>
        </w:rPr>
        <w:instrText>ADDIN CSL_CITATION {"citationItems":[{"id":"ITEM-1","itemData":{"author":[{"dropping-particle":"","family":"Primary health Tasmania","given":"Australia","non-dropping-particle":"","parse-names":false,"suffix":""}],"id":"ITEM-1","issued":{"date-parts":[["2019"]]},"number-of-pages":"1-6","title":"Non- steroidal anti-inflamatory drugs recommended deprescribing strategy (NSAIDs)","type":"report"},"uris":["http://www.mendeley.com/documents/?uuid=705e7bcb-44b8-3ece-a160-c3d5dfce779f"]},{"id":"ITEM-2","itemData":{"DOI":"10.1002/art.41142","abstract":"Objective. To develop an evidence-based guideline for the comprehensive management of osteoarthritis (OA) as a collaboration between the American College of Rheumatology (ACR) and the Arthritis Foundation, updating the 2012 ACR recommendations for the management of hand, hip, and knee OA. Methods. We identified clinically relevant population, intervention, comparator, outcomes questions and critical outcomes in OA. A Literature Review Team performed a systematic literature review to summarize evidence supporting the benefits and harms of available educational, behavioral, psychosocial, physical, mind-body, and pharmacologic therapies for OA. Grading of Recommendations Assessment, Development and Evaluation methodology was used to rate the quality of the evidence. A Voting Panel, including rheumatologists, an internist, physical and occupational therapists, and patients, achieved consensus on the recommendations. Results. Based on the available evidence, either strong or conditional recommendations were made for or against the approaches evaluated. Strong recommendations were made for exercise, weight loss in patients with knee and/or hip OA who are overweight or obese, self-efficacy and self-management programs, tai chi, cane use, hand orthoses for first carpometacarpal (CMC) joint OA, tibiofemoral bracing for tibiofemoral knee OA, topical nonsteroidal antiinflammatory drugs (NSAIDs) for knee OA, oral NSAIDs, and intraarticular glucocorticoid injections for knee OA. Conditional recommendations were made for balance exercises , yoga, cognitive behavioral therapy, kinesiotaping for first CMC OA, orthoses for hand joints other than the first CMC joint, patellofemoral bracing for patellofemoral knee OA, acupuncture, thermal modalities, radiofrequency ablation for knee OA, topical NSAIDs, intraarticular steroid injections and chondroitin sulfate for hand OA, topical capsaicin for knee OA, acetaminophen, du-loxetine, and tramadol. Conclusion. This guideline provides direction for clinicians and patients making treatment decisions for the management of OA. Clinicians and patients should engage in shared decision-making that accounts for patients' values, preferences, and comor-bidities. These recommendations should not be used to limit or deny access to therapies. Guidelines and recommendations developed and/or endorsed by the American College of Rheumatology (ACR) are intended to provide guidance for patterns of practice and not to dictate the care of a parti…","author":[{"dropping-particle":"","family":"Kolasinski","given":"Sharon L","non-dropping-particle":"","parse-names":false,"suffix":""},{"dropping-particle":"","family":"Neogi","given":"Tuhina","non-dropping-particle":"","parse-names":false,"suffix":""},{"dropping-particle":"","family":"Hochberg","given":"Marc C","non-dropping-particle":"","parse-names":false,"suffix":""},{"dropping-particle":"","family":"Oatis","given":"Carol","non-dropping-particle":"","parse-names":false,"suffix":""},{"dropping-particle":"","family":"Guyatt","given":"Gordon","non-dropping-particle":"","parse-names":false,"suffix":""},{"dropping-particle":"","family":"Block","given":"Joel","non-dropping-particle":"","parse-names":false,"suffix":""},{"dropping-particle":"","family":"Callahan","given":"Leigh","non-dropping-particle":"","parse-names":false,"suffix":""},{"dropping-particle":"","family":"Copenhaver","given":"Cindy","non-dropping-particle":"","parse-names":false,"suffix":""},{"dropping-particle":"","family":"Dodge","given":"Carole","non-dropping-particle":"","parse-names":false,"suffix":""},{"dropping-particle":"","family":"Felson","given":"David","non-dropping-particle":"","parse-names":false,"suffix":""},{"dropping-particle":"","family":"Gellar","given":"Kathleen","non-dropping-particle":"","parse-names":false,"suffix":""},{"dropping-particle":"","family":"Harvey","given":"William F","non-dropping-particle":"","parse-names":false,"suffix":""},{"dropping-particle":"","family":"Hawker","given":"Gillian","non-dropping-particle":"","parse-names":false,"suffix":""},{"dropping-particle":"","family":"Herzig","given":"Edward","non-dropping-particle":"","parse-names":false,"suffix":""},{"dropping-particle":"","family":"Kwoh","given":"C Kent","non-dropping-particle":"","parse-names":false,"suffix":""},{"dropping-particle":"","family":"Nelson","given":"Amanda E","non-dropping-particle":"","parse-names":false,"suffix":""},{"dropping-particle":"","family":"Samuels","given":"Jonathan","non-dropping-particle":"","parse-names":false,"suffix":""},{"dropping-particle":"","family":"Scanzello","given":"Carla","non-dropping-particle":"","parse-names":false,"suffix":""},{"dropping-particle":"","family":"White","given":"Daniel","non-dropping-particle":"","parse-names":false,"suffix":""},{"dropping-particle":"","family":"Wise","given":"Barton","non-dropping-particle":"","parse-names":false,"suffix":""},{"dropping-particle":"","family":"Altman","given":"Roy D","non-dropping-particle":"","parse-names":false,"suffix":""},{"dropping-particle":"","family":"Direnzo","given":"Dana","non-dropping-particle":"","parse-names":false,"suffix":""},{"dropping-particle":"","family":"Fontanarosa","given":"Joann","non-dropping-particle":"","parse-names":false,"suffix":""},{"dropping-particle":"","family":"Giradi","given":"Gina","non-dropping-particle":"","parse-names":false,"suffix":""},{"dropping-particle":"","family":"Ishimori","given":"Mariko","non-dropping-particle":"","parse-names":false,"suffix":""},{"dropping-particle":"","family":"Misra","given":"Devyani","non-dropping-particle":"","parse-names":false,"suffix":""},{"dropping-particle":"","family":"Shah","given":"Amit Aakash","non-dropping-particle":"","parse-names":false,"suffix":""},{"dropping-particle":"","family":"Shmagel","given":"Anna K","non-dropping-particle":"","parse-names":false,"suffix":""},{"dropping-particle":"","family":"Thoma","given":"Louise M","non-dropping-particle":"","parse-names":false,"suffix":""},{"dropping-particle":"","family":"Turgunbaev","given":"Marat","non-dropping-particle":"","parse-names":false,"suffix":""},{"dropping-particle":"","family":"Turner","given":"Amy S","non-dropping-particle":"","parse-names":false,"suffix":""},{"dropping-particle":"","family":"Reston","given":"James","non-dropping-particle":"","parse-names":false,"suffix":""}],"container-title":"Arthritis &amp; Rheumatology","id":"ITEM-2","issue":"2","issued":{"date-parts":[["2020"]]},"page":"220-233","title":"Foundation Guideline for the Management of Osteoarthritis of the Hand, Hip, and Knee","type":"article-journal","volume":"72"},"uris":["http://www.mendeley.com/documents/?uuid=5475b423-859e-3b10-8d4b-4cfd29f55554"]},{"id":"ITEM-3","itemData":{"DOI":"10.7759/CUREUS.3293","PMID":"30443463","abstract":"License CC-BY 3.0., which permits unrestricted use, distribution, and reproduction in any medium, provided the original author and source are credited. Abstract A majority of the elderly suffer from chronic pain that significantly alters their daily activities and imposes an enormous burden on health care. Multiple comorbidities and the risk of polypharmacy in the elderly make it a challenge to determine the appropriate drug, dosage, and maintenance of therapy. Opioids are the most commonly used agents for this purpose in the elderly. The aim of this article is to discuss both the current well-established therapies used for managing chronic pain in the elderly and also the emerging newer therapies.","author":[{"dropping-particle":"","family":"Ali","given":"Asad","non-dropping-particle":"","parse-names":false,"suffix":""},{"dropping-particle":"","family":"Arif","given":"Abdul Wahab","non-dropping-particle":"","parse-names":false,"suffix":""},{"dropping-particle":"","family":"Bhan","given":"Chandur","non-dropping-particle":"","parse-names":false,"suffix":""},{"dropping-particle":"","family":"Kumar","given":"Deepak","non-dropping-particle":"","parse-names":false,"suffix":""},{"dropping-particle":"","family":"Malik","given":"Muhammad Bilal","non-dropping-particle":"","parse-names":false,"suffix":""},{"dropping-particle":"","family":"Sayyed","given":"Zohaib","non-dropping-particle":"","parse-names":false,"suffix":""},{"dropping-particle":"","family":"Akhtar","given":"Khawaja Hassan","non-dropping-particle":"","parse-names":false,"suffix":""},{"dropping-particle":"","family":"Ahmad","given":"Malik Qistas","non-dropping-particle":"","parse-names":false,"suffix":""}],"container-title":"Cureus","id":"ITEM-3","issue":"9","issued":{"date-parts":[["2018","9","13"]]},"publisher":"Cureus Inc.","title":"Managing Chronic Pain in the Elderly: An Overview of the Recent Therapeutic Advancements","type":"article-journal","volume":"10"},"uris":["http://www.mendeley.com/documents/?uuid=075b3850-da2b-321d-89bc-d884df55c16a"]}],"mendeley":{"formattedCitation":"&lt;sup&gt;6,8,9&lt;/sup&gt;","plainTextFormattedCitation":"6,8,9","previouslyFormattedCitation":"&lt;sup&gt;6,8,9&lt;/sup&gt;"},"properties":{"noteIndex":0},"schema":"https://github.com/citation-style-language/schema/raw/master/csl-citation.json"}</w:instrText>
      </w:r>
      <w:r w:rsidRPr="008759D3">
        <w:rPr>
          <w:b/>
          <w:bCs/>
        </w:rPr>
        <w:fldChar w:fldCharType="separate"/>
      </w:r>
      <w:r w:rsidRPr="008759D3">
        <w:rPr>
          <w:bCs/>
          <w:noProof/>
          <w:vertAlign w:val="superscript"/>
        </w:rPr>
        <w:t>6,8,9</w:t>
      </w:r>
      <w:r w:rsidRPr="008759D3">
        <w:rPr>
          <w:b/>
          <w:bCs/>
        </w:rPr>
        <w:fldChar w:fldCharType="end"/>
      </w:r>
      <w:r w:rsidRPr="008759D3">
        <w:t xml:space="preserve"> (approved indications include chronic rheumatoid and non-rheumatoid </w:t>
      </w:r>
      <w:proofErr w:type="spellStart"/>
      <w:r w:rsidRPr="008759D3">
        <w:t>musculo</w:t>
      </w:r>
      <w:proofErr w:type="spellEnd"/>
      <w:r w:rsidRPr="008759D3">
        <w:t>-skeletal pain such as arthritis, osteoarthritis, tendinitis)</w:t>
      </w:r>
    </w:p>
    <w:p w14:paraId="0E4879F1" w14:textId="77777777" w:rsidR="00961AA3" w:rsidRPr="008759D3" w:rsidRDefault="00961AA3" w:rsidP="00961AA3">
      <w:pPr>
        <w:pStyle w:val="ListParagraph"/>
        <w:numPr>
          <w:ilvl w:val="1"/>
          <w:numId w:val="2"/>
        </w:numPr>
        <w:jc w:val="both"/>
      </w:pPr>
      <w:proofErr w:type="gramStart"/>
      <w:r w:rsidRPr="008759D3">
        <w:t>chronic</w:t>
      </w:r>
      <w:proofErr w:type="gramEnd"/>
      <w:r w:rsidRPr="008759D3">
        <w:t xml:space="preserve"> use (excluding </w:t>
      </w:r>
      <w:r w:rsidRPr="008759D3">
        <w:rPr>
          <w:i/>
          <w:iCs/>
        </w:rPr>
        <w:t xml:space="preserve">pro re </w:t>
      </w:r>
      <w:proofErr w:type="spellStart"/>
      <w:r w:rsidRPr="008759D3">
        <w:rPr>
          <w:i/>
          <w:iCs/>
        </w:rPr>
        <w:t>nata</w:t>
      </w:r>
      <w:proofErr w:type="spellEnd"/>
      <w:r w:rsidRPr="008759D3">
        <w:t xml:space="preserve"> use) </w:t>
      </w:r>
      <w:r>
        <w:t>following NSAID prescription for</w:t>
      </w:r>
      <w:r w:rsidRPr="008759D3">
        <w:t xml:space="preserve"> acute pain indications (i.e. toothache, headache, migraine….) </w:t>
      </w:r>
    </w:p>
    <w:p w14:paraId="0D7AC0B6" w14:textId="77777777" w:rsidR="00961AA3" w:rsidRPr="008759D3" w:rsidRDefault="00961AA3" w:rsidP="00961AA3">
      <w:pPr>
        <w:pStyle w:val="ListParagraph"/>
        <w:numPr>
          <w:ilvl w:val="0"/>
          <w:numId w:val="2"/>
        </w:numPr>
        <w:jc w:val="both"/>
      </w:pPr>
      <w:r w:rsidRPr="008759D3">
        <w:rPr>
          <w:b/>
          <w:bCs/>
        </w:rPr>
        <w:t>Safety concerns</w:t>
      </w:r>
      <w:r w:rsidRPr="008759D3">
        <w:t xml:space="preserve"> </w:t>
      </w:r>
      <w:r w:rsidRPr="008759D3">
        <w:fldChar w:fldCharType="begin" w:fldLock="1"/>
      </w:r>
      <w:r w:rsidRPr="008759D3">
        <w:instrText>ADDIN CSL_CITATION {"citationItems":[{"id":"ITEM-1","itemData":{"DOI":"10.7759/CUREUS.3293","PMID":"30443463","abstract":"License CC-BY 3.0., which permits unrestricted use, distribution, and reproduction in any medium, provided the original author and source are credited. Abstract A majority of the elderly suffer from chronic pain that significantly alters their daily activities and imposes an enormous burden on health care. Multiple comorbidities and the risk of polypharmacy in the elderly make it a challenge to determine the appropriate drug, dosage, and maintenance of therapy. Opioids are the most commonly used agents for this purpose in the elderly. The aim of this article is to discuss both the current well-established therapies used for managing chronic pain in the elderly and also the emerging newer therapies.","author":[{"dropping-particle":"","family":"Ali","given":"Asad","non-dropping-particle":"","parse-names":false,"suffix":""},{"dropping-particle":"","family":"Arif","given":"Abdul Wahab","non-dropping-particle":"","parse-names":false,"suffix":""},{"dropping-particle":"","family":"Bhan","given":"Chandur","non-dropping-particle":"","parse-names":false,"suffix":""},{"dropping-particle":"","family":"Kumar","given":"Deepak","non-dropping-particle":"","parse-names":false,"suffix":""},{"dropping-particle":"","family":"Malik","given":"Muhammad Bilal","non-dropping-particle":"","parse-names":false,"suffix":""},{"dropping-particle":"","family":"Sayyed","given":"Zohaib","non-dropping-particle":"","parse-names":false,"suffix":""},{"dropping-particle":"","family":"Akhtar","given":"Khawaja Hassan","non-dropping-particle":"","parse-names":false,"suffix":""},{"dropping-particle":"","family":"Ahmad","given":"Malik Qistas","non-dropping-particle":"","parse-names":false,"suffix":""}],"container-title":"Cureus","id":"ITEM-1","issue":"9","issued":{"date-parts":[["2018","9","13"]]},"publisher":"Cureus Inc.","title":"Managing Chronic Pain in the Elderly: An Overview of the Recent Therapeutic Advancements","type":"article-journal","volume":"10"},"uris":["http://www.mendeley.com/documents/?uuid=075b3850-da2b-321d-89bc-d884df55c16a"]},{"id":"ITEM-2","itemData":{"DOI":"10.18553/JMCP.2020.26.7.918","ISSN":"2376-1032","PMID":"32584681","abstract":"BACKGROUND: Nonsteroidal anti-inflammatory drugs (NSAIDs) are commonly used to treat symptoms of chronic inflammatory diseases such as osteoarthritis and rheumatoid arthritis; however, they are also associated with various adverse effects, including gastrointestinal (GI) bleeding and renal harm. As patients get older, some medications may no longer be beneficial or may even cause harm. Deprescribing is defined as the planned and supervised process of dose reduction or discontinuation of medications. While there are studies showing that deprescribing strategies with several classes of medications positively affects outcomes in elderly patients, there is a lack of strong evidence and guidance to deprescribe NSAIDs. OBJECTIVE: To evaluate the effectiveness, safety, and economic impact of pharmacists deprescribing NSAIDs under the guidance of a standardized deprescribing program compared with usual care within an integrated health care system. METHODS: This retrospective, propensity score-matched cohort study included patients aged ≥65 years who were eligible for the NSAID deprescribing program from July 2016 to June 2018. Those patients in the deprescribing group were assessed by pharmacists and had their medications deprescribed. Patients who were eligible for the deprescribing program but did not receive any interventions were matched to the deprescribed group using propensity score matching at a 4:1 ratio and became the usual care group. Patients were followed for 6 months, until end of membership, or until death, whichever occurred first. The effectiveness and safety outcomes included rates of 3 adverse events: GI bleeds, acute kidney injuries (AKI), and exacerbation of pain triggering a hospitalization or emergency room visit. The economic outcome was the change in monthly NSAID cost. Descriptive statistics, t-tests, chi-square tests, and conditional logistic regression models were used for analysis. RESULTS: There were 431 patients in the deprescribed group and 1,724 patients in the usual care group, with similar baseline characteristics after propensity score matching. The adjusted results showed no significant difference between the deprescribed and usual care groups for GI bleed events (OR=0.65, 95% CI=0.36-1.16, P=0.15) and AKI (OR=0.53, 95% CI=0.24-1.16, P=0.11). The deprescribed group experienced a significant 2-fold decrease in the odds of exacerbation of pain versus the deprescribed group (OR=0.50, 95% CI=0.33-0.77, P&lt;0.01). Finally, there wa…","author":[{"dropping-particle":"","family":"Rashid","given":"Rezoana","non-dropping-particle":"","parse-names":false,"suffix":""},{"dropping-particle":"","family":"Chang","given":"Christopher","non-dropping-particle":"","parse-names":false,"suffix":""},{"dropping-particle":"","family":"Niu","given":"Fang","non-dropping-particle":"","parse-names":false,"suffix":""},{"dropping-particle":"","family":"Deguzman","given":"Lynn","non-dropping-particle":"","parse-names":false,"suffix":""},{"dropping-particle":"","family":"Draves","given":"Maisha","non-dropping-particle":"","parse-names":false,"suffix":""},{"dropping-particle":"","family":"Awsare","given":"Sameer","non-dropping-particle":"","parse-names":false,"suffix":""},{"dropping-particle":"","family":"Hui","given":"Rita","non-dropping-particle":"","parse-names":false,"suffix":""}],"container-title":"Journal of managed care &amp; specialty pharmacy","id":"ITEM-2","issue":"7","issued":{"date-parts":[["2020","7","1"]]},"page":"918-924","publisher":"J Manag Care Spec Pharm","title":"Evaluation of a Pharmacist-Managed Nonsteroidal Anti-Inflammatory Drugs Deprescribing Program in an Integrated Health Care System","type":"article-journal","volume":"26"},"uris":["http://www.mendeley.com/documents/?uuid=1c9d70ce-ec7e-3c45-aa33-aa7a7a5b0dc7"]}],"mendeley":{"formattedCitation":"&lt;sup&gt;7,8&lt;/sup&gt;","plainTextFormattedCitation":"7,8","previouslyFormattedCitation":"&lt;sup&gt;7,8&lt;/sup&gt;"},"properties":{"noteIndex":0},"schema":"https://github.com/citation-style-language/schema/raw/master/csl-citation.json"}</w:instrText>
      </w:r>
      <w:r w:rsidRPr="008759D3">
        <w:fldChar w:fldCharType="separate"/>
      </w:r>
      <w:r w:rsidRPr="008759D3">
        <w:rPr>
          <w:noProof/>
          <w:vertAlign w:val="superscript"/>
        </w:rPr>
        <w:t>7,8</w:t>
      </w:r>
      <w:r w:rsidRPr="008759D3">
        <w:fldChar w:fldCharType="end"/>
      </w:r>
      <w:r w:rsidRPr="008759D3">
        <w:t>(regarding chronic use)</w:t>
      </w:r>
    </w:p>
    <w:p w14:paraId="393FB566" w14:textId="77777777" w:rsidR="00961AA3" w:rsidRPr="008759D3" w:rsidRDefault="00961AA3" w:rsidP="00961AA3">
      <w:pPr>
        <w:pStyle w:val="ListParagraph"/>
        <w:numPr>
          <w:ilvl w:val="1"/>
          <w:numId w:val="2"/>
        </w:numPr>
        <w:jc w:val="both"/>
      </w:pPr>
      <w:r w:rsidRPr="008759D3">
        <w:t>patient presents with adverse effects which could be associated with NSAID use (oedema, dizziness, acid reflux/dyspepsia/epigastric pain/heartburn, nausea and vomiting, abdominal pain, diarrhoea, rash, vertigo, hypertension, heart palpitations)</w:t>
      </w:r>
    </w:p>
    <w:p w14:paraId="5C1ED522" w14:textId="77777777" w:rsidR="00961AA3" w:rsidRPr="008759D3" w:rsidRDefault="00961AA3" w:rsidP="00961AA3">
      <w:pPr>
        <w:pStyle w:val="ListParagraph"/>
        <w:numPr>
          <w:ilvl w:val="1"/>
          <w:numId w:val="2"/>
        </w:numPr>
        <w:jc w:val="both"/>
      </w:pPr>
      <w:r w:rsidRPr="008759D3">
        <w:t xml:space="preserve">patient has at least 1 risk factor which could be exacerbated by NSAID use (diagnosed within past 12 months)- past, active or suspected GI bleed/ulcer, heart failure (NYHA stage II-IV), ischaemic heart disease (diclofenac, celecoxib, </w:t>
      </w:r>
      <w:proofErr w:type="spellStart"/>
      <w:r w:rsidRPr="008759D3">
        <w:t>etoricoxib</w:t>
      </w:r>
      <w:proofErr w:type="spellEnd"/>
      <w:r w:rsidRPr="008759D3">
        <w:t xml:space="preserve">), atherosclerotic cardiovascular disease (diclofenac, celecoxib, </w:t>
      </w:r>
      <w:proofErr w:type="spellStart"/>
      <w:r w:rsidRPr="008759D3">
        <w:t>etoricoxib</w:t>
      </w:r>
      <w:proofErr w:type="spellEnd"/>
      <w:r w:rsidRPr="008759D3">
        <w:t xml:space="preserve">), renal disease (GFR&lt; 30ml/min; &lt;60ml/min for </w:t>
      </w:r>
      <w:proofErr w:type="spellStart"/>
      <w:r w:rsidRPr="008759D3">
        <w:t>dexketoprofen</w:t>
      </w:r>
      <w:proofErr w:type="spellEnd"/>
      <w:r w:rsidRPr="008759D3">
        <w:t>), liver failure, inflammatory bowel disease (ulcerative colitis or Crohn disease), coagulation diseases, history of ASA/NSAID exacerbated asthma/allergies/rhinitis/nasal polyposis</w:t>
      </w:r>
    </w:p>
    <w:p w14:paraId="25E35358" w14:textId="77777777" w:rsidR="00961AA3" w:rsidRPr="008759D3" w:rsidRDefault="00961AA3" w:rsidP="00961AA3">
      <w:pPr>
        <w:pStyle w:val="ListParagraph"/>
        <w:numPr>
          <w:ilvl w:val="1"/>
          <w:numId w:val="2"/>
        </w:numPr>
        <w:jc w:val="both"/>
      </w:pPr>
      <w:r w:rsidRPr="008759D3">
        <w:t xml:space="preserve">potential clinically significant drug-drug interactions (D or X as assessed by </w:t>
      </w:r>
      <w:proofErr w:type="spellStart"/>
      <w:r w:rsidRPr="008759D3">
        <w:t>Lexicomp</w:t>
      </w:r>
      <w:proofErr w:type="spellEnd"/>
      <w:r w:rsidRPr="008759D3">
        <w:rPr>
          <w:rFonts w:cstheme="minorHAnsi"/>
        </w:rPr>
        <w:t>®, such as combinations with warfarin, NOACs, antiplatelet, orally administrated corticosteroids</w:t>
      </w:r>
      <w:r w:rsidRPr="008759D3">
        <w:t>)</w:t>
      </w:r>
    </w:p>
    <w:p w14:paraId="1D011037" w14:textId="77777777" w:rsidR="00961AA3" w:rsidRPr="008759D3" w:rsidRDefault="00961AA3" w:rsidP="00961AA3">
      <w:pPr>
        <w:pStyle w:val="ListParagraph"/>
        <w:numPr>
          <w:ilvl w:val="0"/>
          <w:numId w:val="2"/>
        </w:numPr>
        <w:jc w:val="both"/>
        <w:rPr>
          <w:b/>
          <w:bCs/>
        </w:rPr>
      </w:pPr>
      <w:r w:rsidRPr="008759D3">
        <w:rPr>
          <w:b/>
          <w:bCs/>
        </w:rPr>
        <w:t xml:space="preserve">Appropriate indication but inappropriate dose </w:t>
      </w:r>
      <w:r w:rsidRPr="008759D3">
        <w:t>(</w:t>
      </w:r>
      <w:proofErr w:type="spellStart"/>
      <w:r w:rsidRPr="008759D3">
        <w:t>deprescribing</w:t>
      </w:r>
      <w:proofErr w:type="spellEnd"/>
      <w:r w:rsidRPr="008759D3">
        <w:t xml:space="preserve"> through dose reduction or </w:t>
      </w:r>
      <w:r w:rsidRPr="008759D3">
        <w:rPr>
          <w:i/>
          <w:iCs/>
        </w:rPr>
        <w:t xml:space="preserve">pro re </w:t>
      </w:r>
      <w:proofErr w:type="spellStart"/>
      <w:r w:rsidRPr="008759D3">
        <w:rPr>
          <w:i/>
          <w:iCs/>
        </w:rPr>
        <w:t>nata</w:t>
      </w:r>
      <w:proofErr w:type="spellEnd"/>
      <w:r w:rsidRPr="008759D3">
        <w:t xml:space="preserve"> use (PRN)). Guidelines for the management of osteoarthritis of the hand, hip, and knee recommended considering topical NSAIDs prior to use of oral NSAIDs (strongest recommendations for treatment of knee pain) as well as using as low as possible oral doses of NSAIDs.</w:t>
      </w:r>
      <w:r w:rsidRPr="008759D3">
        <w:fldChar w:fldCharType="begin" w:fldLock="1"/>
      </w:r>
      <w:r w:rsidRPr="008759D3">
        <w:instrText>ADDIN CSL_CITATION {"citationItems":[{"id":"ITEM-1","itemData":{"DOI":"10.1002/art.41142","abstract":"Objective. To develop an evidence-based guideline for the comprehensive management of osteoarthritis (OA) as a collaboration between the American College of Rheumatology (ACR) and the Arthritis Foundation, updating the 2012 ACR recommendations for the management of hand, hip, and knee OA. Methods. We identified clinically relevant population, intervention, comparator, outcomes questions and critical outcomes in OA. A Literature Review Team performed a systematic literature review to summarize evidence supporting the benefits and harms of available educational, behavioral, psychosocial, physical, mind-body, and pharmacologic therapies for OA. Grading of Recommendations Assessment, Development and Evaluation methodology was used to rate the quality of the evidence. A Voting Panel, including rheumatologists, an internist, physical and occupational therapists, and patients, achieved consensus on the recommendations. Results. Based on the available evidence, either strong or conditional recommendations were made for or against the approaches evaluated. Strong recommendations were made for exercise, weight loss in patients with knee and/or hip OA who are overweight or obese, self-efficacy and self-management programs, tai chi, cane use, hand orthoses for first carpometacarpal (CMC) joint OA, tibiofemoral bracing for tibiofemoral knee OA, topical nonsteroidal antiinflammatory drugs (NSAIDs) for knee OA, oral NSAIDs, and intraarticular glucocorticoid injections for knee OA. Conditional recommendations were made for balance exercises , yoga, cognitive behavioral therapy, kinesiotaping for first CMC OA, orthoses for hand joints other than the first CMC joint, patellofemoral bracing for patellofemoral knee OA, acupuncture, thermal modalities, radiofrequency ablation for knee OA, topical NSAIDs, intraarticular steroid injections and chondroitin sulfate for hand OA, topical capsaicin for knee OA, acetaminophen, du-loxetine, and tramadol. Conclusion. This guideline provides direction for clinicians and patients making treatment decisions for the management of OA. Clinicians and patients should engage in shared decision-making that accounts for patients' values, preferences, and comor-bidities. These recommendations should not be used to limit or deny access to therapies. Guidelines and recommendations developed and/or endorsed by the American College of Rheumatology (ACR) are intended to provide guidance for patterns of practice and not to dictate the care of a parti…","author":[{"dropping-particle":"","family":"Kolasinski","given":"Sharon L","non-dropping-particle":"","parse-names":false,"suffix":""},{"dropping-particle":"","family":"Neogi","given":"Tuhina","non-dropping-particle":"","parse-names":false,"suffix":""},{"dropping-particle":"","family":"Hochberg","given":"Marc C","non-dropping-particle":"","parse-names":false,"suffix":""},{"dropping-particle":"","family":"Oatis","given":"Carol","non-dropping-particle":"","parse-names":false,"suffix":""},{"dropping-particle":"","family":"Guyatt","given":"Gordon","non-dropping-particle":"","parse-names":false,"suffix":""},{"dropping-particle":"","family":"Block","given":"Joel","non-dropping-particle":"","parse-names":false,"suffix":""},{"dropping-particle":"","family":"Callahan","given":"Leigh","non-dropping-particle":"","parse-names":false,"suffix":""},{"dropping-particle":"","family":"Copenhaver","given":"Cindy","non-dropping-particle":"","parse-names":false,"suffix":""},{"dropping-particle":"","family":"Dodge","given":"Carole","non-dropping-particle":"","parse-names":false,"suffix":""},{"dropping-particle":"","family":"Felson","given":"David","non-dropping-particle":"","parse-names":false,"suffix":""},{"dropping-particle":"","family":"Gellar","given":"Kathleen","non-dropping-particle":"","parse-names":false,"suffix":""},{"dropping-particle":"","family":"Harvey","given":"William F","non-dropping-particle":"","parse-names":false,"suffix":""},{"dropping-particle":"","family":"Hawker","given":"Gillian","non-dropping-particle":"","parse-names":false,"suffix":""},{"dropping-particle":"","family":"Herzig","given":"Edward","non-dropping-particle":"","parse-names":false,"suffix":""},{"dropping-particle":"","family":"Kwoh","given":"C Kent","non-dropping-particle":"","parse-names":false,"suffix":""},{"dropping-particle":"","family":"Nelson","given":"Amanda E","non-dropping-particle":"","parse-names":false,"suffix":""},{"dropping-particle":"","family":"Samuels","given":"Jonathan","non-dropping-particle":"","parse-names":false,"suffix":""},{"dropping-particle":"","family":"Scanzello","given":"Carla","non-dropping-particle":"","parse-names":false,"suffix":""},{"dropping-particle":"","family":"White","given":"Daniel","non-dropping-particle":"","parse-names":false,"suffix":""},{"dropping-particle":"","family":"Wise","given":"Barton","non-dropping-particle":"","parse-names":false,"suffix":""},{"dropping-particle":"","family":"Altman","given":"Roy D","non-dropping-particle":"","parse-names":false,"suffix":""},{"dropping-particle":"","family":"Direnzo","given":"Dana","non-dropping-particle":"","parse-names":false,"suffix":""},{"dropping-particle":"","family":"Fontanarosa","given":"Joann","non-dropping-particle":"","parse-names":false,"suffix":""},{"dropping-particle":"","family":"Giradi","given":"Gina","non-dropping-particle":"","parse-names":false,"suffix":""},{"dropping-particle":"","family":"Ishimori","given":"Mariko","non-dropping-particle":"","parse-names":false,"suffix":""},{"dropping-particle":"","family":"Misra","given":"Devyani","non-dropping-particle":"","parse-names":false,"suffix":""},{"dropping-particle":"","family":"Shah","given":"Amit Aakash","non-dropping-particle":"","parse-names":false,"suffix":""},{"dropping-particle":"","family":"Shmagel","given":"Anna K","non-dropping-particle":"","parse-names":false,"suffix":""},{"dropping-particle":"","family":"Thoma","given":"Louise M","non-dropping-particle":"","parse-names":false,"suffix":""},{"dropping-particle":"","family":"Turgunbaev","given":"Marat","non-dropping-particle":"","parse-names":false,"suffix":""},{"dropping-particle":"","family":"Turner","given":"Amy S","non-dropping-particle":"","parse-names":false,"suffix":""},{"dropping-particle":"","family":"Reston","given":"James","non-dropping-particle":"","parse-names":false,"suffix":""}],"container-title":"Arthritis &amp; Rheumatology","id":"ITEM-1","issue":"2","issued":{"date-parts":[["2020"]]},"page":"220-233","title":"Foundation Guideline for the Management of Osteoarthritis of the Hand, Hip, and Knee","type":"article-journal","volume":"72"},"uris":["http://www.mendeley.com/documents/?uuid=5475b423-859e-3b10-8d4b-4cfd29f55554"]}],"mendeley":{"formattedCitation":"&lt;sup&gt;9&lt;/sup&gt;","plainTextFormattedCitation":"9","previouslyFormattedCitation":"&lt;sup&gt;9&lt;/sup&gt;"},"properties":{"noteIndex":0},"schema":"https://github.com/citation-style-language/schema/raw/master/csl-citation.json"}</w:instrText>
      </w:r>
      <w:r w:rsidRPr="008759D3">
        <w:fldChar w:fldCharType="separate"/>
      </w:r>
      <w:r w:rsidRPr="008759D3">
        <w:rPr>
          <w:noProof/>
          <w:vertAlign w:val="superscript"/>
        </w:rPr>
        <w:t>9</w:t>
      </w:r>
      <w:r w:rsidRPr="008759D3">
        <w:fldChar w:fldCharType="end"/>
      </w:r>
      <w:r w:rsidRPr="008759D3">
        <w:t xml:space="preserve">  For certain NSAIDs research shows comparable efficacy for the lower dosages in comparison to higher. Summaries of product characteristics recommend lowering the dose 25-50% and/or using the lowest effective dose for the shortest duration possible when treating older adults: ibuprofen (1200mg vs 2400mg), naproxen (750mg vs 1000mg), diclofenac (75mg vs 150mg), </w:t>
      </w:r>
      <w:proofErr w:type="spellStart"/>
      <w:r w:rsidRPr="008759D3">
        <w:t>dexketoprofen</w:t>
      </w:r>
      <w:proofErr w:type="spellEnd"/>
      <w:r w:rsidRPr="008759D3">
        <w:t xml:space="preserve"> (50mg vs 75mg), </w:t>
      </w:r>
      <w:proofErr w:type="spellStart"/>
      <w:r w:rsidRPr="008759D3">
        <w:t>ketoprofen</w:t>
      </w:r>
      <w:proofErr w:type="spellEnd"/>
      <w:r w:rsidRPr="008759D3">
        <w:t xml:space="preserve"> (100mg vs 200mg), </w:t>
      </w:r>
      <w:proofErr w:type="spellStart"/>
      <w:r w:rsidRPr="008759D3">
        <w:t>acemetacin</w:t>
      </w:r>
      <w:proofErr w:type="spellEnd"/>
      <w:r w:rsidRPr="008759D3">
        <w:t xml:space="preserve"> (120mg vs 180mg), indomethacin (150mg vs 200mg), meloxicam (7.5mg vs 15mg), </w:t>
      </w:r>
      <w:proofErr w:type="spellStart"/>
      <w:r w:rsidRPr="008759D3">
        <w:t>piroxicam</w:t>
      </w:r>
      <w:proofErr w:type="spellEnd"/>
      <w:r w:rsidRPr="008759D3">
        <w:t xml:space="preserve"> (10mg vs 20mg), </w:t>
      </w:r>
      <w:proofErr w:type="spellStart"/>
      <w:r w:rsidRPr="008759D3">
        <w:t>etoricoxib</w:t>
      </w:r>
      <w:proofErr w:type="spellEnd"/>
      <w:r w:rsidRPr="008759D3">
        <w:t xml:space="preserve"> (60mg vs 90mg) and celecoxib (200mg vs 400mg).</w:t>
      </w:r>
    </w:p>
    <w:p w14:paraId="4CD7DF21" w14:textId="77777777" w:rsidR="00961AA3" w:rsidRPr="008759D3" w:rsidRDefault="00961AA3" w:rsidP="00961AA3">
      <w:pPr>
        <w:pStyle w:val="ListParagraph"/>
        <w:numPr>
          <w:ilvl w:val="1"/>
          <w:numId w:val="2"/>
        </w:numPr>
        <w:jc w:val="both"/>
      </w:pPr>
      <w:r w:rsidRPr="008759D3">
        <w:t xml:space="preserve">patient with moderate risk factors including concomitant therapy with diuretics, ACE- inhibitors, alcohol over use, smoking, GERD, </w:t>
      </w:r>
      <w:proofErr w:type="spellStart"/>
      <w:r w:rsidRPr="008759D3">
        <w:t>h.pylori</w:t>
      </w:r>
      <w:proofErr w:type="spellEnd"/>
      <w:r w:rsidRPr="008759D3">
        <w:t xml:space="preserve"> infection</w:t>
      </w:r>
      <w:r w:rsidRPr="008759D3">
        <w:fldChar w:fldCharType="begin" w:fldLock="1"/>
      </w:r>
      <w:r w:rsidRPr="008759D3">
        <w:instrText>ADDIN CSL_CITATION {"citationItems":[{"id":"ITEM-1","itemData":{"author":[{"dropping-particle":"","family":"Primary health Tasmania","given":"Australia","non-dropping-particle":"","parse-names":false,"suffix":""}],"id":"ITEM-1","issued":{"date-parts":[["2019"]]},"number-of-pages":"1-6","title":"Non- steroidal anti-inflamatory drugs recommended deprescribing strategy (NSAIDs)","type":"report"},"uris":["http://www.mendeley.com/documents/?uuid=705e7bcb-44b8-3ece-a160-c3d5dfce779f"]}],"mendeley":{"formattedCitation":"&lt;sup&gt;6&lt;/sup&gt;","plainTextFormattedCitation":"6","previouslyFormattedCitation":"&lt;sup&gt;6&lt;/sup&gt;"},"properties":{"noteIndex":0},"schema":"https://github.com/citation-style-language/schema/raw/master/csl-citation.json"}</w:instrText>
      </w:r>
      <w:r w:rsidRPr="008759D3">
        <w:fldChar w:fldCharType="separate"/>
      </w:r>
      <w:r w:rsidRPr="008759D3">
        <w:rPr>
          <w:noProof/>
          <w:vertAlign w:val="superscript"/>
        </w:rPr>
        <w:t>6</w:t>
      </w:r>
      <w:r w:rsidRPr="008759D3">
        <w:fldChar w:fldCharType="end"/>
      </w:r>
    </w:p>
    <w:p w14:paraId="1097C3F7" w14:textId="77777777" w:rsidR="00961AA3" w:rsidRPr="008759D3" w:rsidRDefault="00961AA3" w:rsidP="00961AA3">
      <w:pPr>
        <w:pStyle w:val="ListParagraph"/>
        <w:numPr>
          <w:ilvl w:val="0"/>
          <w:numId w:val="2"/>
        </w:numPr>
        <w:jc w:val="both"/>
      </w:pPr>
      <w:r w:rsidRPr="008759D3">
        <w:rPr>
          <w:b/>
          <w:bCs/>
        </w:rPr>
        <w:t>Inappropriately long use of NSAIDs</w:t>
      </w:r>
      <w:r w:rsidRPr="008759D3">
        <w:rPr>
          <w:b/>
          <w:bCs/>
        </w:rPr>
        <w:fldChar w:fldCharType="begin" w:fldLock="1"/>
      </w:r>
      <w:r>
        <w:rPr>
          <w:b/>
          <w:bCs/>
        </w:rPr>
        <w:instrText>ADDIN CSL_CITATION {"citationItems":[{"id":"ITEM-1","itemData":{"DOI":"10.1111/JGS.18372","ISSN":"1532-5415","PMID":"37139824","abstract":"The American Geriatrics Society (AGS) Beers Criteria® (AGS Beers Criteria®) for Potentially Inappropriate Medication (PIM) Use in Older Adults is widely used by clinicians, educators, researchers, healthcare administrators, and regulators. Since 2011, the AGS has been the steward of the criteria and has produced updates on a regular cycle. The AGS Beers Criteria® is an explicit list of PIMs that are typically best avoided by older adults in most circumstances or under specific situations, such as in certain diseases or conditions. For the 2023 update, an interprofessional expert panel reviewed the evidence published since the last update (2019) and based on a structured assessment process approved a number of important changes including the addition of new criteria, modification of existing criteria, and formatting changes to enhance usability. The criteria are intended to be applied to adults 65 years old and older in all ambulatory, acute, and institutionalized settings of care, except hospice and end-of-life care settings. Although the AGS Beers Criteria® may be used internationally, it is specifically designed for use in the United States and there may be additional considerations for certain drugs in specific countries. Whenever and wherever used, the AGS Beers Criteria® should be applied thoughtfully and in a manner that supports, rather than replaces, shared clinical decision-making.","author":[{"dropping-particle":"","family":"American Geriatrics Society Beers Criteria® Update Expert Panel","given":"","non-dropping-particle":"","parse-names":false,"suffix":""}],"container-title":"Journal of the American Geriatrics Society","id":"ITEM-1","issued":{"date-parts":[["2023","5","4"]]},"title":"American Geriatrics Society 2023 updated AGS Beers Criteria® for potentially inappropriate medication use in older adults.","type":"article-journal"},"uris":["http://www.mendeley.com/documents/?uuid=d5c1f09b-e949-30d1-8cca-a7da753e63d2"]},{"id":"ITEM-2","itemData":{"DOI":"10.3238/ARZTEBL.M2022.0377","ISSN":"1866-0452","PMID":"36507719","abstract":"BACKGROUND: The term potentially inadequate medication (PIM) is used to describe substances that may be unsuitable for use in the elderly and should be avoided. The PRISCUS list, published in 2010, was the first catalog of PIM designed for the German drug market to become adopted in practice. While 24% of German patients aged ≥ 65 years were prescribed at least one PIM per year in 2009, the proportion in 2019 was only 14.5%. METHODS: In a three-round Delphi process, experts from clinical practice and research evaluated whether selected substances are PIM for the elderly. The participants were provided with dedicated literature including systematic reviews carried out for the particular purposes of this project. RESULTS: Fifty-nine persons took part in the Delphi process and, in addition, contributed comments and therapeutic alternatives. Altogether, 187 substances were classed as PIM. One hundred thirtythree of the substances now listed were not in the original PRISCUS list: these include some oral antidiabetics, all of the selective COX-2 inhibitors, and moderately long acting benzodiazepines such as oxazepam. For some other substances, e.g., proton pump inhibitors (PPI), the advisability of treatment for more than 8 weeks was considered as potentially inappropriate, as was the use of ibuprofen in doses &gt;1200 mg/day and for more than 1 week without PPI. Risperidone for more than 6 weeks is also PIM. CONCLUSION: The new, greatly extended PRISCUS list must now be validated in epidemiological and prospective studies and its practicability in routine daily use must be verified.","author":[{"dropping-particle":"","family":"Mann","given":"Nina-Kristin","non-dropping-particle":"","parse-names":false,"suffix":""},{"dropping-particle":"","family":"Mathes","given":"Tim","non-dropping-particle":"","parse-names":false,"suffix":""},{"dropping-particle":"","family":"Sönnichsen","given":"Andreas","non-dropping-particle":"","parse-names":false,"suffix":""},{"dropping-particle":"","family":"Pieper","given":"Dawid","non-dropping-particle":"","parse-names":false,"suffix":""},{"dropping-particle":"","family":"Klager","given":"Elisabeth","non-dropping-particle":"","parse-names":false,"suffix":""},{"dropping-particle":"","family":"Moussa","given":"Mahmoud","non-dropping-particle":"","parse-names":false,"suffix":""},{"dropping-particle":"","family":"Thürmann","given":"Petra A.","non-dropping-particle":"","parse-names":false,"suffix":""}],"container-title":"Dtsch Arztebl Int","id":"ITEM-2","issue":"1-2","issued":{"date-parts":[["2023","1","9"]]},"page":"3","publisher":"Deutscher Arzte-Verlag GmbH","title":"Potentially Inadequate Medications in the Elderly: PRISCUS 2.0 First Update of the PRISCUS List","type":"article-journal","volume":"120"},"uris":["http://www.mendeley.com/documents/?uuid=448cb2e7-573e-47c3-a423-ad6fb33a9f16"]}],"mendeley":{"formattedCitation":"&lt;sup&gt;10,12&lt;/sup&gt;","plainTextFormattedCitation":"10,12","previouslyFormattedCitation":"&lt;sup&gt;10,12&lt;/sup&gt;"},"properties":{"noteIndex":0},"schema":"https://github.com/citation-style-language/schema/raw/master/csl-citation.json"}</w:instrText>
      </w:r>
      <w:r w:rsidRPr="008759D3">
        <w:rPr>
          <w:b/>
          <w:bCs/>
        </w:rPr>
        <w:fldChar w:fldCharType="separate"/>
      </w:r>
      <w:r w:rsidRPr="00D55DAA">
        <w:rPr>
          <w:bCs/>
          <w:noProof/>
          <w:vertAlign w:val="superscript"/>
        </w:rPr>
        <w:t>10,12</w:t>
      </w:r>
      <w:r w:rsidRPr="008759D3">
        <w:rPr>
          <w:b/>
          <w:bCs/>
        </w:rPr>
        <w:fldChar w:fldCharType="end"/>
      </w:r>
      <w:r w:rsidRPr="008759D3">
        <w:rPr>
          <w:b/>
          <w:bCs/>
        </w:rPr>
        <w:t xml:space="preserve">. </w:t>
      </w:r>
      <w:r w:rsidRPr="008759D3">
        <w:t>Based on PRISCUS 2.0 list, Beers’ criteria and STAR</w:t>
      </w:r>
      <w:r>
        <w:t>T</w:t>
      </w:r>
      <w:r w:rsidRPr="008759D3">
        <w:t>/STOP criteria inappropriate use of NSAID was considered as</w:t>
      </w:r>
    </w:p>
    <w:p w14:paraId="29459F71" w14:textId="77777777" w:rsidR="00961AA3" w:rsidRPr="008759D3" w:rsidRDefault="00961AA3" w:rsidP="00961AA3">
      <w:pPr>
        <w:pStyle w:val="ListParagraph"/>
        <w:numPr>
          <w:ilvl w:val="1"/>
          <w:numId w:val="2"/>
        </w:numPr>
        <w:jc w:val="both"/>
      </w:pPr>
      <w:r w:rsidRPr="008759D3">
        <w:t xml:space="preserve">&gt;1 week for acute pain </w:t>
      </w:r>
    </w:p>
    <w:p w14:paraId="6F027B2E" w14:textId="77777777" w:rsidR="00961AA3" w:rsidRPr="008759D3" w:rsidRDefault="00961AA3" w:rsidP="00961AA3">
      <w:pPr>
        <w:pStyle w:val="ListParagraph"/>
        <w:numPr>
          <w:ilvl w:val="1"/>
          <w:numId w:val="2"/>
        </w:numPr>
        <w:jc w:val="both"/>
      </w:pPr>
      <w:r w:rsidRPr="008759D3">
        <w:t xml:space="preserve">&gt;6 months for chronic pain in patients with adequate </w:t>
      </w:r>
      <w:proofErr w:type="spellStart"/>
      <w:r w:rsidRPr="008759D3">
        <w:t>gastroprotection</w:t>
      </w:r>
      <w:proofErr w:type="spellEnd"/>
      <w:r w:rsidRPr="008759D3">
        <w:t xml:space="preserve"> </w:t>
      </w:r>
    </w:p>
    <w:p w14:paraId="4D3C7857" w14:textId="77777777" w:rsidR="00961AA3" w:rsidRPr="008759D3" w:rsidRDefault="00961AA3" w:rsidP="00961AA3">
      <w:pPr>
        <w:pStyle w:val="ListParagraph"/>
        <w:numPr>
          <w:ilvl w:val="1"/>
          <w:numId w:val="2"/>
        </w:numPr>
        <w:jc w:val="both"/>
      </w:pPr>
      <w:r w:rsidRPr="008759D3">
        <w:t xml:space="preserve">&gt;3 months for chronic pain in patients without adequate </w:t>
      </w:r>
      <w:proofErr w:type="spellStart"/>
      <w:r w:rsidRPr="008759D3">
        <w:t>gastroprotection</w:t>
      </w:r>
      <w:proofErr w:type="spellEnd"/>
    </w:p>
    <w:p w14:paraId="23E17959" w14:textId="77777777" w:rsidR="00961AA3" w:rsidRDefault="00961AA3" w:rsidP="00961AA3">
      <w:pPr>
        <w:rPr>
          <w:u w:val="single"/>
        </w:rPr>
      </w:pPr>
      <w:r>
        <w:rPr>
          <w:u w:val="single"/>
        </w:rPr>
        <w:br w:type="page"/>
      </w:r>
    </w:p>
    <w:p w14:paraId="1BF919B6" w14:textId="77777777" w:rsidR="00961AA3" w:rsidRPr="008759D3" w:rsidRDefault="00961AA3" w:rsidP="00961AA3">
      <w:pPr>
        <w:jc w:val="both"/>
        <w:rPr>
          <w:u w:val="single"/>
        </w:rPr>
      </w:pPr>
      <w:r w:rsidRPr="008759D3">
        <w:rPr>
          <w:u w:val="single"/>
        </w:rPr>
        <w:lastRenderedPageBreak/>
        <w:t xml:space="preserve">Opioid analgesics </w:t>
      </w:r>
      <w:proofErr w:type="spellStart"/>
      <w:r w:rsidRPr="008759D3">
        <w:rPr>
          <w:u w:val="single"/>
        </w:rPr>
        <w:t>Deprescribing</w:t>
      </w:r>
      <w:proofErr w:type="spellEnd"/>
      <w:r w:rsidRPr="008759D3">
        <w:rPr>
          <w:u w:val="single"/>
        </w:rPr>
        <w:t xml:space="preserve"> criteria</w:t>
      </w:r>
      <w:r w:rsidRPr="008759D3">
        <w:rPr>
          <w:u w:val="single"/>
        </w:rPr>
        <w:fldChar w:fldCharType="begin" w:fldLock="1"/>
      </w:r>
      <w:r>
        <w:rPr>
          <w:u w:val="single"/>
        </w:rPr>
        <w:instrText>ADDIN CSL_CITATION {"citationItems":[{"id":"ITEM-1","itemData":{"URL":"https://fpm.ac.uk/opioids-aware-structured-approach-opioid-prescribing/long-term-prescribing","accessed":{"date-parts":[["2023","3","4"]]},"author":[{"dropping-particle":"","family":"Faculty of Pain Medicine","given":"Royal College of Anaesthetists","non-dropping-particle":"","parse-names":false,"suffix":""}],"id":"ITEM-1","issued":{"date-parts":[["0"]]},"title":"Opioids Aware:A structured approach to opioid prescribing (Long term prescribing)","type":"webpage"},"uris":["http://www.mendeley.com/documents/?uuid=73533b7b-59a2-3e56-a622-9c9e8d0ff845"]},{"id":"ITEM-2","itemData":{"PMID":"32737739","abstract":"Background: Deprescribing, the process of reducing or discontinuing unnecessary or harmful medicines is an essential part of clinical practice. Objective: To evaluate the efficacy of interventions designed to deprescribe opioid analgesics for pain relief in patients with chronic non-cancer pain. Methods: We searched electronic databases, including clinical trial registries, from database inception to 13th January 2020 without restrictions, and conducted citation tracking. Our systematic review included randomised controlled trials (RCTs) evaluating interventions reducing the prescription, or use of opioid analgesics in patients with chronic pain versus control. Inventions could be aimed at the patient, clinician, or both. We excluded trials enrolling patients with cancer or illicit drug use. Two authors independently screened and extracted data. Outcome follow-up timepoints were short (≤ 3 months), intermediate (&gt; 3 but &lt; 12 months) or long (≥ 12 months) term. Primary outcome was the reduction in opioid dose [morphine milligram equivalent (MME) mg/day]. Methodological quality was assessed using the Cochrane Risk of Bias Tool. Results: We included ten patient-focused RCT interventions (n = 835; median 37 participants) and 2 testing clinician-focused interventions (n = 291 clinicians); none at low risk of bias. Patient-focused interventions did not reduce opioid dose in the intermediate term [e.g. dose reduction protocol, mean difference (MD) − 19.9 MME, 95% CI − 107.5 to 67.7], nor did they increase the number of participants who ceased their dose, or increase the risk of serious adverse events or adverse events. One clinician intervention of education plus decision tools versus decision tools alone reduced the number of opioid prescriptions (risk difference (RD) − 0.1, 95% CI − 0.2 to − 0.1), dose (MD − 5.3 MME, 95% CI − 6.2 to − 4.5) and use (RD − 0.1, 95% CI − 0.1 to − 0.0) in the long term. Limitations: Study heterogeneity prevented meta-analysis. Conclusion: The small number of studies and heterogeneity prevented firm conclusions to recommend any one opioid-analgesic-deprescribing strategy in patients with chronic pain. Systematic review registration number: PROSPERO CRD42017068422.","author":[{"dropping-particle":"","family":"Mathieson","given":"Stephanie","non-dropping-particle":"","parse-names":false,"suffix":""},{"dropping-particle":"","family":"Maher","given":"Christopher G.","non-dropping-particle":"","parse-names":false,"suffix":""},{"dropping-particle":"","family":"Ferreira","given":"Giovanni E.","non-dropping-particle":"","parse-names":false,"suffix":""},{"dropping-particle":"","family":"Hamilton","given":"Melanie","non-dropping-particle":"","parse-names":false,"suffix":""},{"dropping-particle":"","family":"Jansen","given":"Jesse","non-dropping-particle":"","parse-names":false,"suffix":""},{"dropping-particle":"","family":"McLachlan","given":"Andrew J.","non-dropping-particle":"","parse-names":false,"suffix":""},{"dropping-particle":"","family":"Underwood","given":"Martin","non-dropping-particle":"","parse-names":false,"suffix":""},{"dropping-particle":"","family":"Lin","given":"Chung Wei Christine","non-dropping-particle":"","parse-names":false,"suffix":""}],"container-title":"Drugs","id":"ITEM-2","issue":"15","issued":{"date-parts":[["2020","10","1"]]},"page":"1563-1576","title":"Deprescribing Opioids in Chronic Non-cancer Pain: Systematic Review of Randomised Trials","type":"article-journal","volume":"80"},"uris":["http://www.mendeley.com/documents/?uuid=e2aafa0d-d482-4f72-b355-1b997d2bcdc2"]},{"id":"ITEM-3","itemData":{"abstract":"STEP 1: WHY SHOULD I DEPRESCRIBE? (PATIENT ASSESSMENT) Deprescribing triggers: • Inappropriate indication, no current indication, presence or risk of adverse events, drug interaction, drug-disease interaction, high drug burden index (DBI) 1 , poor adherence, lack of adequate response, need for escalating dose without adequate response, aberrant behaviours developed, or patient preference. 1a) Is there a documented indication or symptom supporting continued use? Inappropriate indication for continued use: • Resolution of painful condition. • Lack of adequate improvement in pain control (e.g. allodynia or hyperalgesia) and/or function. • Medical (including mental health) conditions and other medicines that increase risk of opioid overdose. • Treatment of painful conditions where opioid analgesics are not effective (e.g. low back pain, fibromyalgia). Do not deprescribe as a sole provider and consider involvement of specialist pain management team or drug and alcohol services if: • Complex severe pain is present. • There are associated risks if weaned (e.g. substance use disorder, worsening of mental health conditions, unstable adverse social circumstances). 2,3 • Response to non-opioid or non-drug therapeutic interventions has been poor. • Enrolled in a drugs of dependence program. 1b) Are there adverse effects? Consider potential adverse events from opioid therapy: • Falls, dizziness, orthostatic hypotension, itch, dry mouth, meiosis, urinary retention, nausea, vomiting, dyspepsia, constipation, respiratory depression, headaches, cognitive impairment (e.g. confusion), drowsiness, over-sedation, impaired concentration (e.g. increase risk of car accidents), mood changes or dependence. 4 1c) Is this medication likely to cause more harm than benefit? Consider the risk of dose-related harm from opioid analgesics. This can be estimated using oral morphine equivalent daily dose (OMEDD), with a substantial increase in harm seen with OMEDD &gt;20 mg. 5 See Evidence-based advice for additional information on risks of harm and benefits of continued use. 1d) Does the patient/carer agree with the recommendation to deprescribe? Following provision of information, discussion and shared-decision making, the patient or carer has communicated that they would like to proceed with or decline the deprescribing recommendation. 6 i CONSIDER TWO STEPS WHEN DEPRESCRIBING: 1 Should I deprescribe? 2 How do I deprescribe? GO TO SECTION: Indication How to wean Alternative management Mon…","author":[{"dropping-particle":"","family":"NSW Therepautic Advisory Group","given":"Australia","non-dropping-particle":"","parse-names":false,"suffix":""}],"id":"ITEM-3","issued":{"date-parts":[["2018"]]},"number-of-pages":"1-5","title":"Deprescribing guide for regular long-term opioid analgesic use in older adults","type":"report"},"uris":["http://www.mendeley.com/documents/?uuid=b38203ba-6bd7-3cc5-bbaa-4bd020a98e17"]},{"id":"ITEM-4","itemData":{"URL":"https://www.primaryhealthtas.com.au/resources/deprescribing-resources/","abstract":"Deprescribing is the systematic process of identifying and discontinuing potentially inappropriate drugs with the aim of minimising polypharmacy and improving patient outcomes. Read more here. Primary Health Tasmania has worked with Consultant Pharmacy Services to develop a range of resources to help GPs in the deprescribing of a number of common medications. Deprescribing fact sheet An overview of deprescribing principles and research, and the deprescribing approach. Includes the assessment of benefit versus harm, withdrawal and recurrence issues, and consumer and GP perceptions of the process. Deprescribing guides These guides outline recommended deprescribing strategies for a range of commonly used medicines. They were last revised and updated in December 2022. Deprescribing consumer resources A consumer-focused brochure and card are available to support a conversation about deprescribing. Deprescribing videos Primary Health Tasmania has also produced a series of short videos featuring discussion between geriatrician Dr David Dunbabin, GP Dr Amanda Lo, and consultant pharmacist Dr Peter Tenni about the deprescribing cycle. Go to this page to watch the videos.","accessed":{"date-parts":[["2023","6","13"]]},"author":[{"dropping-particle":"","family":"Primary health Tasmania","given":"Australia","non-dropping-particle":"","parse-names":false,"suffix":""}],"id":"ITEM-4","issued":{"date-parts":[["2022"]]},"title":"Resources: Medication management - deprescribing","type":"webpage"},"uris":["http://www.mendeley.com/documents/?uuid=a8aff9dc-9e79-3c6e-8b36-24d964190d3b"]},{"id":"ITEM-5","itemData":{"author":[{"dropping-particle":"","family":"Primary health Tasmania","given":"Australia","non-dropping-particle":"","parse-names":false,"suffix":""}],"id":"ITEM-5","issued":{"date-parts":[["2019"]]},"number-of-pages":"1-8","title":"Opioids recommended deprescribing strategy","type":"report"},"uris":["http://www.mendeley.com/documents/?uuid=0d4e9c2a-a774-3ed8-bc47-02ab148c1b4c"]}],"mendeley":{"formattedCitation":"&lt;sup&gt;13–17&lt;/sup&gt;","plainTextFormattedCitation":"13–17","previouslyFormattedCitation":"&lt;sup&gt;13–17&lt;/sup&gt;"},"properties":{"noteIndex":0},"schema":"https://github.com/citation-style-language/schema/raw/master/csl-citation.json"}</w:instrText>
      </w:r>
      <w:r w:rsidRPr="008759D3">
        <w:rPr>
          <w:u w:val="single"/>
        </w:rPr>
        <w:fldChar w:fldCharType="separate"/>
      </w:r>
      <w:r w:rsidRPr="008759D3">
        <w:rPr>
          <w:noProof/>
          <w:vertAlign w:val="superscript"/>
        </w:rPr>
        <w:t>13–17</w:t>
      </w:r>
      <w:r w:rsidRPr="008759D3">
        <w:rPr>
          <w:u w:val="single"/>
        </w:rPr>
        <w:fldChar w:fldCharType="end"/>
      </w:r>
    </w:p>
    <w:p w14:paraId="3E5C0E72" w14:textId="77777777" w:rsidR="00961AA3" w:rsidRDefault="00961AA3" w:rsidP="00961AA3">
      <w:pPr>
        <w:jc w:val="both"/>
      </w:pPr>
      <w:r>
        <w:t xml:space="preserve">Opioid analgesic available: tramadol, codeine, oxycodone </w:t>
      </w:r>
      <w:r>
        <w:rPr>
          <w:rFonts w:cstheme="minorHAnsi"/>
        </w:rPr>
        <w:t>±</w:t>
      </w:r>
      <w:r>
        <w:t xml:space="preserve"> naloxone, </w:t>
      </w:r>
      <w:proofErr w:type="spellStart"/>
      <w:r>
        <w:t>tapentadol</w:t>
      </w:r>
      <w:proofErr w:type="spellEnd"/>
      <w:r>
        <w:t>, fentanyl</w:t>
      </w:r>
      <w:proofErr w:type="gramStart"/>
      <w:r>
        <w:t>,  morphine</w:t>
      </w:r>
      <w:proofErr w:type="gramEnd"/>
      <w:r>
        <w:t>, buprenorphine</w:t>
      </w:r>
    </w:p>
    <w:p w14:paraId="6CA2EF26" w14:textId="77777777" w:rsidR="00961AA3" w:rsidRPr="008759D3" w:rsidRDefault="00961AA3" w:rsidP="00961AA3">
      <w:pPr>
        <w:ind w:firstLine="720"/>
        <w:jc w:val="both"/>
      </w:pPr>
      <w:r w:rsidRPr="008759D3">
        <w:t>Long-term opioid analgesic use (&gt; 6 months) for non-cancer pain is not recommended in older adults.</w:t>
      </w:r>
    </w:p>
    <w:p w14:paraId="41BD6670" w14:textId="77777777" w:rsidR="00961AA3" w:rsidRPr="008759D3" w:rsidRDefault="00961AA3" w:rsidP="00961AA3">
      <w:pPr>
        <w:ind w:firstLine="720"/>
        <w:jc w:val="both"/>
      </w:pPr>
      <w:r w:rsidRPr="008759D3">
        <w:t xml:space="preserve">Precautions should be implemented when dosage </w:t>
      </w:r>
      <w:r w:rsidRPr="008759D3">
        <w:rPr>
          <w:rFonts w:cstheme="minorHAnsi"/>
        </w:rPr>
        <w:t>≥</w:t>
      </w:r>
      <w:r w:rsidRPr="008759D3">
        <w:t>50 mg oral morphine milligrams equivalents (</w:t>
      </w:r>
      <w:proofErr w:type="spellStart"/>
      <w:r w:rsidRPr="008759D3">
        <w:t>oMME</w:t>
      </w:r>
      <w:proofErr w:type="spellEnd"/>
      <w:r w:rsidRPr="008759D3">
        <w:t xml:space="preserve">), doses above 90 mg </w:t>
      </w:r>
      <w:proofErr w:type="spellStart"/>
      <w:r w:rsidRPr="008759D3">
        <w:t>oMME</w:t>
      </w:r>
      <w:proofErr w:type="spellEnd"/>
      <w:r w:rsidRPr="008759D3">
        <w:t xml:space="preserve"> should be avoided. [</w:t>
      </w:r>
      <w:proofErr w:type="gramStart"/>
      <w:r w:rsidRPr="008759D3">
        <w:t>approximate</w:t>
      </w:r>
      <w:proofErr w:type="gramEnd"/>
      <w:r w:rsidRPr="008759D3">
        <w:t xml:space="preserve"> dose for concern: 250mg/day tramadol, 125mg/day </w:t>
      </w:r>
      <w:proofErr w:type="spellStart"/>
      <w:r w:rsidRPr="008759D3">
        <w:t>tapentadol</w:t>
      </w:r>
      <w:proofErr w:type="spellEnd"/>
      <w:r w:rsidRPr="008759D3">
        <w:t>, 30mg/day oxycodone, 25mcg/h fentanyl transdermal]</w:t>
      </w:r>
    </w:p>
    <w:p w14:paraId="1A0FA43E" w14:textId="77777777" w:rsidR="00961AA3" w:rsidRPr="008759D3" w:rsidRDefault="00961AA3" w:rsidP="00961AA3">
      <w:pPr>
        <w:ind w:firstLine="720"/>
        <w:jc w:val="both"/>
      </w:pPr>
      <w:r w:rsidRPr="008759D3">
        <w:t>LONG TERM USE WITHOUT CLEAR BENEFIT: tapering by 5-25% of daily dose each month (tapering through 3-9 months)</w:t>
      </w:r>
    </w:p>
    <w:p w14:paraId="651C91EC" w14:textId="77777777" w:rsidR="00961AA3" w:rsidRPr="008759D3" w:rsidRDefault="00961AA3" w:rsidP="00961AA3">
      <w:pPr>
        <w:ind w:firstLine="720"/>
        <w:jc w:val="both"/>
      </w:pPr>
      <w:r w:rsidRPr="008759D3">
        <w:t>END OF AGREED TRIAL or FAILURE OF TREATMENT: tapering by 5-25% of daily dose each week</w:t>
      </w:r>
    </w:p>
    <w:p w14:paraId="1416FBCE" w14:textId="77777777" w:rsidR="00961AA3" w:rsidRPr="008759D3" w:rsidRDefault="00961AA3" w:rsidP="00961AA3">
      <w:pPr>
        <w:jc w:val="both"/>
        <w:rPr>
          <w:b/>
          <w:bCs/>
        </w:rPr>
      </w:pPr>
      <w:r w:rsidRPr="008759D3">
        <w:t>SIGNIFICANT ADVERSE EFFECTS: immediate cessation and pharmacological treatment of withdrawal symptoms or daily step-wise reduction 5-25% every day or every week</w:t>
      </w:r>
    </w:p>
    <w:p w14:paraId="50C6C4FC" w14:textId="77777777" w:rsidR="00961AA3" w:rsidRPr="008759D3" w:rsidRDefault="00961AA3" w:rsidP="00961AA3">
      <w:pPr>
        <w:pStyle w:val="ListParagraph"/>
        <w:numPr>
          <w:ilvl w:val="0"/>
          <w:numId w:val="3"/>
        </w:numPr>
        <w:jc w:val="both"/>
        <w:rPr>
          <w:b/>
          <w:bCs/>
        </w:rPr>
      </w:pPr>
      <w:r w:rsidRPr="008759D3">
        <w:rPr>
          <w:b/>
          <w:bCs/>
        </w:rPr>
        <w:t>Lack of indication for opioid use</w:t>
      </w:r>
      <w:r>
        <w:rPr>
          <w:b/>
          <w:bCs/>
        </w:rPr>
        <w:fldChar w:fldCharType="begin" w:fldLock="1"/>
      </w:r>
      <w:r>
        <w:rPr>
          <w:b/>
          <w:bCs/>
        </w:rPr>
        <w:instrText>ADDIN CSL_CITATION {"citationItems":[{"id":"ITEM-1","itemData":{"DOI":"10.3390/JCM12051788/S1","ISSN":"20770383","abstract":"While the Food and Drug Administration’s black-box warnings caution against concurrent opioid and benzodiazepine (OPI–BZD) use, there is little guidance on how to deprescribe these medications. This scoping review analyzes the available opioid and/or benzodiazepine deprescribing strategies from the PubMed, EMBASE, Web of Science, Scopus, and Cochrane Library databases (01/1995–08/2020) and the gray literature. We identified 39 original research studies (opioids: n = 5, benzodiazepines: n = 31, concurrent use: n = 3) and 26 guidelines (opioids: n = 16, benzodiazepines: n = 11, concurrent use: n = 0). Among the three studies deprescribing concurrent use (success rates of 21–100%), two evaluated a 3-week rehabilitation program, and one assessed a 24-week primary care intervention for veterans. Initial opioid dose deprescribing rates ranged from (1) 10–20%/weekday followed by 2.5–10%/weekday over three weeks to (2) 10–25%/1–4 weeks. Initial benzodiazepine dose deprescribing rates ranged from (1) patient-specific reductions over three weeks to (2) 50% dose reduction for 2–4 weeks, followed by 2–8 weeks of dose maintenance and then a 25% reduction biweekly. Among the 26 guidelines identified, 22 highlighted the risks of co-prescribing OPI–BZD, and 4 provided conflicting recommendations on the OPI–BZD deprescribing sequence. Thirty-five states’ websites provided resources for opioid deprescription and three states’ websites had benzodiazepine deprescribing recommendations. Further studies are needed to better guide OPI–BZD deprescription.","author":[{"dropping-particle":"","family":"Wang","given":"Yanning","non-dropping-particle":"","parse-names":false,"suffix":""},{"dropping-particle":"","family":"Wilson","given":"Debbie L.","non-dropping-particle":"","parse-names":false,"suffix":""},{"dropping-particle":"","family":"Fernandes","given":"Deanna","non-dropping-particle":"","parse-names":false,"suffix":""},{"dropping-particle":"","family":"Adkins","given":"Lauren E.","non-dropping-particle":"","parse-names":false,"suffix":""},{"dropping-particle":"","family":"Bantad","given":"Ashley","non-dropping-particle":"","parse-names":false,"suffix":""},{"dropping-particle":"","family":"Copacia","given":"Clint","non-dropping-particle":"","parse-names":false,"suffix":""},{"dropping-particle":"","family":"Dharma","given":"Nilay","non-dropping-particle":"","parse-names":false,"suffix":""},{"dropping-particle":"","family":"Huang","given":"Pei Lin","non-dropping-particle":"","parse-names":false,"suffix":""},{"dropping-particle":"","family":"Joseph","given":"Amanda","non-dropping-particle":"","parse-names":false,"suffix":""},{"dropping-particle":"","family":"Park","given":"Tae Woo","non-dropping-particle":"","parse-names":false,"suffix":""},{"dropping-particle":"","family":"Budd","given":"Jeffrey","non-dropping-particle":"","parse-names":false,"suffix":""},{"dropping-particle":"","family":"Meenrajan","given":"Senthil","non-dropping-particle":"","parse-names":false,"suffix":""},{"dropping-particle":"","family":"Orlando","given":"Frank A.","non-dropping-particle":"","parse-names":false,"suffix":""},{"dropping-particle":"","family":"Pennington","given":"John","non-dropping-particle":"","parse-names":false,"suffix":""},{"dropping-particle":"","family":"Schmidt","given":"Siegfried","non-dropping-particle":"","parse-names":false,"suffix":""},{"dropping-particle":"","family":"Shorr","given":"Ronald","non-dropping-particle":"","parse-names":false,"suffix":""},{"dropping-particle":"","family":"Uphold","given":"Constance R.","non-dropping-particle":"","parse-names":false,"suffix":""},{"dropping-particle":"","family":"Lo-Ciganic","given":"Wei Hsuan","non-dropping-particle":"","parse-names":false,"suffix":""}],"container-title":"Journal of Clinical Medicine","id":"ITEM-1","issue":"5","issued":{"date-parts":[["2023","3","1"]]},"page":"1788","publisher":"MDPI","title":"Deprescribing Strategies for Opioids and Benzodiazepines with Emphasis on Concurrent Use: A Scoping Review","type":"article-journal","volume":"12"},"uris":["http://www.mendeley.com/documents/?uuid=ce0b6bcd-3332-3d66-8a4a-ed78ae00b700"]}],"mendeley":{"formattedCitation":"&lt;sup&gt;18&lt;/sup&gt;","plainTextFormattedCitation":"18","previouslyFormattedCitation":"&lt;sup&gt;18&lt;/sup&gt;"},"properties":{"noteIndex":0},"schema":"https://github.com/citation-style-language/schema/raw/master/csl-citation.json"}</w:instrText>
      </w:r>
      <w:r>
        <w:rPr>
          <w:b/>
          <w:bCs/>
        </w:rPr>
        <w:fldChar w:fldCharType="separate"/>
      </w:r>
      <w:r w:rsidRPr="00EF0818">
        <w:rPr>
          <w:bCs/>
          <w:noProof/>
          <w:vertAlign w:val="superscript"/>
        </w:rPr>
        <w:t>18</w:t>
      </w:r>
      <w:r>
        <w:rPr>
          <w:b/>
          <w:bCs/>
        </w:rPr>
        <w:fldChar w:fldCharType="end"/>
      </w:r>
    </w:p>
    <w:p w14:paraId="747FC565" w14:textId="77777777" w:rsidR="00961AA3" w:rsidRPr="008759D3" w:rsidRDefault="00961AA3" w:rsidP="00961AA3">
      <w:pPr>
        <w:pStyle w:val="ListParagraph"/>
        <w:numPr>
          <w:ilvl w:val="1"/>
          <w:numId w:val="3"/>
        </w:numPr>
        <w:jc w:val="both"/>
      </w:pPr>
      <w:r w:rsidRPr="008759D3">
        <w:t>resolution of pain or definitive pain relieving intervention (i.e. joint replacement)</w:t>
      </w:r>
    </w:p>
    <w:p w14:paraId="64C4A954" w14:textId="77777777" w:rsidR="00961AA3" w:rsidRPr="008759D3" w:rsidRDefault="00961AA3" w:rsidP="00961AA3">
      <w:pPr>
        <w:pStyle w:val="ListParagraph"/>
        <w:numPr>
          <w:ilvl w:val="1"/>
          <w:numId w:val="3"/>
        </w:numPr>
        <w:jc w:val="both"/>
      </w:pPr>
      <w:r w:rsidRPr="008759D3">
        <w:t>lack of improvement in pain control (less than 30% reduction in pain) (patients reporting moderate, severe or very severe pain regardless of opioid use) in 4 weeks</w:t>
      </w:r>
    </w:p>
    <w:p w14:paraId="67A0DC3F" w14:textId="77777777" w:rsidR="00961AA3" w:rsidRPr="008759D3" w:rsidRDefault="00961AA3" w:rsidP="00961AA3">
      <w:pPr>
        <w:pStyle w:val="ListParagraph"/>
        <w:numPr>
          <w:ilvl w:val="0"/>
          <w:numId w:val="3"/>
        </w:numPr>
        <w:jc w:val="both"/>
      </w:pPr>
      <w:r w:rsidRPr="008759D3">
        <w:rPr>
          <w:b/>
          <w:bCs/>
        </w:rPr>
        <w:t>Inappropriately long use of opioids</w:t>
      </w:r>
    </w:p>
    <w:p w14:paraId="212E49D6" w14:textId="77777777" w:rsidR="00961AA3" w:rsidRPr="008759D3" w:rsidRDefault="00961AA3" w:rsidP="00961AA3">
      <w:pPr>
        <w:pStyle w:val="ListParagraph"/>
        <w:numPr>
          <w:ilvl w:val="1"/>
          <w:numId w:val="3"/>
        </w:numPr>
        <w:jc w:val="both"/>
      </w:pPr>
      <w:r w:rsidRPr="008759D3">
        <w:t>use &gt;6 months for non-cancer pain is not recommended in older adults</w:t>
      </w:r>
    </w:p>
    <w:p w14:paraId="07D34E45" w14:textId="77777777" w:rsidR="00961AA3" w:rsidRPr="008759D3" w:rsidRDefault="00961AA3" w:rsidP="00961AA3">
      <w:pPr>
        <w:pStyle w:val="ListParagraph"/>
        <w:numPr>
          <w:ilvl w:val="0"/>
          <w:numId w:val="3"/>
        </w:numPr>
        <w:jc w:val="both"/>
        <w:rPr>
          <w:b/>
          <w:bCs/>
        </w:rPr>
      </w:pPr>
      <w:r w:rsidRPr="008759D3">
        <w:rPr>
          <w:b/>
          <w:bCs/>
        </w:rPr>
        <w:t xml:space="preserve">Safety concerns </w:t>
      </w:r>
      <w:r>
        <w:rPr>
          <w:b/>
          <w:bCs/>
        </w:rPr>
        <w:fldChar w:fldCharType="begin" w:fldLock="1"/>
      </w:r>
      <w:r>
        <w:rPr>
          <w:b/>
          <w:bCs/>
        </w:rPr>
        <w:instrText>ADDIN CSL_CITATION {"citationItems":[{"id":"ITEM-1","itemData":{"ISSN":"0002-0729","PMID":"28119312","author":[{"dropping-particle":"","family":"Lavan","given":"Amanda Hanora","non-dropping-particle":"","parse-names":false,"suffix":""},{"dropping-particle":"","family":"Gallagher","given":"Paul","non-dropping-particle":"","parse-names":false,"suffix":""},{"dropping-particle":"","family":"Parsons","given":"Carole","non-dropping-particle":"","parse-names":false,"suffix":""},{"dropping-particle":"","family":"O'mahony","given":"Denis","non-dropping-particle":"","parse-names":false,"suffix":""},{"dropping-particle":"","family":"Hanora Lavan","given":"Amanda","non-dropping-particle":"","parse-names":false,"suffix":""},{"dropping-particle":"","family":"Gallagher","given":"Paul","non-dropping-particle":"","parse-names":false,"suffix":""},{"dropping-particle":"","family":"Parsons","given":"Carole","non-dropping-particle":"","parse-names":false,"suffix":""},{"dropping-particle":"","family":"O'mahony","given":"Denis","non-dropping-particle":"","parse-names":false,"suffix":""}],"container-title":"Age and Ageing","id":"ITEM-1","issue":"4","issued":{"date-parts":[["2017","7","1"]]},"page":"600-607","publisher":"Oxford Academic","title":"STOPPFrail (Screening Tool of Older Persons Prescriptions in Frail adults with limited life expectancy): consensus validation","type":"article-journal","volume":"46"},"uris":["http://www.mendeley.com/documents/?uuid=07c4d0a4-0796-4ae3-b095-19262e1c3ce5"]}],"mendeley":{"formattedCitation":"&lt;sup&gt;19&lt;/sup&gt;","plainTextFormattedCitation":"19","previouslyFormattedCitation":"&lt;sup&gt;19&lt;/sup&gt;"},"properties":{"noteIndex":0},"schema":"https://github.com/citation-style-language/schema/raw/master/csl-citation.json"}</w:instrText>
      </w:r>
      <w:r>
        <w:rPr>
          <w:b/>
          <w:bCs/>
        </w:rPr>
        <w:fldChar w:fldCharType="separate"/>
      </w:r>
      <w:r w:rsidRPr="00CE6A66">
        <w:rPr>
          <w:bCs/>
          <w:noProof/>
          <w:vertAlign w:val="superscript"/>
        </w:rPr>
        <w:t>19</w:t>
      </w:r>
      <w:r>
        <w:rPr>
          <w:b/>
          <w:bCs/>
        </w:rPr>
        <w:fldChar w:fldCharType="end"/>
      </w:r>
    </w:p>
    <w:p w14:paraId="506E5108" w14:textId="77777777" w:rsidR="00961AA3" w:rsidRPr="008759D3" w:rsidRDefault="00961AA3" w:rsidP="00961AA3">
      <w:pPr>
        <w:pStyle w:val="ListParagraph"/>
        <w:numPr>
          <w:ilvl w:val="1"/>
          <w:numId w:val="3"/>
        </w:numPr>
        <w:jc w:val="both"/>
      </w:pPr>
      <w:r w:rsidRPr="008759D3">
        <w:t>patient presents with adverse effects which could be associated with opioid use (falls, dizziness, drowsiness, orthostatic hypotension, dry mouth, itchiness, nausea, urinary retention, constipation, respiratory depression, cognitive impairment, mood changes)</w:t>
      </w:r>
    </w:p>
    <w:p w14:paraId="332780F1" w14:textId="77777777" w:rsidR="00961AA3" w:rsidRPr="008759D3" w:rsidRDefault="00961AA3" w:rsidP="00961AA3">
      <w:pPr>
        <w:pStyle w:val="ListParagraph"/>
        <w:numPr>
          <w:ilvl w:val="1"/>
          <w:numId w:val="3"/>
        </w:numPr>
        <w:jc w:val="both"/>
      </w:pPr>
      <w:r w:rsidRPr="008759D3">
        <w:t xml:space="preserve">potential clinically significant drug-drug interactions (D or X as assessed by </w:t>
      </w:r>
      <w:proofErr w:type="spellStart"/>
      <w:r w:rsidRPr="008759D3">
        <w:t>Lexicomp</w:t>
      </w:r>
      <w:proofErr w:type="spellEnd"/>
      <w:r w:rsidRPr="008759D3">
        <w:rPr>
          <w:rFonts w:cstheme="minorHAnsi"/>
        </w:rPr>
        <w:t xml:space="preserve">®,  such as CNS depressants) which could increase risk of negative outcomes </w:t>
      </w:r>
    </w:p>
    <w:p w14:paraId="0D8A59A6" w14:textId="77777777" w:rsidR="00961AA3" w:rsidRPr="008759D3" w:rsidRDefault="00961AA3" w:rsidP="00961AA3">
      <w:pPr>
        <w:pStyle w:val="ListParagraph"/>
        <w:numPr>
          <w:ilvl w:val="0"/>
          <w:numId w:val="3"/>
        </w:numPr>
        <w:jc w:val="both"/>
        <w:rPr>
          <w:b/>
          <w:bCs/>
        </w:rPr>
      </w:pPr>
      <w:r w:rsidRPr="008759D3">
        <w:rPr>
          <w:b/>
          <w:bCs/>
        </w:rPr>
        <w:t xml:space="preserve">Inappropriate dose or dosing </w:t>
      </w:r>
    </w:p>
    <w:p w14:paraId="0F9DDC58" w14:textId="77777777" w:rsidR="00961AA3" w:rsidRPr="008759D3" w:rsidRDefault="00961AA3" w:rsidP="00961AA3">
      <w:pPr>
        <w:pStyle w:val="ListParagraph"/>
        <w:numPr>
          <w:ilvl w:val="1"/>
          <w:numId w:val="3"/>
        </w:numPr>
        <w:jc w:val="both"/>
      </w:pPr>
      <w:r w:rsidRPr="008759D3">
        <w:rPr>
          <w:rFonts w:cstheme="minorHAnsi"/>
        </w:rPr>
        <w:t xml:space="preserve">more than 50mg </w:t>
      </w:r>
      <w:proofErr w:type="spellStart"/>
      <w:r w:rsidRPr="008759D3">
        <w:rPr>
          <w:rFonts w:cstheme="minorHAnsi"/>
        </w:rPr>
        <w:t>oMME</w:t>
      </w:r>
      <w:proofErr w:type="spellEnd"/>
      <w:r w:rsidRPr="008759D3">
        <w:rPr>
          <w:rFonts w:cstheme="minorHAnsi"/>
        </w:rPr>
        <w:t xml:space="preserve"> for frail elderly </w:t>
      </w:r>
      <w:r w:rsidRPr="008759D3">
        <w:t>(those with clinical frailty score of 4 and above)</w:t>
      </w:r>
    </w:p>
    <w:p w14:paraId="361AE7CC" w14:textId="77777777" w:rsidR="00961AA3" w:rsidRPr="008759D3" w:rsidRDefault="00961AA3" w:rsidP="00961AA3">
      <w:pPr>
        <w:pStyle w:val="ListParagraph"/>
        <w:numPr>
          <w:ilvl w:val="1"/>
          <w:numId w:val="3"/>
        </w:numPr>
        <w:jc w:val="both"/>
      </w:pPr>
      <w:r w:rsidRPr="008759D3">
        <w:rPr>
          <w:rFonts w:cstheme="minorHAnsi"/>
        </w:rPr>
        <w:t xml:space="preserve">more than 90 mg </w:t>
      </w:r>
      <w:proofErr w:type="spellStart"/>
      <w:r w:rsidRPr="008759D3">
        <w:rPr>
          <w:rFonts w:cstheme="minorHAnsi"/>
        </w:rPr>
        <w:t>oMME</w:t>
      </w:r>
      <w:proofErr w:type="spellEnd"/>
      <w:r w:rsidRPr="008759D3">
        <w:rPr>
          <w:rFonts w:cstheme="minorHAnsi"/>
        </w:rPr>
        <w:t xml:space="preserve"> for non-frail elderly</w:t>
      </w:r>
    </w:p>
    <w:p w14:paraId="413B500E" w14:textId="77777777" w:rsidR="00961AA3" w:rsidRDefault="00961AA3" w:rsidP="00961AA3">
      <w:pPr>
        <w:rPr>
          <w:u w:val="single"/>
        </w:rPr>
      </w:pPr>
      <w:r>
        <w:rPr>
          <w:u w:val="single"/>
        </w:rPr>
        <w:br w:type="page"/>
      </w:r>
    </w:p>
    <w:p w14:paraId="1B7B05DA" w14:textId="77777777" w:rsidR="00961AA3" w:rsidRPr="008759D3" w:rsidRDefault="00961AA3" w:rsidP="00961AA3">
      <w:pPr>
        <w:jc w:val="both"/>
        <w:rPr>
          <w:u w:val="single"/>
        </w:rPr>
      </w:pPr>
      <w:r w:rsidRPr="008759D3">
        <w:rPr>
          <w:u w:val="single"/>
        </w:rPr>
        <w:lastRenderedPageBreak/>
        <w:t xml:space="preserve">Benzodiazepine receptor agonists </w:t>
      </w:r>
      <w:proofErr w:type="spellStart"/>
      <w:r w:rsidRPr="008759D3">
        <w:rPr>
          <w:u w:val="single"/>
        </w:rPr>
        <w:t>Deprescribing</w:t>
      </w:r>
      <w:proofErr w:type="spellEnd"/>
      <w:r w:rsidRPr="008759D3">
        <w:rPr>
          <w:u w:val="single"/>
        </w:rPr>
        <w:t xml:space="preserve"> criteria</w:t>
      </w:r>
      <w:r>
        <w:rPr>
          <w:u w:val="single"/>
        </w:rPr>
        <w:fldChar w:fldCharType="begin" w:fldLock="1"/>
      </w:r>
      <w:r>
        <w:rPr>
          <w:u w:val="single"/>
        </w:rPr>
        <w:instrText>ADDIN CSL_CITATION {"citationItems":[{"id":"ITEM-1","itemData":{"URL":"https://www.halmed.hr/Lijekovi/Baza-lijekova/#rezultati","accessed":{"date-parts":[["2023","2","26"]]},"author":[{"dropping-particle":"","family":"Agency for Medicinal Products and Medical Devices of Croatia","given":"HALMED","non-dropping-particle":"","parse-names":false,"suffix":""}],"container-title":"Medicinal Products Database","id":"ITEM-1","issued":{"date-parts":[["0"]]},"title":"Medicinal products database for dug group N05B and N05C (benzodiazepine receptor agonists)","type":"webpage"},"uris":["http://www.mendeley.com/documents/?uuid=3be15bea-625a-3d49-bf24-84820fc08723"]},{"id":"ITEM-2","itemData":{"abstract":"Long</w:instrText>
      </w:r>
      <w:r>
        <w:rPr>
          <w:rFonts w:ascii="Cambria Math" w:hAnsi="Cambria Math" w:cs="Cambria Math"/>
          <w:u w:val="single"/>
        </w:rPr>
        <w:instrText>‑</w:instrText>
      </w:r>
      <w:r>
        <w:rPr>
          <w:u w:val="single"/>
        </w:rPr>
        <w:instrText>term benzodiazepine receptor agonist (BZRA) use for insomnia is common and highly prevalent in\nadults in all care settings. Evidence syntheses suggest that the therapeutic benefits of benzodiazepines\nfor insomnia are marginal and very short term. On the harm side, BZRAs are associated with daytime\nsedation and confusion. Long</w:instrText>
      </w:r>
      <w:r>
        <w:rPr>
          <w:rFonts w:ascii="Cambria Math" w:hAnsi="Cambria Math" w:cs="Cambria Math"/>
          <w:u w:val="single"/>
        </w:rPr>
        <w:instrText>‑</w:instrText>
      </w:r>
      <w:r>
        <w:rPr>
          <w:u w:val="single"/>
        </w:rPr>
        <w:instrText>term use increases the risk of falls, fractures, cognitive impairment, and\nmotor vehicle accidents. An evidence</w:instrText>
      </w:r>
      <w:r>
        <w:rPr>
          <w:rFonts w:ascii="Cambria Math" w:hAnsi="Cambria Math" w:cs="Cambria Math"/>
          <w:u w:val="single"/>
        </w:rPr>
        <w:instrText>‑</w:instrText>
      </w:r>
      <w:r>
        <w:rPr>
          <w:u w:val="single"/>
        </w:rPr>
        <w:instrText>based clinical practice guideline has been developed to assist\nwith deprescribing BZRAs. This review highlights the rationale for deprescribing BZRAs used for insom</w:instrText>
      </w:r>
      <w:r>
        <w:rPr>
          <w:rFonts w:ascii="Cambria Math" w:hAnsi="Cambria Math" w:cs="Cambria Math"/>
          <w:u w:val="single"/>
        </w:rPr>
        <w:instrText>‑</w:instrText>
      </w:r>
      <w:r>
        <w:rPr>
          <w:u w:val="single"/>
        </w:rPr>
        <w:instrText xml:space="preserve">\nnia and summarizes key messages for clinicians from the new BZRA deprescribing guideline and their\nsupporting evidence.","author":[{"dropping-particle":"","family":"Lee","given":"Justin Y.","non-dropping-particle":"","parse-names":false,"suffix":""},{"dropping-particle":"","family":"Farrell","given":"Barbara","non-dropping-particle":"","parse-names":false,"suffix":""},{"dropping-particle":"","family":"Holbrook","given":"Anne M","non-dropping-particle":"","parse-names":false,"suffix":""}],"container-title":"Pol Arch Intern Med","id":"ITEM-2","issue":"1","issued":{"date-parts":[["2019"]]},"page":"43-49","title":"Deprescribing benzodiazepine receptor agonists taken for insomnia: a review and key messages from practice guidelines","type":"article-journal","volume":"129"},"uris":["http://www.mendeley.com/documents/?uuid=fd1a6994-49fe-30e3-8381-0a693dd29da3"]},{"id":"ITEM-3","itemData":{"abstract":"STEP 1 GO TO SECTION: Indication How to wean Alternative management Monitoring Evidence-based advice Summarised phrasing during admission and/or at discharge References This guide provides deprescribing information that can be applied to written and/or verbal communication (in the form of \"preferred language\") between clinicians, patients and/or carers. Adapt appropriately for individual patients. DEPRESCRIBING GUIDE FOR BENZODIAZEPINES AND Z DRUGS (including short-acting [e.g. alprazolam, oxazepam, temazepam] and intermediate/long-acting [e.g. diazepam, lorazepam, nitrazepam] benzodiazepines, and Z drugs [e.g. zopiclone, zolpidem]) STEP 1: SHOULD I DEPRESCRIBE? (PATIENT ASSESSMENT) Deprescribing triggers: • Inappropriate indication, no current indication, presence or risk of adverse events, drug interaction, drug-disease interaction, high drug burden index (DBI), 1 poor adherence, or patient preference. 1a) Is there a documented indication or symptoms supporting continued use? Inappropriate indication for continued use: • Long-term regular treatment of insomnia (beyond 2 weeks). • Behavioural and psychological symptoms in dementia. Do not deprescribe if: • Used for severe anxiety or grief, before consulting the treating psychiatrist or psychologist. • Used for acute alcohol withdrawal. • An acute physical or mental condition is aggravating insomnia, consider waiting for it to resolve before starting to wean. 1b) Are there adverse effects? Consider potential adverse effects: • Falls, dizziness, light-headedness, headaches, ataxia, slurred speech, blurred vision, confusion, drowsiness, oversedation, nightmares, impaired concentration (e.g. increased risk of car accidents), or dependence. 2 1c) Is this medication likely to cause more harm than benefit? See Evidence-based advice for additional information on risks of harm and benefits of continued use. 1d) Does the patient/carer agree with the recommendation to deprescribe? Following provision of information, discussion and shared-decision making, the patient or carer has communicated that they would like to proceed with or decline the deprescribing recommendation. PREFERRED LANGUAGE: (Adapt for each patient and medicine as appropriate) ___________ is currently taking ______________________________ for ____________________ , and is currently experiencing/at risk of _________________________. The _______________ outweighs the _______________ for continued use of ________________________. Discussed with ____…","author":[{"dropping-particle":"","family":"NSW Therapeutic Advisory Group","given":"Australia","non-dropping-particle":"","parse-names":false,"suffix":""}],"id":"ITEM-3","issued":{"date-parts":[["2018"]]},"number-of-pages":"1-4","title":"Deprescribing gudie for benzodiazepines and Z-drugs","type":"report"},"uris":["http://www.mendeley.com/documents/?uuid=85eb80b2-7632-3f3c-93dd-da1912ce0000"]},{"id":"ITEM-4","itemData":{"abstract":"Editor's key points </w:instrText>
      </w:r>
      <w:r>
        <w:rPr>
          <w:u w:val="single"/>
        </w:rPr>
        <w:instrText xml:space="preserve"> Benzodiazepine receptor agonist (BZRA) prescribing for insomnia is common in both community and long-term care. </w:instrText>
      </w:r>
      <w:r>
        <w:rPr>
          <w:u w:val="single"/>
        </w:rPr>
        <w:instrText xml:space="preserve"> The efficacy of BZRAs for insomnia can be diminished in as little as 4 weeks. </w:instrText>
      </w:r>
      <w:r>
        <w:rPr>
          <w:u w:val="single"/>
        </w:rPr>
        <w:instrText xml:space="preserve"> Use of BZRAs is associated with increased risk of falls, motor vehicle accidents, memory problems, and daytime sedation-risks that might be increased in the elderly. Choosing Wisely Canada recommends that BZRAs should be avoided as first-line treatment of insomnia in older persons. </w:instrText>
      </w:r>
      <w:r>
        <w:rPr>
          <w:u w:val="single"/>
        </w:rPr>
        <w:instrText xml:space="preserve"> A systematic review of BZRA deprescribing in patients demonstrated successful outcomes. The most common withdrawal symptoms were mild, short-term (days to weeks) insomnia, anxiety, and restlessness. There was no evidence of severe withdrawal (eg, seizures) symptoms. </w:instrText>
      </w:r>
      <w:r>
        <w:rPr>
          <w:u w:val="single"/>
        </w:rPr>
        <w:instrText> This guideline recommends that deprescribing of BZRAs (by tapering) be offered to all adults who take BZRAs, especially those aged 65 and older. Discuss with your patients and their caregivers the harms of continued use, decreased efficacy over time, tapering options, recommendations for monitoring, and potential withdrawal symptoms. Abstract Objective To develop an evidence-based guideline to help clinicians make decisions about when and how to safely taper and stop benzodiazepine receptor agonists (BZRAs); to focus on the highest level of evidence available and seek input from primary care professionals in the guideline development, review, and endorsement processes. Methods The overall team comprised 8 clinicians (1 family physician, 2 psychiatrists, 1 clinical psychologist, 1 clinical pharmacologist, 2 clinical pharmacists, and 1 geriatrician) and a methodologist; members disclosed conflicts of interest. For guideline development, a systematic process was used, including the GRADE (Grading of Recommendations Assessment, Development and Evaluation) approach. Evidence was generated by conducting a systematic review of BZRA deprescribing trials for insomnia, as well as performing a review of reviews of the harms of continued BZRA use and narrative syntheses of patient preferences and resource implications. This evidence and GRADE quality of evidence ratings were used to generate recommendations. The team refined guideline content and recommendations through consensus and synthesized clinical considerations to address front-line clinician questions. The draft guideline was reviewed by clinicians and stakeholders. Recommendations We recommend that deprescribing (tapering slowly) of BZRAs be offered …","author":[{"dropping-particle":"","family":"Pottie","given":"Kevin","non-dropping-particle":"","parse-names":false,"suffix":""},{"dropping-particle":"","family":"Fcfp","given":"Ccfp","non-dropping-particle":"","parse-names":false,"suffix":""},{"dropping-particle":"","family":"Thompson","given":"Wade","non-dropping-particle":"","parse-names":false,"suffix":""},{"dropping-particle":"","family":"Msc","given":"Rph","non-dropping-particle":"","parse-names":false,"suffix":""},{"dropping-particle":"","family":"Davies","given":"Simon","non-dropping-particle":"","parse-names":false,"suffix":""},{"dropping-particle":"","family":"Mb","given":"D M","non-dropping-particle":"","parse-names":false,"suffix":""},{"dropping-particle":"","family":"Grenier","given":"Jean","non-dropping-particle":"","parse-names":false,"suffix":""},{"dropping-particle":"","family":"Cpsych","given":"Phd","non-dropping-particle":"","parse-names":false,"suffix":""},{"dropping-particle":"","family":"Sadowski","given":"Cheryl A","non-dropping-particle":"","parse-names":false,"suffix":""},{"dropping-particle":"","family":"Welch","given":"Vivian","non-dropping-particle":"","parse-names":false,"suffix":""},{"dropping-particle":"","family":"Holbrook","given":"Anne","non-dropping-particle":"","parse-names":false,"suffix":""},{"dropping-particle":"","family":"Boyd","given":"Cynthia","non-dropping-particle":"","parse-names":false,"suffix":""},{"dropping-particle":"","family":"Swenson","given":"Robert","non-dropping-particle":"","parse-names":false,"suffix":""},{"dropping-particle":"","family":"Ma","given":"Andy","non-dropping-particle":"","parse-names":false,"suffix":""},{"dropping-particle":"","family":"Farrell","given":"Barbara","non-dropping-particle":"","parse-names":false,"suffix":""},{"dropping-particle":"","family":"Fcshp","given":"Pharmd Acpr","non-dropping-particle":"","parse-names":false,"suffix":""}],"id":"ITEM-4","issued":{"date-parts":[["2018"]]},"title":"Deprescribing benzodiazepine receptor agonists Evidence-based clinical practice guideline","type":"article-journal","volume":"64"},"uris":["http://www.mendeley.com/documents/?uuid=8d972e42-c3db-34f6-8a07-cabe0d52d19e"]},{"id":"ITEM-5","itemData":{"author":[{"dropping-particle":"","family":"Primary health Tasmania","given":"Australia","non-dropping-particle":"","parse-names":false,"suffix":""}],"id":"ITEM-5","issued":{"date-parts":[["2019"]]},"number-of-pages":"1-6","title":"A guide to benzodiazepines recommended deprescribing strategy","type":"report"},"uris":["http://www.mendeley.com/documents/?uuid=410d7cb5-ee30-3305-ba76-f1262a13b43e"]},{"id":"ITEM-6","itemData":{"author":[{"dropping-particle":"","family":"Primary health Tasmania","given":"Australia","non-dropping-particle":"","parse-names":false,"suffix":""}],"id":"ITEM-6","issued":{"date-parts":[["2016"]]},"number-of-pages":"1-2","title":"A guide to the use of benzodiazepines in older adults","type":"report"},"uris":["http://www.mendeley.com/documents/?uuid=43aa7af6-a567-322c-9ff8-eeeee3b47074"]},{"id":"ITEM-7","itemData":{"URL":"https://www.racgp.org.au/clinical-resources/clinical-guidelines/key-racgp-guidelines/view-all-racgp-guidelines/drugs-of-dependence/part-b/evidence-based-guidance-for-benzodiazepines","accessed":{"date-parts":[["2023","2","22"]]},"author":[{"dropping-particle":"","family":"The Royal Australian College of Generl Practitioners","given":"RACGP","non-dropping-particle":"","parse-names":false,"suffix":""}],"container-title":"Prescribing drugs of dependence in general practice","id":"ITEM-7","issued":{"date-parts":[["0"]]},"title":"Evidence-based guidance for benzodiazepines","type":"webpage"},"uris":["http://www.mendeley.com/documents/?uuid=6cab695d-e710-3625-bf43-9ad50a650a93"]},{"id":"ITEM-8","itemData":{"DOI":"10.1111/GGI.13062","ISSN":"1447-0594","PMID":"28544188","abstract":"Aim: To create a tool to identify drugs and clinical situations that offers an opportunity of deprescribing in patients with multimorbidity. Methods: A literature review completed with electronic brainstorming, and subsequently, a panel of experts using the Delphi methodology were applied. The experts assessed the criteria identified in the literature and brainstorming as possible situations for deprescribing. They were also asked to assess the influence of life prognosis in each criterion. A tool was composed of the most appropriate criteria according to the strength of their evidence, usefulness in patients with multimorbidity and applicability in clinical practice. Results: Out of a total of 100, 27 criteria were selected to be included in the final list. It was named the LESS-CHRON criteria (List of Evidence-baSed depreScribing for CHRONic patients), and was organized by the anatomical group of the Anatomical, Therapeutic, Chemical (ATC) classification system of the drug to be deprescribed. Each criterion contains: drug indication for which it is prescribed, clinical situation that offers an opportunity to deprescribe, clinical variable to be monitored and the minimum time to follow up the patient after deprescribing. Conclusions: The “LESS-CHRON criteria” are the result of a comprehensive and standardized methodology to identify clinical situations for deprescribing drugs in chronic patients with multimorbidity. Geriatr Gerontol Int 2017; 17: 2200–2207.","author":[{"dropping-particle":"","family":"Rodríguez-Pérez","given":"Aitana","non-dropping-particle":"","parse-names":false,"suffix":""},{"dropping-particle":"","family":"Alfaro-Lara","given":"Eva Rocío","non-dropping-particle":"","parse-names":false,"suffix":""},{"dropping-particle":"","family":"Albiñana-Perez","given":"Sandra","non-dropping-particle":"","parse-names":false,"suffix":""},{"dropping-particle":"","family":"Nieto-Martín","given":"María Dolores","non-dropping-particle":"","parse-names":false,"suffix":""},{"dropping-particle":"","family":"Díez-Manglano","given":"Jesús","non-dropping-particle":"","parse-names":false,"suffix":""},{"dropping-particle":"","family":"Pérez-Guerrero","given":"Concepción","non-dropping-particle":"","parse-names":false,"suffix":""},{"dropping-particle":"","family":"Santos-Ramos","given":"Bernardo","non-dropping-particle":"","parse-names":false,"suffix":""}],"container-title":"Geriatrics &amp; gerontology international","id":"ITEM-8","issue":"11","issued":{"date-parts":[["2017","11","1"]]},"page":"2200-2207","publisher":"Geriatr Gerontol Int","title":"Novel tool for deprescribing in chronic patients with multimorbidity: List of Evidence-Based Deprescribing for Chronic Patients criteria","type":"article-journal","volume":"17"},"uris":["http://www.mendeley.com/documents/?uuid=6f6ce348-d6b5-39ca-a804-ef014f95f0a5"]}],"mendeley":{"formattedCitation":"&lt;sup&gt;20–27&lt;/sup&gt;","plainTextFormattedCitation":"20–27"},"properties":{"noteIndex":0},"schema":"https://github.com/citation-style-language/schema/raw/master/csl-citation.json"}</w:instrText>
      </w:r>
      <w:r>
        <w:rPr>
          <w:u w:val="single"/>
        </w:rPr>
        <w:fldChar w:fldCharType="separate"/>
      </w:r>
      <w:r w:rsidRPr="00BD0E55">
        <w:rPr>
          <w:noProof/>
          <w:vertAlign w:val="superscript"/>
        </w:rPr>
        <w:t>20–27</w:t>
      </w:r>
      <w:r>
        <w:rPr>
          <w:u w:val="single"/>
        </w:rPr>
        <w:fldChar w:fldCharType="end"/>
      </w:r>
    </w:p>
    <w:p w14:paraId="599C2AB9" w14:textId="77777777" w:rsidR="00961AA3" w:rsidRDefault="00961AA3" w:rsidP="00961AA3">
      <w:pPr>
        <w:jc w:val="both"/>
      </w:pPr>
      <w:r>
        <w:t xml:space="preserve">BZN available: alprazolam, diazepam, lorazepam, </w:t>
      </w:r>
      <w:proofErr w:type="spellStart"/>
      <w:r>
        <w:t>oxazepam</w:t>
      </w:r>
      <w:proofErr w:type="spellEnd"/>
      <w:r>
        <w:t xml:space="preserve">, </w:t>
      </w:r>
      <w:proofErr w:type="spellStart"/>
      <w:r>
        <w:t>nitrazepam</w:t>
      </w:r>
      <w:proofErr w:type="spellEnd"/>
      <w:r>
        <w:t xml:space="preserve">, </w:t>
      </w:r>
      <w:proofErr w:type="spellStart"/>
      <w:r>
        <w:t>bromazepam</w:t>
      </w:r>
      <w:proofErr w:type="spellEnd"/>
      <w:r>
        <w:t xml:space="preserve">, clonazepam, midazolam, zolpidem, </w:t>
      </w:r>
      <w:proofErr w:type="spellStart"/>
      <w:r>
        <w:t>zopicolne</w:t>
      </w:r>
      <w:proofErr w:type="spellEnd"/>
    </w:p>
    <w:p w14:paraId="571FF3B1" w14:textId="77777777" w:rsidR="00961AA3" w:rsidRPr="008759D3" w:rsidRDefault="00961AA3" w:rsidP="00961AA3">
      <w:pPr>
        <w:ind w:firstLine="720"/>
        <w:jc w:val="both"/>
      </w:pPr>
      <w:r w:rsidRPr="008759D3">
        <w:t xml:space="preserve">Consider </w:t>
      </w:r>
      <w:proofErr w:type="spellStart"/>
      <w:r w:rsidRPr="008759D3">
        <w:t>deprescribing</w:t>
      </w:r>
      <w:proofErr w:type="spellEnd"/>
      <w:r w:rsidRPr="008759D3">
        <w:t xml:space="preserve"> if prescribed for primary insomnia or secondary insomnia where the primary underlying comorbidity is managed. Those older than 65 years should avoid benzodiazepine as first line therapy. For those 18 to 64 years </w:t>
      </w:r>
      <w:proofErr w:type="spellStart"/>
      <w:r w:rsidRPr="008759D3">
        <w:t>deprescribing</w:t>
      </w:r>
      <w:proofErr w:type="spellEnd"/>
      <w:r w:rsidRPr="008759D3">
        <w:t xml:space="preserve"> should be limited to 4 weeks of therapy. </w:t>
      </w:r>
    </w:p>
    <w:p w14:paraId="7FD4AA22" w14:textId="77777777" w:rsidR="00961AA3" w:rsidRPr="008759D3" w:rsidRDefault="00961AA3" w:rsidP="00961AA3">
      <w:pPr>
        <w:ind w:firstLine="720"/>
        <w:jc w:val="both"/>
      </w:pPr>
      <w:r w:rsidRPr="008759D3">
        <w:t>Benzodiazepines can be continued in those using them for other indications such as unmanaged anxiety or depression, physical or mental condition that may be causing or aggravating insomnia, during alcohol withdrawal, for other sleeping disorders such as restless leg syndrome, or if benzodiazepines are effective specifically for anxiety. Underlying conditions should be treated, and use of substances worsening insomnia should be limited and minimized.</w:t>
      </w:r>
    </w:p>
    <w:p w14:paraId="1C8FDC94" w14:textId="77777777" w:rsidR="00961AA3" w:rsidRPr="008759D3" w:rsidRDefault="00961AA3" w:rsidP="00961AA3">
      <w:pPr>
        <w:ind w:firstLine="360"/>
        <w:jc w:val="both"/>
      </w:pPr>
      <w:r w:rsidRPr="008759D3">
        <w:t>Taper slowly in collaboration with patient, for example 15-25% every 1-4 weeks, and if possible, 12.5% reductions near end and/or planned drug-free days (plan 6-8 weeks of tapering). One option (for patients using benzodiazepines for insomnia) is to advise not taking the agent one night a week for a week (or two), two nights the next week or two, three nights in the next, etc. Monitor patient every 1-2 weeks for duration of tapering. If dosage forms do not allow 25% reduction, consider 50% reduction initially and using drug-free days during latter part of tapering. If patients develop significant intolerant withdrawal or discontinuation symptoms, a return to the previous tapering step for a longer period of time (e.g. a month) often allows for a reattempt of dose reduction.</w:t>
      </w:r>
    </w:p>
    <w:p w14:paraId="560DE7EA" w14:textId="77777777" w:rsidR="00961AA3" w:rsidRPr="008759D3" w:rsidRDefault="00961AA3" w:rsidP="00961AA3">
      <w:pPr>
        <w:pStyle w:val="ListParagraph"/>
        <w:numPr>
          <w:ilvl w:val="0"/>
          <w:numId w:val="4"/>
        </w:numPr>
        <w:jc w:val="both"/>
        <w:rPr>
          <w:b/>
          <w:bCs/>
        </w:rPr>
      </w:pPr>
      <w:r w:rsidRPr="008759D3">
        <w:rPr>
          <w:b/>
          <w:bCs/>
        </w:rPr>
        <w:t xml:space="preserve">Lack of indication for use of benzodiazepines </w:t>
      </w:r>
      <w:r w:rsidRPr="008759D3">
        <w:t>(insomnia disorders, anxiety disorder managed with other medications)</w:t>
      </w:r>
    </w:p>
    <w:p w14:paraId="6E86E727" w14:textId="77777777" w:rsidR="00961AA3" w:rsidRPr="008759D3" w:rsidRDefault="00961AA3" w:rsidP="00961AA3">
      <w:pPr>
        <w:pStyle w:val="ListParagraph"/>
        <w:numPr>
          <w:ilvl w:val="1"/>
          <w:numId w:val="4"/>
        </w:numPr>
        <w:jc w:val="both"/>
        <w:rPr>
          <w:b/>
          <w:bCs/>
        </w:rPr>
      </w:pPr>
      <w:r w:rsidRPr="008759D3">
        <w:rPr>
          <w:rFonts w:cstheme="minorHAnsi"/>
        </w:rPr>
        <w:t>patient using two or more different benzodiazepines at the same time</w:t>
      </w:r>
    </w:p>
    <w:p w14:paraId="485EB9A1" w14:textId="77777777" w:rsidR="00961AA3" w:rsidRPr="008759D3" w:rsidRDefault="00961AA3" w:rsidP="00961AA3">
      <w:pPr>
        <w:pStyle w:val="ListParagraph"/>
        <w:numPr>
          <w:ilvl w:val="0"/>
          <w:numId w:val="4"/>
        </w:numPr>
        <w:jc w:val="both"/>
        <w:rPr>
          <w:b/>
          <w:bCs/>
        </w:rPr>
      </w:pPr>
      <w:r w:rsidRPr="008759D3">
        <w:rPr>
          <w:b/>
          <w:bCs/>
        </w:rPr>
        <w:t>Inappropriately long use of benzodiazepines</w:t>
      </w:r>
    </w:p>
    <w:p w14:paraId="75043611" w14:textId="77777777" w:rsidR="00961AA3" w:rsidRPr="008759D3" w:rsidRDefault="00961AA3" w:rsidP="00961AA3">
      <w:pPr>
        <w:pStyle w:val="ListParagraph"/>
        <w:numPr>
          <w:ilvl w:val="1"/>
          <w:numId w:val="4"/>
        </w:numPr>
        <w:jc w:val="both"/>
        <w:rPr>
          <w:b/>
          <w:bCs/>
        </w:rPr>
      </w:pPr>
      <w:r w:rsidRPr="008759D3">
        <w:t>use longer than 4-8 weeks for insomnia disorders (including time for tapering)</w:t>
      </w:r>
    </w:p>
    <w:p w14:paraId="3D9B2F8C" w14:textId="77777777" w:rsidR="00961AA3" w:rsidRPr="008759D3" w:rsidRDefault="00961AA3" w:rsidP="00961AA3">
      <w:pPr>
        <w:pStyle w:val="ListParagraph"/>
        <w:numPr>
          <w:ilvl w:val="1"/>
          <w:numId w:val="4"/>
        </w:numPr>
        <w:jc w:val="both"/>
        <w:rPr>
          <w:b/>
          <w:bCs/>
        </w:rPr>
      </w:pPr>
      <w:r w:rsidRPr="008759D3">
        <w:t>use longer than 12 weeks for anxiety disorders (including time for tapering)</w:t>
      </w:r>
    </w:p>
    <w:p w14:paraId="057BF3FE" w14:textId="77777777" w:rsidR="00961AA3" w:rsidRPr="008759D3" w:rsidRDefault="00961AA3" w:rsidP="00961AA3">
      <w:pPr>
        <w:pStyle w:val="ListParagraph"/>
        <w:numPr>
          <w:ilvl w:val="0"/>
          <w:numId w:val="4"/>
        </w:numPr>
        <w:jc w:val="both"/>
        <w:rPr>
          <w:b/>
          <w:bCs/>
        </w:rPr>
      </w:pPr>
      <w:r w:rsidRPr="008759D3">
        <w:rPr>
          <w:b/>
          <w:bCs/>
        </w:rPr>
        <w:t>Safety concerns</w:t>
      </w:r>
      <w:r>
        <w:rPr>
          <w:b/>
          <w:bCs/>
        </w:rPr>
        <w:fldChar w:fldCharType="begin" w:fldLock="1"/>
      </w:r>
      <w:r>
        <w:rPr>
          <w:b/>
          <w:bCs/>
        </w:rPr>
        <w:instrText>ADDIN CSL_CITATION {"citationItems":[{"id":"ITEM-1","itemData":{"DOI":"10.1093/AGEING/AFAA249","ISSN":"0002-0729","PMID":"33349863","abstract":"Background: Healthcare professionals are often reluctant to deprescribe fall-risk-increasing drugs (FRIDs). Lack of knowledge and skills form a significant barrier and furthermore, there is no consensus on which medications are considered as FRIDs despite several systematic reviews. To support clinicians in the management of FRIDs and to facilitate the deprescribing process, STOPPFall (Screening Tool of Older Persons Prescriptions in older adults with high fall risk) and a deprescribing tool were developed by a European expert group. Methods: STOPPFall was created by two facilitators based on evidence from recent meta-analyses and national fall prevention guidelines in Europe. Twenty-four panellists chose their level of agreement on a Likert scale with the items in the STOPPFall in three Delphi panel rounds. A threshold of 70% was selected for consensus a priori. The panellists were asked whether some agents are more fall-risk-increasing than others within the same pharmacological class. In an additional questionnaire, panellists were asked in which cases deprescribing of FRIDs should be considered and how it should be performed. Results: The panellists agreed on 14 medication classes to be included in the STOPPFall. They were mostly psychotropic medications. The panellists indicated 18 differences between pharmacological subclasses with regard to fall-risk-increasing properties. Practical deprescribing guidance was developed for STOPPFall medication classes. Conclusion: STOPPFall was created using an expert Delphi consensus process and combined with a practical deprescribing tool designed to optimise medication review. The effectiveness of these tools in falls prevention should be further evaluated in intervention studies.","author":[{"dropping-particle":"","family":"Seppala","given":"Lotta J.","non-dropping-particle":"","parse-names":false,"suffix":""},{"dropping-particle":"","family":"Petrovic","given":"Mirko","non-dropping-particle":"","parse-names":false,"suffix":""},{"dropping-particle":"","family":"Ryg","given":"Jesper","non-dropping-particle":"","parse-names":false,"suffix":""},{"dropping-particle":"","family":"Bahat","given":"Gulistan","non-dropping-particle":"","parse-names":false,"suffix":""},{"dropping-particle":"","family":"Topinkova","given":"Eva","non-dropping-particle":"","parse-names":false,"suffix":""},{"dropping-particle":"","family":"Szczerbinska","given":"Katarzyna","non-dropping-particle":"","parse-names":false,"suffix":""},{"dropping-particle":"","family":"Cammen","given":"Tischa J.M.","non-dropping-particle":"van der","parse-names":false,"suffix":""},{"dropping-particle":"","family":"Hartikainen","given":"Sirpa","non-dropping-particle":"","parse-names":false,"suffix":""},{"dropping-particle":"","family":"Ilhan","given":"Birkan","non-dropping-particle":"","parse-names":false,"suffix":""},{"dropping-particle":"","family":"Landi","given":"Francesco","non-dropping-particle":"","parse-names":false,"suffix":""},{"dropping-particle":"","family":"Morrissey","given":"Yvonne","non-dropping-particle":"","parse-names":false,"suffix":""},{"dropping-particle":"","family":"Mair","given":"Alpana","non-dropping-particle":"","parse-names":false,"suffix":""},{"dropping-particle":"","family":"Gutiérrez-Valencia","given":"Marta","non-dropping-particle":"","parse-names":false,"suffix":""},{"dropping-particle":"","family":"Emmelot-Vonk","given":"Marielle H.","non-dropping-particle":"","parse-names":false,"suffix":""},{"dropping-particle":"","family":"Ángeles Caballero Mora","given":"María","non-dropping-particle":"","parse-names":false,"suffix":""},{"dropping-particle":"","family":"Denkinger","given":"Michael","non-dropping-particle":"","parse-names":false,"suffix":""},{"dropping-particle":"","family":"Crome","given":"Peter","non-dropping-particle":"","parse-names":false,"suffix":""},{"dropping-particle":"","family":"Jackson","given":"Stephen H.D.","non-dropping-particle":"","parse-names":false,"suffix":""},{"dropping-particle":"","family":"Correa-Pérez","given":"Andrea","non-dropping-particle":"","parse-names":false,"suffix":""},{"dropping-particle":"","family":"Knol","given":"Wilma","non-dropping-particle":"","parse-names":false,"suffix":""},{"dropping-particle":"","family":"Soulis","given":"George","non-dropping-particle":"","parse-names":false,"suffix":""},{"dropping-particle":"","family":"Gudmundsson","given":"Adalsteinn","non-dropping-particle":"","parse-names":false,"suffix":""},{"dropping-particle":"","family":"Ziere","given":"Gijsbertus","non-dropping-particle":"","parse-names":false,"suffix":""},{"dropping-particle":"","family":"Wehling","given":"Martin","non-dropping-particle":"","parse-names":false,"suffix":""},{"dropping-particle":"","family":"O’Mahony","given":"Denis","non-dropping-particle":"","parse-names":false,"suffix":""},{"dropping-particle":"","family":"Cherubini","given":"Antonio","non-dropping-particle":"","parse-names":false,"suffix":""},{"dropping-particle":"","family":"Velde","given":"Nathalie","non-dropping-particle":"van der","parse-names":false,"suffix":""}],"container-title":"Age and Ageing","id":"ITEM-1","issue":"4","issued":{"date-parts":[["2021","6","28"]]},"page":"1189-1199","publisher":"Oxford Academic","title":"STOPPFall (Screening Tool of Older Persons Prescriptions in older adults with high fall risk): a Delphi study by the EuGMS Task and Finish Group on Fall-Risk-Increasing Drugs","type":"article-journal","volume":"50"},"uris":["http://www.mendeley.com/documents/?uuid=cdd3c3fc-590f-3393-b3cb-1967f9321123"]}],"mendeley":{"formattedCitation":"&lt;sup&gt;28&lt;/sup&gt;","plainTextFormattedCitation":"28","previouslyFormattedCitation":"&lt;sup&gt;28&lt;/sup&gt;"},"properties":{"noteIndex":0},"schema":"https://github.com/citation-style-language/schema/raw/master/csl-citation.json"}</w:instrText>
      </w:r>
      <w:r>
        <w:rPr>
          <w:b/>
          <w:bCs/>
        </w:rPr>
        <w:fldChar w:fldCharType="separate"/>
      </w:r>
      <w:r w:rsidRPr="00BD0E55">
        <w:rPr>
          <w:bCs/>
          <w:noProof/>
          <w:vertAlign w:val="superscript"/>
        </w:rPr>
        <w:t>28</w:t>
      </w:r>
      <w:r>
        <w:rPr>
          <w:b/>
          <w:bCs/>
        </w:rPr>
        <w:fldChar w:fldCharType="end"/>
      </w:r>
      <w:r w:rsidRPr="008759D3">
        <w:rPr>
          <w:b/>
          <w:bCs/>
        </w:rPr>
        <w:t xml:space="preserve"> </w:t>
      </w:r>
    </w:p>
    <w:p w14:paraId="7F4BFA7C" w14:textId="77777777" w:rsidR="00961AA3" w:rsidRPr="008759D3" w:rsidRDefault="00961AA3" w:rsidP="00961AA3">
      <w:pPr>
        <w:pStyle w:val="ListParagraph"/>
        <w:numPr>
          <w:ilvl w:val="1"/>
          <w:numId w:val="4"/>
        </w:numPr>
        <w:jc w:val="both"/>
      </w:pPr>
      <w:r w:rsidRPr="008759D3">
        <w:t xml:space="preserve">patient presents with adverse effects which could be associated with inappropriate benzodiazepine use (falls, dizziness, drowsiness, hypotension, blurred vision, confusion, cognitive impairment, mood changes, ataxia, light-headedness, headaches, respiratory suppression, </w:t>
      </w:r>
      <w:proofErr w:type="spellStart"/>
      <w:r w:rsidRPr="008759D3">
        <w:t>oversedation</w:t>
      </w:r>
      <w:proofErr w:type="spellEnd"/>
      <w:r w:rsidRPr="008759D3">
        <w:t>, nightmares, impaired concentration)</w:t>
      </w:r>
    </w:p>
    <w:p w14:paraId="20D5757D" w14:textId="77777777" w:rsidR="00961AA3" w:rsidRPr="008759D3" w:rsidRDefault="00961AA3" w:rsidP="00961AA3">
      <w:pPr>
        <w:pStyle w:val="ListParagraph"/>
        <w:numPr>
          <w:ilvl w:val="1"/>
          <w:numId w:val="4"/>
        </w:numPr>
        <w:jc w:val="both"/>
      </w:pPr>
      <w:r w:rsidRPr="008759D3">
        <w:t xml:space="preserve">frail patients (those with clinical frailty score of 4 and above) </w:t>
      </w:r>
    </w:p>
    <w:p w14:paraId="3808FB6D" w14:textId="77777777" w:rsidR="00961AA3" w:rsidRPr="008759D3" w:rsidRDefault="00961AA3" w:rsidP="00961AA3">
      <w:pPr>
        <w:pStyle w:val="ListParagraph"/>
        <w:numPr>
          <w:ilvl w:val="1"/>
          <w:numId w:val="4"/>
        </w:numPr>
        <w:jc w:val="both"/>
        <w:rPr>
          <w:b/>
          <w:bCs/>
        </w:rPr>
      </w:pPr>
      <w:r w:rsidRPr="008759D3">
        <w:t xml:space="preserve">potential clinically significant drug-drug interactions (D or X as assessed by </w:t>
      </w:r>
      <w:proofErr w:type="spellStart"/>
      <w:r w:rsidRPr="008759D3">
        <w:t>Lexicomp</w:t>
      </w:r>
      <w:proofErr w:type="spellEnd"/>
      <w:r w:rsidRPr="008759D3">
        <w:rPr>
          <w:rFonts w:cstheme="minorHAnsi"/>
        </w:rPr>
        <w:t>®,  such as CNS depressants) which could increase risk of negative outcomes</w:t>
      </w:r>
    </w:p>
    <w:p w14:paraId="4BA25538" w14:textId="77777777" w:rsidR="00961AA3" w:rsidRPr="008759D3" w:rsidRDefault="00961AA3" w:rsidP="00961AA3">
      <w:pPr>
        <w:pStyle w:val="ListParagraph"/>
        <w:numPr>
          <w:ilvl w:val="0"/>
          <w:numId w:val="4"/>
        </w:numPr>
        <w:jc w:val="both"/>
        <w:rPr>
          <w:b/>
          <w:bCs/>
        </w:rPr>
      </w:pPr>
      <w:r w:rsidRPr="008759D3">
        <w:rPr>
          <w:b/>
          <w:bCs/>
        </w:rPr>
        <w:t>Inappropriate dose</w:t>
      </w:r>
      <w:r w:rsidRPr="008759D3">
        <w:rPr>
          <w:b/>
          <w:bCs/>
        </w:rPr>
        <w:fldChar w:fldCharType="begin" w:fldLock="1"/>
      </w:r>
      <w:r>
        <w:rPr>
          <w:b/>
          <w:bCs/>
        </w:rPr>
        <w:instrText>ADDIN CSL_CITATION {"citationItems":[{"id":"ITEM-1","itemData":{"URL":"https://www.halmed.hr/Lijekovi/Baza-lijekova/#rezultati","accessed":{"date-parts":[["2023","2","26"]]},"author":[{"dropping-particle":"","family":"Agency for Medicinal Products and Medical Devices of Croatia","given":"HALMED","non-dropping-particle":"","parse-names":false,"suffix":""}],"container-title":"Medicinal Products Database","id":"ITEM-1","issued":{"date-parts":[["0"]]},"title":"Medicinal products database for dug group N05B and N05C (benzodiazepine receptor agonists)","type":"webpage"},"uris":["http://www.mendeley.com/documents/?uuid=3be15bea-625a-3d49-bf24-84820fc08723"]},{"id":"ITEM-2","itemData":{"URL":"https://www.racgp.org.au/clinical-resources/clinical-guidelines/key-racgp-guidelines/view-all-racgp-guidelines/drugs-of-dependence/part-b/evidence-based-guidance-for-benzodiazepines","accessed":{"date-parts":[["2023","2","22"]]},"author":[{"dropping-particle":"","family":"The Royal Australian College of Generl Practitioners","given":"RACGP","non-dropping-particle":"","parse-names":false,"suffix":""}],"container-title":"Prescribing drugs of dependence in general practice","id":"ITEM-2","issued":{"date-parts":[["0"]]},"title":"Evidence-based guidance for benzodiazepines","type":"webpage"},"uris":["http://www.mendeley.com/documents/?uuid=6cab695d-e710-3625-bf43-9ad50a650a93"]}],"mendeley":{"formattedCitation":"&lt;sup&gt;20,26&lt;/sup&gt;","plainTextFormattedCitation":"20,26","previouslyFormattedCitation":"&lt;sup&gt;20,26&lt;/sup&gt;"},"properties":{"noteIndex":0},"schema":"https://github.com/citation-style-language/schema/raw/master/csl-citation.json"}</w:instrText>
      </w:r>
      <w:r w:rsidRPr="008759D3">
        <w:rPr>
          <w:b/>
          <w:bCs/>
        </w:rPr>
        <w:fldChar w:fldCharType="separate"/>
      </w:r>
      <w:r w:rsidRPr="00CE6A66">
        <w:rPr>
          <w:bCs/>
          <w:noProof/>
          <w:vertAlign w:val="superscript"/>
        </w:rPr>
        <w:t>20,26</w:t>
      </w:r>
      <w:r w:rsidRPr="008759D3">
        <w:rPr>
          <w:b/>
          <w:bCs/>
        </w:rPr>
        <w:fldChar w:fldCharType="end"/>
      </w:r>
    </w:p>
    <w:p w14:paraId="4646714C" w14:textId="3D01FC13" w:rsidR="00961AA3" w:rsidRPr="00961AA3" w:rsidRDefault="00961AA3" w:rsidP="00961AA3">
      <w:pPr>
        <w:pStyle w:val="ListParagraph"/>
        <w:numPr>
          <w:ilvl w:val="1"/>
          <w:numId w:val="4"/>
        </w:numPr>
        <w:jc w:val="both"/>
        <w:rPr>
          <w:b/>
          <w:bCs/>
        </w:rPr>
      </w:pPr>
      <w:r w:rsidRPr="008759D3">
        <w:t xml:space="preserve">patient using a higher than recommended daily dose for older adults (dose expressed as mg/day and based on information available from national summary of product characteristics and </w:t>
      </w:r>
      <w:proofErr w:type="spellStart"/>
      <w:r w:rsidRPr="008759D3">
        <w:t>Lexicomp</w:t>
      </w:r>
      <w:proofErr w:type="spellEnd"/>
      <w:r w:rsidRPr="008759D3">
        <w:t xml:space="preserve"> database) </w:t>
      </w:r>
    </w:p>
    <w:tbl>
      <w:tblPr>
        <w:tblStyle w:val="TableGrid"/>
        <w:tblpPr w:leftFromText="180" w:rightFromText="180" w:vertAnchor="page" w:horzAnchor="margin" w:tblpY="11761"/>
        <w:tblW w:w="11126" w:type="dxa"/>
        <w:tblLook w:val="04A0" w:firstRow="1" w:lastRow="0" w:firstColumn="1" w:lastColumn="0" w:noHBand="0" w:noVBand="1"/>
      </w:tblPr>
      <w:tblGrid>
        <w:gridCol w:w="902"/>
        <w:gridCol w:w="1047"/>
        <w:gridCol w:w="940"/>
        <w:gridCol w:w="1203"/>
        <w:gridCol w:w="1112"/>
        <w:gridCol w:w="1004"/>
        <w:gridCol w:w="1040"/>
        <w:gridCol w:w="1067"/>
        <w:gridCol w:w="979"/>
        <w:gridCol w:w="903"/>
        <w:gridCol w:w="929"/>
      </w:tblGrid>
      <w:tr w:rsidR="00961AA3" w:rsidRPr="008759D3" w14:paraId="1DB2B792" w14:textId="77777777" w:rsidTr="00961AA3">
        <w:trPr>
          <w:trHeight w:val="436"/>
        </w:trPr>
        <w:tc>
          <w:tcPr>
            <w:tcW w:w="902" w:type="dxa"/>
          </w:tcPr>
          <w:p w14:paraId="226937B1" w14:textId="77777777" w:rsidR="00961AA3" w:rsidRPr="008759D3" w:rsidRDefault="00961AA3" w:rsidP="00961AA3">
            <w:pPr>
              <w:pStyle w:val="ListParagraph"/>
              <w:ind w:left="0"/>
              <w:jc w:val="both"/>
              <w:rPr>
                <w:b/>
                <w:bCs/>
                <w:sz w:val="18"/>
                <w:szCs w:val="18"/>
              </w:rPr>
            </w:pPr>
          </w:p>
        </w:tc>
        <w:tc>
          <w:tcPr>
            <w:tcW w:w="1047" w:type="dxa"/>
          </w:tcPr>
          <w:p w14:paraId="398A4496" w14:textId="77777777" w:rsidR="00961AA3" w:rsidRPr="008759D3" w:rsidRDefault="00961AA3" w:rsidP="00961AA3">
            <w:pPr>
              <w:pStyle w:val="ListParagraph"/>
              <w:ind w:left="0"/>
              <w:jc w:val="both"/>
              <w:rPr>
                <w:b/>
                <w:bCs/>
                <w:sz w:val="18"/>
                <w:szCs w:val="18"/>
              </w:rPr>
            </w:pPr>
            <w:r w:rsidRPr="008759D3">
              <w:rPr>
                <w:b/>
                <w:bCs/>
                <w:sz w:val="18"/>
                <w:szCs w:val="18"/>
              </w:rPr>
              <w:t>alprazolam</w:t>
            </w:r>
          </w:p>
        </w:tc>
        <w:tc>
          <w:tcPr>
            <w:tcW w:w="940" w:type="dxa"/>
          </w:tcPr>
          <w:p w14:paraId="08760CAE" w14:textId="77777777" w:rsidR="00961AA3" w:rsidRPr="008759D3" w:rsidRDefault="00961AA3" w:rsidP="00961AA3">
            <w:pPr>
              <w:pStyle w:val="ListParagraph"/>
              <w:ind w:left="0"/>
              <w:jc w:val="both"/>
              <w:rPr>
                <w:b/>
                <w:bCs/>
                <w:sz w:val="18"/>
                <w:szCs w:val="18"/>
              </w:rPr>
            </w:pPr>
            <w:r w:rsidRPr="008759D3">
              <w:rPr>
                <w:b/>
                <w:bCs/>
                <w:sz w:val="18"/>
                <w:szCs w:val="18"/>
              </w:rPr>
              <w:t>diazepam</w:t>
            </w:r>
          </w:p>
        </w:tc>
        <w:tc>
          <w:tcPr>
            <w:tcW w:w="1203" w:type="dxa"/>
          </w:tcPr>
          <w:p w14:paraId="33D12F0D" w14:textId="77777777" w:rsidR="00961AA3" w:rsidRPr="008759D3" w:rsidRDefault="00961AA3" w:rsidP="00961AA3">
            <w:pPr>
              <w:pStyle w:val="ListParagraph"/>
              <w:ind w:left="0"/>
              <w:jc w:val="both"/>
              <w:rPr>
                <w:b/>
                <w:bCs/>
                <w:sz w:val="18"/>
                <w:szCs w:val="18"/>
              </w:rPr>
            </w:pPr>
            <w:proofErr w:type="spellStart"/>
            <w:r w:rsidRPr="008759D3">
              <w:rPr>
                <w:b/>
                <w:bCs/>
                <w:sz w:val="18"/>
                <w:szCs w:val="18"/>
              </w:rPr>
              <w:t>bromazepam</w:t>
            </w:r>
            <w:proofErr w:type="spellEnd"/>
          </w:p>
        </w:tc>
        <w:tc>
          <w:tcPr>
            <w:tcW w:w="1112" w:type="dxa"/>
          </w:tcPr>
          <w:p w14:paraId="7B06D644" w14:textId="77777777" w:rsidR="00961AA3" w:rsidRPr="008759D3" w:rsidRDefault="00961AA3" w:rsidP="00961AA3">
            <w:pPr>
              <w:pStyle w:val="ListParagraph"/>
              <w:ind w:left="0"/>
              <w:jc w:val="both"/>
              <w:rPr>
                <w:b/>
                <w:bCs/>
                <w:sz w:val="18"/>
                <w:szCs w:val="18"/>
              </w:rPr>
            </w:pPr>
            <w:r w:rsidRPr="008759D3">
              <w:rPr>
                <w:b/>
                <w:bCs/>
                <w:sz w:val="18"/>
                <w:szCs w:val="18"/>
              </w:rPr>
              <w:t>clonazepam</w:t>
            </w:r>
          </w:p>
        </w:tc>
        <w:tc>
          <w:tcPr>
            <w:tcW w:w="1004" w:type="dxa"/>
          </w:tcPr>
          <w:p w14:paraId="5056F905" w14:textId="77777777" w:rsidR="00961AA3" w:rsidRPr="008759D3" w:rsidRDefault="00961AA3" w:rsidP="00961AA3">
            <w:pPr>
              <w:pStyle w:val="ListParagraph"/>
              <w:ind w:left="0"/>
              <w:jc w:val="both"/>
              <w:rPr>
                <w:b/>
                <w:bCs/>
                <w:sz w:val="18"/>
                <w:szCs w:val="18"/>
              </w:rPr>
            </w:pPr>
            <w:r w:rsidRPr="008759D3">
              <w:rPr>
                <w:b/>
                <w:bCs/>
                <w:sz w:val="18"/>
                <w:szCs w:val="18"/>
              </w:rPr>
              <w:t>lorazepam</w:t>
            </w:r>
          </w:p>
        </w:tc>
        <w:tc>
          <w:tcPr>
            <w:tcW w:w="1040" w:type="dxa"/>
          </w:tcPr>
          <w:p w14:paraId="339C1AA5" w14:textId="77777777" w:rsidR="00961AA3" w:rsidRPr="008759D3" w:rsidRDefault="00961AA3" w:rsidP="00961AA3">
            <w:pPr>
              <w:pStyle w:val="ListParagraph"/>
              <w:ind w:left="0"/>
              <w:jc w:val="both"/>
              <w:rPr>
                <w:b/>
                <w:bCs/>
                <w:sz w:val="18"/>
                <w:szCs w:val="18"/>
              </w:rPr>
            </w:pPr>
            <w:r w:rsidRPr="008759D3">
              <w:rPr>
                <w:b/>
                <w:bCs/>
                <w:sz w:val="18"/>
                <w:szCs w:val="18"/>
              </w:rPr>
              <w:t>midazolam</w:t>
            </w:r>
          </w:p>
        </w:tc>
        <w:tc>
          <w:tcPr>
            <w:tcW w:w="1067" w:type="dxa"/>
          </w:tcPr>
          <w:p w14:paraId="06B70004" w14:textId="77777777" w:rsidR="00961AA3" w:rsidRPr="008759D3" w:rsidRDefault="00961AA3" w:rsidP="00961AA3">
            <w:pPr>
              <w:pStyle w:val="ListParagraph"/>
              <w:ind w:left="0"/>
              <w:jc w:val="both"/>
              <w:rPr>
                <w:b/>
                <w:bCs/>
                <w:sz w:val="18"/>
                <w:szCs w:val="18"/>
              </w:rPr>
            </w:pPr>
            <w:proofErr w:type="spellStart"/>
            <w:r w:rsidRPr="008759D3">
              <w:rPr>
                <w:b/>
                <w:bCs/>
                <w:sz w:val="18"/>
                <w:szCs w:val="18"/>
              </w:rPr>
              <w:t>nitrazepam</w:t>
            </w:r>
            <w:proofErr w:type="spellEnd"/>
          </w:p>
        </w:tc>
        <w:tc>
          <w:tcPr>
            <w:tcW w:w="979" w:type="dxa"/>
          </w:tcPr>
          <w:p w14:paraId="3588454A" w14:textId="77777777" w:rsidR="00961AA3" w:rsidRPr="008759D3" w:rsidRDefault="00961AA3" w:rsidP="00961AA3">
            <w:pPr>
              <w:pStyle w:val="ListParagraph"/>
              <w:ind w:left="0"/>
              <w:jc w:val="both"/>
              <w:rPr>
                <w:b/>
                <w:bCs/>
                <w:sz w:val="18"/>
                <w:szCs w:val="18"/>
              </w:rPr>
            </w:pPr>
            <w:proofErr w:type="spellStart"/>
            <w:r w:rsidRPr="008759D3">
              <w:rPr>
                <w:b/>
                <w:bCs/>
                <w:sz w:val="18"/>
                <w:szCs w:val="18"/>
              </w:rPr>
              <w:t>oxazepam</w:t>
            </w:r>
            <w:proofErr w:type="spellEnd"/>
          </w:p>
        </w:tc>
        <w:tc>
          <w:tcPr>
            <w:tcW w:w="903" w:type="dxa"/>
          </w:tcPr>
          <w:p w14:paraId="47D6E553" w14:textId="77777777" w:rsidR="00961AA3" w:rsidRPr="008759D3" w:rsidRDefault="00961AA3" w:rsidP="00961AA3">
            <w:pPr>
              <w:pStyle w:val="ListParagraph"/>
              <w:ind w:left="0"/>
              <w:jc w:val="both"/>
              <w:rPr>
                <w:b/>
                <w:bCs/>
                <w:sz w:val="18"/>
                <w:szCs w:val="18"/>
              </w:rPr>
            </w:pPr>
            <w:r w:rsidRPr="008759D3">
              <w:rPr>
                <w:b/>
                <w:bCs/>
                <w:sz w:val="18"/>
                <w:szCs w:val="18"/>
              </w:rPr>
              <w:t>zolpidem</w:t>
            </w:r>
          </w:p>
        </w:tc>
        <w:tc>
          <w:tcPr>
            <w:tcW w:w="929" w:type="dxa"/>
          </w:tcPr>
          <w:p w14:paraId="1A2878E5" w14:textId="77777777" w:rsidR="00961AA3" w:rsidRPr="008759D3" w:rsidRDefault="00961AA3" w:rsidP="00961AA3">
            <w:pPr>
              <w:pStyle w:val="ListParagraph"/>
              <w:ind w:left="0"/>
              <w:jc w:val="both"/>
              <w:rPr>
                <w:b/>
                <w:bCs/>
                <w:sz w:val="18"/>
                <w:szCs w:val="18"/>
              </w:rPr>
            </w:pPr>
            <w:proofErr w:type="spellStart"/>
            <w:r w:rsidRPr="008759D3">
              <w:rPr>
                <w:b/>
                <w:bCs/>
                <w:sz w:val="18"/>
                <w:szCs w:val="18"/>
              </w:rPr>
              <w:t>zopiclone</w:t>
            </w:r>
            <w:proofErr w:type="spellEnd"/>
          </w:p>
        </w:tc>
      </w:tr>
      <w:tr w:rsidR="00961AA3" w:rsidRPr="008759D3" w14:paraId="50FF544F" w14:textId="77777777" w:rsidTr="00961AA3">
        <w:trPr>
          <w:trHeight w:val="436"/>
        </w:trPr>
        <w:tc>
          <w:tcPr>
            <w:tcW w:w="902" w:type="dxa"/>
          </w:tcPr>
          <w:p w14:paraId="6C390F5D" w14:textId="77777777" w:rsidR="00961AA3" w:rsidRPr="008759D3" w:rsidRDefault="00961AA3" w:rsidP="00961AA3">
            <w:pPr>
              <w:pStyle w:val="ListParagraph"/>
              <w:ind w:left="0"/>
              <w:jc w:val="both"/>
              <w:rPr>
                <w:b/>
                <w:bCs/>
                <w:sz w:val="18"/>
                <w:szCs w:val="18"/>
              </w:rPr>
            </w:pPr>
            <w:r w:rsidRPr="008759D3">
              <w:rPr>
                <w:b/>
                <w:bCs/>
                <w:sz w:val="18"/>
                <w:szCs w:val="18"/>
              </w:rPr>
              <w:t>insomnia</w:t>
            </w:r>
          </w:p>
          <w:p w14:paraId="640F4CE2" w14:textId="77777777" w:rsidR="00961AA3" w:rsidRPr="008759D3" w:rsidRDefault="00961AA3" w:rsidP="00961AA3">
            <w:pPr>
              <w:pStyle w:val="ListParagraph"/>
              <w:ind w:left="0"/>
              <w:jc w:val="both"/>
              <w:rPr>
                <w:b/>
                <w:bCs/>
                <w:sz w:val="18"/>
                <w:szCs w:val="18"/>
              </w:rPr>
            </w:pPr>
            <w:r w:rsidRPr="008759D3">
              <w:rPr>
                <w:b/>
                <w:bCs/>
                <w:sz w:val="18"/>
                <w:szCs w:val="18"/>
              </w:rPr>
              <w:t xml:space="preserve">mg/day </w:t>
            </w:r>
          </w:p>
        </w:tc>
        <w:tc>
          <w:tcPr>
            <w:tcW w:w="1047" w:type="dxa"/>
          </w:tcPr>
          <w:p w14:paraId="3A055BBC" w14:textId="77777777" w:rsidR="00961AA3" w:rsidRPr="008759D3" w:rsidRDefault="00961AA3" w:rsidP="00961AA3">
            <w:pPr>
              <w:pStyle w:val="ListParagraph"/>
              <w:ind w:left="0"/>
              <w:jc w:val="both"/>
              <w:rPr>
                <w:b/>
                <w:bCs/>
                <w:i/>
                <w:iCs/>
                <w:sz w:val="18"/>
                <w:szCs w:val="18"/>
              </w:rPr>
            </w:pPr>
            <w:r w:rsidRPr="008759D3">
              <w:rPr>
                <w:b/>
                <w:bCs/>
                <w:i/>
                <w:iCs/>
                <w:sz w:val="18"/>
                <w:szCs w:val="18"/>
              </w:rPr>
              <w:t>NA</w:t>
            </w:r>
          </w:p>
        </w:tc>
        <w:tc>
          <w:tcPr>
            <w:tcW w:w="940" w:type="dxa"/>
          </w:tcPr>
          <w:p w14:paraId="7A9D08C5" w14:textId="77777777" w:rsidR="00961AA3" w:rsidRPr="008759D3" w:rsidRDefault="00961AA3" w:rsidP="00961AA3">
            <w:pPr>
              <w:pStyle w:val="ListParagraph"/>
              <w:ind w:left="0"/>
              <w:jc w:val="both"/>
              <w:rPr>
                <w:b/>
                <w:bCs/>
                <w:sz w:val="18"/>
                <w:szCs w:val="18"/>
              </w:rPr>
            </w:pPr>
            <w:r w:rsidRPr="008759D3">
              <w:rPr>
                <w:b/>
                <w:bCs/>
                <w:sz w:val="18"/>
                <w:szCs w:val="18"/>
              </w:rPr>
              <w:t>5</w:t>
            </w:r>
          </w:p>
        </w:tc>
        <w:tc>
          <w:tcPr>
            <w:tcW w:w="1203" w:type="dxa"/>
          </w:tcPr>
          <w:p w14:paraId="756666B9" w14:textId="77777777" w:rsidR="00961AA3" w:rsidRPr="008759D3" w:rsidRDefault="00961AA3" w:rsidP="00961AA3">
            <w:pPr>
              <w:pStyle w:val="ListParagraph"/>
              <w:ind w:left="0"/>
              <w:jc w:val="both"/>
              <w:rPr>
                <w:b/>
                <w:bCs/>
                <w:sz w:val="18"/>
                <w:szCs w:val="18"/>
              </w:rPr>
            </w:pPr>
            <w:r w:rsidRPr="008759D3">
              <w:rPr>
                <w:b/>
                <w:bCs/>
                <w:sz w:val="18"/>
                <w:szCs w:val="18"/>
              </w:rPr>
              <w:t>3</w:t>
            </w:r>
          </w:p>
        </w:tc>
        <w:tc>
          <w:tcPr>
            <w:tcW w:w="1112" w:type="dxa"/>
          </w:tcPr>
          <w:p w14:paraId="747FBC78" w14:textId="77777777" w:rsidR="00961AA3" w:rsidRPr="008759D3" w:rsidRDefault="00961AA3" w:rsidP="00961AA3">
            <w:pPr>
              <w:pStyle w:val="ListParagraph"/>
              <w:ind w:left="0"/>
              <w:jc w:val="both"/>
              <w:rPr>
                <w:b/>
                <w:bCs/>
                <w:sz w:val="18"/>
                <w:szCs w:val="18"/>
              </w:rPr>
            </w:pPr>
            <w:r w:rsidRPr="008759D3">
              <w:rPr>
                <w:b/>
                <w:bCs/>
                <w:i/>
                <w:iCs/>
                <w:sz w:val="18"/>
                <w:szCs w:val="18"/>
              </w:rPr>
              <w:t>NA</w:t>
            </w:r>
          </w:p>
        </w:tc>
        <w:tc>
          <w:tcPr>
            <w:tcW w:w="1004" w:type="dxa"/>
          </w:tcPr>
          <w:p w14:paraId="636E2BC5" w14:textId="77777777" w:rsidR="00961AA3" w:rsidRPr="008759D3" w:rsidRDefault="00961AA3" w:rsidP="00961AA3">
            <w:pPr>
              <w:pStyle w:val="ListParagraph"/>
              <w:ind w:left="0"/>
              <w:jc w:val="both"/>
              <w:rPr>
                <w:b/>
                <w:bCs/>
                <w:sz w:val="18"/>
                <w:szCs w:val="18"/>
              </w:rPr>
            </w:pPr>
            <w:r w:rsidRPr="008759D3">
              <w:rPr>
                <w:b/>
                <w:bCs/>
                <w:sz w:val="18"/>
                <w:szCs w:val="18"/>
              </w:rPr>
              <w:t>0.5-1</w:t>
            </w:r>
          </w:p>
        </w:tc>
        <w:tc>
          <w:tcPr>
            <w:tcW w:w="1040" w:type="dxa"/>
          </w:tcPr>
          <w:p w14:paraId="14921F3A" w14:textId="77777777" w:rsidR="00961AA3" w:rsidRPr="008759D3" w:rsidRDefault="00961AA3" w:rsidP="00961AA3">
            <w:pPr>
              <w:pStyle w:val="ListParagraph"/>
              <w:ind w:left="0"/>
              <w:jc w:val="both"/>
              <w:rPr>
                <w:b/>
                <w:bCs/>
                <w:sz w:val="18"/>
                <w:szCs w:val="18"/>
              </w:rPr>
            </w:pPr>
            <w:r w:rsidRPr="008759D3">
              <w:rPr>
                <w:b/>
                <w:bCs/>
                <w:sz w:val="18"/>
                <w:szCs w:val="18"/>
              </w:rPr>
              <w:t>7.5</w:t>
            </w:r>
          </w:p>
        </w:tc>
        <w:tc>
          <w:tcPr>
            <w:tcW w:w="1067" w:type="dxa"/>
          </w:tcPr>
          <w:p w14:paraId="44C4B4CF" w14:textId="77777777" w:rsidR="00961AA3" w:rsidRPr="008759D3" w:rsidRDefault="00961AA3" w:rsidP="00961AA3">
            <w:pPr>
              <w:pStyle w:val="ListParagraph"/>
              <w:ind w:left="0"/>
              <w:jc w:val="both"/>
              <w:rPr>
                <w:b/>
                <w:bCs/>
                <w:sz w:val="18"/>
                <w:szCs w:val="18"/>
              </w:rPr>
            </w:pPr>
            <w:r w:rsidRPr="008759D3">
              <w:rPr>
                <w:b/>
                <w:bCs/>
                <w:sz w:val="18"/>
                <w:szCs w:val="18"/>
              </w:rPr>
              <w:t>5</w:t>
            </w:r>
          </w:p>
        </w:tc>
        <w:tc>
          <w:tcPr>
            <w:tcW w:w="979" w:type="dxa"/>
          </w:tcPr>
          <w:p w14:paraId="495940A4" w14:textId="77777777" w:rsidR="00961AA3" w:rsidRPr="008759D3" w:rsidRDefault="00961AA3" w:rsidP="00961AA3">
            <w:pPr>
              <w:pStyle w:val="ListParagraph"/>
              <w:ind w:left="0"/>
              <w:jc w:val="both"/>
              <w:rPr>
                <w:b/>
                <w:bCs/>
                <w:sz w:val="18"/>
                <w:szCs w:val="18"/>
              </w:rPr>
            </w:pPr>
            <w:r w:rsidRPr="008759D3">
              <w:rPr>
                <w:b/>
                <w:bCs/>
                <w:sz w:val="18"/>
                <w:szCs w:val="18"/>
              </w:rPr>
              <w:t>20</w:t>
            </w:r>
          </w:p>
        </w:tc>
        <w:tc>
          <w:tcPr>
            <w:tcW w:w="903" w:type="dxa"/>
          </w:tcPr>
          <w:p w14:paraId="0011AC73" w14:textId="77777777" w:rsidR="00961AA3" w:rsidRPr="008759D3" w:rsidRDefault="00961AA3" w:rsidP="00961AA3">
            <w:pPr>
              <w:pStyle w:val="ListParagraph"/>
              <w:ind w:left="0"/>
              <w:jc w:val="both"/>
              <w:rPr>
                <w:b/>
                <w:bCs/>
                <w:sz w:val="18"/>
                <w:szCs w:val="18"/>
              </w:rPr>
            </w:pPr>
            <w:r w:rsidRPr="008759D3">
              <w:rPr>
                <w:b/>
                <w:bCs/>
                <w:sz w:val="18"/>
                <w:szCs w:val="18"/>
              </w:rPr>
              <w:t>5-10</w:t>
            </w:r>
          </w:p>
        </w:tc>
        <w:tc>
          <w:tcPr>
            <w:tcW w:w="929" w:type="dxa"/>
          </w:tcPr>
          <w:p w14:paraId="41115539" w14:textId="77777777" w:rsidR="00961AA3" w:rsidRPr="008759D3" w:rsidRDefault="00961AA3" w:rsidP="00961AA3">
            <w:pPr>
              <w:pStyle w:val="ListParagraph"/>
              <w:ind w:left="0"/>
              <w:jc w:val="both"/>
              <w:rPr>
                <w:b/>
                <w:bCs/>
                <w:sz w:val="18"/>
                <w:szCs w:val="18"/>
              </w:rPr>
            </w:pPr>
            <w:r w:rsidRPr="008759D3">
              <w:rPr>
                <w:b/>
                <w:bCs/>
                <w:sz w:val="18"/>
                <w:szCs w:val="18"/>
              </w:rPr>
              <w:t>3.75-7.5</w:t>
            </w:r>
          </w:p>
        </w:tc>
      </w:tr>
      <w:tr w:rsidR="00961AA3" w:rsidRPr="008759D3" w14:paraId="353B54FB" w14:textId="77777777" w:rsidTr="00961AA3">
        <w:trPr>
          <w:trHeight w:val="447"/>
        </w:trPr>
        <w:tc>
          <w:tcPr>
            <w:tcW w:w="902" w:type="dxa"/>
          </w:tcPr>
          <w:p w14:paraId="6E5231B0" w14:textId="77777777" w:rsidR="00961AA3" w:rsidRPr="008759D3" w:rsidRDefault="00961AA3" w:rsidP="00961AA3">
            <w:pPr>
              <w:pStyle w:val="ListParagraph"/>
              <w:ind w:left="0"/>
              <w:jc w:val="both"/>
              <w:rPr>
                <w:b/>
                <w:bCs/>
                <w:sz w:val="18"/>
                <w:szCs w:val="18"/>
              </w:rPr>
            </w:pPr>
            <w:r w:rsidRPr="008759D3">
              <w:rPr>
                <w:b/>
                <w:bCs/>
                <w:sz w:val="18"/>
                <w:szCs w:val="18"/>
              </w:rPr>
              <w:t>anxiety</w:t>
            </w:r>
          </w:p>
          <w:p w14:paraId="624928B8" w14:textId="77777777" w:rsidR="00961AA3" w:rsidRPr="008759D3" w:rsidRDefault="00961AA3" w:rsidP="00961AA3">
            <w:pPr>
              <w:pStyle w:val="ListParagraph"/>
              <w:ind w:left="0"/>
              <w:jc w:val="both"/>
              <w:rPr>
                <w:b/>
                <w:bCs/>
                <w:sz w:val="18"/>
                <w:szCs w:val="18"/>
              </w:rPr>
            </w:pPr>
            <w:r w:rsidRPr="008759D3">
              <w:rPr>
                <w:b/>
                <w:bCs/>
                <w:sz w:val="18"/>
                <w:szCs w:val="18"/>
              </w:rPr>
              <w:t>mg/day</w:t>
            </w:r>
          </w:p>
        </w:tc>
        <w:tc>
          <w:tcPr>
            <w:tcW w:w="1047" w:type="dxa"/>
          </w:tcPr>
          <w:p w14:paraId="2BABF762" w14:textId="77777777" w:rsidR="00961AA3" w:rsidRPr="008759D3" w:rsidRDefault="00961AA3" w:rsidP="00961AA3">
            <w:pPr>
              <w:pStyle w:val="ListParagraph"/>
              <w:ind w:left="0"/>
              <w:jc w:val="both"/>
              <w:rPr>
                <w:b/>
                <w:bCs/>
                <w:sz w:val="18"/>
                <w:szCs w:val="18"/>
              </w:rPr>
            </w:pPr>
            <w:r w:rsidRPr="008759D3">
              <w:rPr>
                <w:b/>
                <w:bCs/>
                <w:sz w:val="18"/>
                <w:szCs w:val="18"/>
              </w:rPr>
              <w:t>0.75</w:t>
            </w:r>
          </w:p>
        </w:tc>
        <w:tc>
          <w:tcPr>
            <w:tcW w:w="940" w:type="dxa"/>
          </w:tcPr>
          <w:p w14:paraId="7F3E2A96" w14:textId="77777777" w:rsidR="00961AA3" w:rsidRPr="008759D3" w:rsidRDefault="00961AA3" w:rsidP="00961AA3">
            <w:pPr>
              <w:pStyle w:val="ListParagraph"/>
              <w:ind w:left="0"/>
              <w:jc w:val="both"/>
              <w:rPr>
                <w:b/>
                <w:bCs/>
                <w:sz w:val="18"/>
                <w:szCs w:val="18"/>
              </w:rPr>
            </w:pPr>
            <w:r w:rsidRPr="008759D3">
              <w:rPr>
                <w:b/>
                <w:bCs/>
                <w:sz w:val="18"/>
                <w:szCs w:val="18"/>
              </w:rPr>
              <w:t>15</w:t>
            </w:r>
          </w:p>
        </w:tc>
        <w:tc>
          <w:tcPr>
            <w:tcW w:w="1203" w:type="dxa"/>
          </w:tcPr>
          <w:p w14:paraId="0EF4C158" w14:textId="77777777" w:rsidR="00961AA3" w:rsidRPr="008759D3" w:rsidRDefault="00961AA3" w:rsidP="00961AA3">
            <w:pPr>
              <w:pStyle w:val="ListParagraph"/>
              <w:ind w:left="0"/>
              <w:jc w:val="both"/>
              <w:rPr>
                <w:b/>
                <w:bCs/>
                <w:sz w:val="18"/>
                <w:szCs w:val="18"/>
              </w:rPr>
            </w:pPr>
            <w:r w:rsidRPr="008759D3">
              <w:rPr>
                <w:b/>
                <w:bCs/>
                <w:sz w:val="18"/>
                <w:szCs w:val="18"/>
              </w:rPr>
              <w:t>3</w:t>
            </w:r>
          </w:p>
        </w:tc>
        <w:tc>
          <w:tcPr>
            <w:tcW w:w="1112" w:type="dxa"/>
          </w:tcPr>
          <w:p w14:paraId="5EAA0264" w14:textId="77777777" w:rsidR="00961AA3" w:rsidRPr="008759D3" w:rsidRDefault="00961AA3" w:rsidP="00961AA3">
            <w:pPr>
              <w:pStyle w:val="ListParagraph"/>
              <w:ind w:left="0"/>
              <w:jc w:val="both"/>
              <w:rPr>
                <w:b/>
                <w:bCs/>
                <w:sz w:val="18"/>
                <w:szCs w:val="18"/>
              </w:rPr>
            </w:pPr>
            <w:r w:rsidRPr="008759D3">
              <w:rPr>
                <w:b/>
                <w:bCs/>
                <w:sz w:val="18"/>
                <w:szCs w:val="18"/>
              </w:rPr>
              <w:t>0.5</w:t>
            </w:r>
          </w:p>
        </w:tc>
        <w:tc>
          <w:tcPr>
            <w:tcW w:w="1004" w:type="dxa"/>
          </w:tcPr>
          <w:p w14:paraId="3B2AA3B9" w14:textId="77777777" w:rsidR="00961AA3" w:rsidRPr="008759D3" w:rsidRDefault="00961AA3" w:rsidP="00961AA3">
            <w:pPr>
              <w:pStyle w:val="ListParagraph"/>
              <w:ind w:left="0"/>
              <w:jc w:val="both"/>
              <w:rPr>
                <w:b/>
                <w:bCs/>
                <w:sz w:val="18"/>
                <w:szCs w:val="18"/>
              </w:rPr>
            </w:pPr>
            <w:r w:rsidRPr="008759D3">
              <w:rPr>
                <w:b/>
                <w:bCs/>
                <w:sz w:val="18"/>
                <w:szCs w:val="18"/>
              </w:rPr>
              <w:t>0.5-1</w:t>
            </w:r>
          </w:p>
        </w:tc>
        <w:tc>
          <w:tcPr>
            <w:tcW w:w="1040" w:type="dxa"/>
          </w:tcPr>
          <w:p w14:paraId="6DD7D189" w14:textId="77777777" w:rsidR="00961AA3" w:rsidRPr="008759D3" w:rsidRDefault="00961AA3" w:rsidP="00961AA3">
            <w:pPr>
              <w:pStyle w:val="ListParagraph"/>
              <w:ind w:left="0"/>
              <w:jc w:val="both"/>
              <w:rPr>
                <w:b/>
                <w:bCs/>
                <w:sz w:val="18"/>
                <w:szCs w:val="18"/>
              </w:rPr>
            </w:pPr>
            <w:r w:rsidRPr="008759D3">
              <w:rPr>
                <w:b/>
                <w:bCs/>
                <w:i/>
                <w:iCs/>
                <w:sz w:val="18"/>
                <w:szCs w:val="18"/>
              </w:rPr>
              <w:t>NA</w:t>
            </w:r>
          </w:p>
        </w:tc>
        <w:tc>
          <w:tcPr>
            <w:tcW w:w="1067" w:type="dxa"/>
          </w:tcPr>
          <w:p w14:paraId="0B8E731A" w14:textId="77777777" w:rsidR="00961AA3" w:rsidRPr="008759D3" w:rsidRDefault="00961AA3" w:rsidP="00961AA3">
            <w:pPr>
              <w:pStyle w:val="ListParagraph"/>
              <w:ind w:left="0"/>
              <w:jc w:val="both"/>
              <w:rPr>
                <w:b/>
                <w:bCs/>
                <w:sz w:val="18"/>
                <w:szCs w:val="18"/>
              </w:rPr>
            </w:pPr>
            <w:r w:rsidRPr="008759D3">
              <w:rPr>
                <w:b/>
                <w:bCs/>
                <w:i/>
                <w:iCs/>
                <w:sz w:val="18"/>
                <w:szCs w:val="18"/>
              </w:rPr>
              <w:t>NA</w:t>
            </w:r>
          </w:p>
        </w:tc>
        <w:tc>
          <w:tcPr>
            <w:tcW w:w="979" w:type="dxa"/>
          </w:tcPr>
          <w:p w14:paraId="72E26982" w14:textId="77777777" w:rsidR="00961AA3" w:rsidRPr="008759D3" w:rsidRDefault="00961AA3" w:rsidP="00961AA3">
            <w:pPr>
              <w:pStyle w:val="ListParagraph"/>
              <w:ind w:left="0"/>
              <w:jc w:val="both"/>
              <w:rPr>
                <w:b/>
                <w:bCs/>
                <w:sz w:val="18"/>
                <w:szCs w:val="18"/>
              </w:rPr>
            </w:pPr>
            <w:r w:rsidRPr="008759D3">
              <w:rPr>
                <w:b/>
                <w:bCs/>
                <w:sz w:val="18"/>
                <w:szCs w:val="18"/>
              </w:rPr>
              <w:t>10</w:t>
            </w:r>
          </w:p>
        </w:tc>
        <w:tc>
          <w:tcPr>
            <w:tcW w:w="903" w:type="dxa"/>
          </w:tcPr>
          <w:p w14:paraId="72F6A1DA" w14:textId="77777777" w:rsidR="00961AA3" w:rsidRPr="008759D3" w:rsidRDefault="00961AA3" w:rsidP="00961AA3">
            <w:pPr>
              <w:pStyle w:val="ListParagraph"/>
              <w:ind w:left="0"/>
              <w:jc w:val="both"/>
              <w:rPr>
                <w:b/>
                <w:bCs/>
                <w:sz w:val="18"/>
                <w:szCs w:val="18"/>
              </w:rPr>
            </w:pPr>
            <w:r w:rsidRPr="008759D3">
              <w:rPr>
                <w:b/>
                <w:bCs/>
                <w:i/>
                <w:iCs/>
                <w:sz w:val="18"/>
                <w:szCs w:val="18"/>
              </w:rPr>
              <w:t>NA</w:t>
            </w:r>
          </w:p>
        </w:tc>
        <w:tc>
          <w:tcPr>
            <w:tcW w:w="929" w:type="dxa"/>
          </w:tcPr>
          <w:p w14:paraId="7AAC0B52" w14:textId="77777777" w:rsidR="00961AA3" w:rsidRPr="008759D3" w:rsidRDefault="00961AA3" w:rsidP="00961AA3">
            <w:pPr>
              <w:pStyle w:val="ListParagraph"/>
              <w:ind w:left="0"/>
              <w:jc w:val="both"/>
              <w:rPr>
                <w:b/>
                <w:bCs/>
                <w:sz w:val="18"/>
                <w:szCs w:val="18"/>
              </w:rPr>
            </w:pPr>
            <w:r w:rsidRPr="008759D3">
              <w:rPr>
                <w:b/>
                <w:bCs/>
                <w:i/>
                <w:iCs/>
                <w:sz w:val="18"/>
                <w:szCs w:val="18"/>
              </w:rPr>
              <w:t>NA</w:t>
            </w:r>
          </w:p>
        </w:tc>
      </w:tr>
    </w:tbl>
    <w:p w14:paraId="1775497A" w14:textId="77777777" w:rsidR="00961AA3" w:rsidRDefault="00961AA3" w:rsidP="00961AA3">
      <w:r>
        <w:br w:type="page"/>
      </w:r>
    </w:p>
    <w:p w14:paraId="09909122" w14:textId="77777777" w:rsidR="00961AA3" w:rsidRPr="008759D3" w:rsidRDefault="00961AA3" w:rsidP="00961AA3">
      <w:r w:rsidRPr="008759D3">
        <w:lastRenderedPageBreak/>
        <w:t>ADDITIONAL CONSIDERATIONS</w:t>
      </w:r>
      <w:r>
        <w:fldChar w:fldCharType="begin" w:fldLock="1"/>
      </w:r>
      <w:r>
        <w:instrText>ADDIN CSL_CITATION {"citationItems":[{"id":"ITEM-1","itemData":{"URL":"https://geriatricscareonline.org/ProductTypeStore/guidelines-recommendations-position-statements-/8/","author":[{"dropping-particle":"","family":"American Geriatrics Society","given":"","non-dropping-particle":"","parse-names":false,"suffix":""}],"id":"ITEM-1","issued":{"date-parts":[["0"]]},"title":"AGS Clinical Practice Guidelines and Recommendations","type":"webpage"},"uris":["http://www.mendeley.com/documents/?uuid=ff25fb3b-0d09-32b0-909d-c0d6cfa860b7"]},{"id":"ITEM-2","itemData":{"URL":"https://www.bgs.org.uk/resources/resource-series/clinical-guidelines","author":[{"dropping-particle":"","family":"British Geriatrics Society","given":"","non-dropping-particle":"","parse-names":false,"suffix":""}],"id":"ITEM-2","issued":{"date-parts":[["0"]]},"title":"Clinical guidelines","type":"webpage"},"uris":["http://www.mendeley.com/documents/?uuid=cc69dd09-50e3-33be-8d2c-4a5281d6c3f8"]}],"mendeley":{"formattedCitation":"&lt;sup&gt;29,30&lt;/sup&gt;","plainTextFormattedCitation":"29,30","previouslyFormattedCitation":"&lt;sup&gt;29,30&lt;/sup&gt;"},"properties":{"noteIndex":0},"schema":"https://github.com/citation-style-language/schema/raw/master/csl-citation.json"}</w:instrText>
      </w:r>
      <w:r>
        <w:fldChar w:fldCharType="separate"/>
      </w:r>
      <w:r w:rsidRPr="00BD0E55">
        <w:rPr>
          <w:noProof/>
          <w:vertAlign w:val="superscript"/>
        </w:rPr>
        <w:t>29,30</w:t>
      </w:r>
      <w:r>
        <w:fldChar w:fldCharType="end"/>
      </w:r>
      <w:r w:rsidRPr="008759D3">
        <w:t>:</w:t>
      </w:r>
    </w:p>
    <w:p w14:paraId="0A1C8797" w14:textId="77777777" w:rsidR="00961AA3" w:rsidRDefault="00961AA3" w:rsidP="00961AA3">
      <w:pPr>
        <w:ind w:firstLine="720"/>
        <w:jc w:val="both"/>
      </w:pPr>
      <w:r>
        <w:t>Under lack of indication all stated contraindications for use of particular medication need to be taken under consideration (</w:t>
      </w:r>
      <w:r w:rsidRPr="008759D3">
        <w:rPr>
          <w:i/>
          <w:iCs/>
        </w:rPr>
        <w:t>i.e</w:t>
      </w:r>
      <w:r>
        <w:rPr>
          <w:i/>
          <w:iCs/>
        </w:rPr>
        <w:t xml:space="preserve">. </w:t>
      </w:r>
      <w:r w:rsidRPr="00CB7335">
        <w:t>heart failure and chronic NSAID use, respiratory suppression and opioids</w:t>
      </w:r>
      <w:r>
        <w:t>).</w:t>
      </w:r>
    </w:p>
    <w:p w14:paraId="038A7537" w14:textId="77777777" w:rsidR="00961AA3" w:rsidRPr="008759D3" w:rsidRDefault="00961AA3" w:rsidP="00961AA3">
      <w:pPr>
        <w:ind w:firstLine="720"/>
        <w:jc w:val="both"/>
      </w:pPr>
      <w:r w:rsidRPr="008759D3">
        <w:t>If a patient was prescribed certain medication for other approved indications (</w:t>
      </w:r>
      <w:r w:rsidRPr="008759D3">
        <w:rPr>
          <w:i/>
          <w:iCs/>
        </w:rPr>
        <w:t xml:space="preserve">i.e. </w:t>
      </w:r>
      <w:r w:rsidRPr="008759D3">
        <w:t xml:space="preserve">diazepam/clonazepam for epilepsy, or muscle spasms) or for off-label indications, appropriateness for </w:t>
      </w:r>
      <w:proofErr w:type="spellStart"/>
      <w:r w:rsidRPr="008759D3">
        <w:t>deprescribing</w:t>
      </w:r>
      <w:proofErr w:type="spellEnd"/>
      <w:r w:rsidRPr="008759D3">
        <w:t xml:space="preserve"> was assessed based on diagnosis, safety criteria and frequency of use.</w:t>
      </w:r>
    </w:p>
    <w:p w14:paraId="71BF6BC9" w14:textId="77777777" w:rsidR="00961AA3" w:rsidRPr="008759D3" w:rsidRDefault="00961AA3" w:rsidP="00961AA3">
      <w:pPr>
        <w:ind w:firstLine="720"/>
        <w:jc w:val="both"/>
      </w:pPr>
      <w:r w:rsidRPr="008759D3">
        <w:t xml:space="preserve">Patients who reported ‘’I do not </w:t>
      </w:r>
      <w:proofErr w:type="gramStart"/>
      <w:r w:rsidRPr="008759D3">
        <w:t>know’’  (</w:t>
      </w:r>
      <w:proofErr w:type="gramEnd"/>
      <w:r w:rsidRPr="008759D3">
        <w:t>IDK) when it comes to length of medication use were considered to be long-term users based on reported symptoms and diagnosis (</w:t>
      </w:r>
      <w:r w:rsidRPr="008759D3">
        <w:rPr>
          <w:i/>
          <w:iCs/>
        </w:rPr>
        <w:t>i.e.</w:t>
      </w:r>
      <w:r w:rsidRPr="008759D3">
        <w:t xml:space="preserve"> reports chronic pain and IDK for when NSAID/OPIOID was started).</w:t>
      </w:r>
    </w:p>
    <w:p w14:paraId="5796EFAF" w14:textId="77777777" w:rsidR="00961AA3" w:rsidRPr="008759D3" w:rsidRDefault="00961AA3" w:rsidP="00961AA3">
      <w:pPr>
        <w:ind w:firstLine="720"/>
        <w:jc w:val="both"/>
      </w:pPr>
      <w:r w:rsidRPr="008759D3">
        <w:t xml:space="preserve">Reported </w:t>
      </w:r>
      <w:r w:rsidRPr="008759D3">
        <w:rPr>
          <w:i/>
          <w:iCs/>
        </w:rPr>
        <w:t xml:space="preserve">pro re </w:t>
      </w:r>
      <w:proofErr w:type="spellStart"/>
      <w:r w:rsidRPr="008759D3">
        <w:rPr>
          <w:i/>
          <w:iCs/>
        </w:rPr>
        <w:t>nata</w:t>
      </w:r>
      <w:proofErr w:type="spellEnd"/>
      <w:r w:rsidRPr="008759D3">
        <w:t xml:space="preserve"> use was reviewed according to stated frequency and severity symptoms and diagnoses. For example, if a patient reports PRN use of a NSAID, chronic pain, level of pain and current or past diagnosis of pain disorders are reviewed. Patients reporting use of analgesics more than three times a week were considered to be scheduled users and not PRN users.</w:t>
      </w:r>
      <w:r>
        <w:t xml:space="preserve"> </w:t>
      </w:r>
    </w:p>
    <w:p w14:paraId="5475FB8B" w14:textId="77777777" w:rsidR="00961AA3" w:rsidRPr="008759D3" w:rsidRDefault="00961AA3" w:rsidP="00961AA3">
      <w:pPr>
        <w:ind w:firstLine="720"/>
        <w:jc w:val="both"/>
      </w:pPr>
      <w:r w:rsidRPr="008759D3">
        <w:t>Adverse drug effects (ADE) were assessed based on reported frequency and severity of symptoms, changes in cognitive status, level of pain and pain control, and diagnosis. If a reported ADE could be contributed to more than one medication, the most likely correlation was chosen (</w:t>
      </w:r>
      <w:r w:rsidRPr="008759D3">
        <w:rPr>
          <w:i/>
          <w:iCs/>
        </w:rPr>
        <w:t>i.e.</w:t>
      </w:r>
      <w:r w:rsidRPr="008759D3">
        <w:t xml:space="preserve"> dizziness with simultaneous use of BZN and an NSIAD). If a certain patient had more than one medication which could cause the ADE, additional annotation was given (</w:t>
      </w:r>
      <w:r w:rsidRPr="008759D3">
        <w:rPr>
          <w:i/>
          <w:iCs/>
        </w:rPr>
        <w:t>i.e.</w:t>
      </w:r>
      <w:r w:rsidRPr="008759D3">
        <w:t xml:space="preserve"> patient reports leg oedema while using an NSIAD and Ca</w:t>
      </w:r>
      <w:r w:rsidRPr="008759D3">
        <w:rPr>
          <w:vertAlign w:val="superscript"/>
        </w:rPr>
        <w:t>2+</w:t>
      </w:r>
      <w:r w:rsidRPr="008759D3">
        <w:t xml:space="preserve"> channel blockers). </w:t>
      </w:r>
    </w:p>
    <w:p w14:paraId="4D3FDDB6" w14:textId="77777777" w:rsidR="00961AA3" w:rsidRDefault="00961AA3" w:rsidP="00961AA3">
      <w:pPr>
        <w:jc w:val="both"/>
      </w:pPr>
      <w:r>
        <w:t>REFERENCES:</w:t>
      </w:r>
    </w:p>
    <w:p w14:paraId="26295D45"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Pr="00BD0E55">
        <w:rPr>
          <w:rFonts w:ascii="Calibri" w:hAnsi="Calibri" w:cs="Calibri"/>
          <w:noProof/>
          <w:szCs w:val="24"/>
        </w:rPr>
        <w:t>1.</w:t>
      </w:r>
      <w:r w:rsidRPr="00BD0E55">
        <w:rPr>
          <w:rFonts w:ascii="Calibri" w:hAnsi="Calibri" w:cs="Calibri"/>
          <w:noProof/>
          <w:szCs w:val="24"/>
        </w:rPr>
        <w:tab/>
        <w:t xml:space="preserve">Farrell Pharmd B, Fcshp A, Pottie K, et al. Clinical Practice Guidelines Deprescribing proton pump inhibitors Evidence-based clinical practice guideline. </w:t>
      </w:r>
      <w:r w:rsidRPr="00BD0E55">
        <w:rPr>
          <w:rFonts w:ascii="Calibri" w:hAnsi="Calibri" w:cs="Calibri"/>
          <w:i/>
          <w:iCs/>
          <w:noProof/>
          <w:szCs w:val="24"/>
        </w:rPr>
        <w:t>Can Fam Physician • Le Médecin Fam Can</w:t>
      </w:r>
      <w:r w:rsidRPr="00BD0E55">
        <w:rPr>
          <w:rFonts w:ascii="Calibri" w:hAnsi="Calibri" w:cs="Calibri"/>
          <w:noProof/>
          <w:szCs w:val="24"/>
        </w:rPr>
        <w:t>. 2017;63.</w:t>
      </w:r>
    </w:p>
    <w:p w14:paraId="1BEBE4DA"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2.</w:t>
      </w:r>
      <w:r w:rsidRPr="00BD0E55">
        <w:rPr>
          <w:rFonts w:ascii="Calibri" w:hAnsi="Calibri" w:cs="Calibri"/>
          <w:noProof/>
          <w:szCs w:val="24"/>
        </w:rPr>
        <w:tab/>
        <w:t xml:space="preserve">Targownik LE, Fisher DA, Saini SD. AGA Clinical Practice Update on De-Prescribing of Proton Pump Inhibitors: Expert Review. </w:t>
      </w:r>
      <w:r w:rsidRPr="00BD0E55">
        <w:rPr>
          <w:rFonts w:ascii="Calibri" w:hAnsi="Calibri" w:cs="Calibri"/>
          <w:i/>
          <w:iCs/>
          <w:noProof/>
          <w:szCs w:val="24"/>
        </w:rPr>
        <w:t>Gastroenterology</w:t>
      </w:r>
      <w:r w:rsidRPr="00BD0E55">
        <w:rPr>
          <w:rFonts w:ascii="Calibri" w:hAnsi="Calibri" w:cs="Calibri"/>
          <w:noProof/>
          <w:szCs w:val="24"/>
        </w:rPr>
        <w:t>. 2022;162(4):1334-1342. doi:10.1053/j.gastro.2021.12.247</w:t>
      </w:r>
    </w:p>
    <w:p w14:paraId="43B74F4B"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3.</w:t>
      </w:r>
      <w:r w:rsidRPr="00BD0E55">
        <w:rPr>
          <w:rFonts w:ascii="Calibri" w:hAnsi="Calibri" w:cs="Calibri"/>
          <w:noProof/>
          <w:szCs w:val="24"/>
        </w:rPr>
        <w:tab/>
        <w:t xml:space="preserve">Katz PO, Dunbar KB, Schnoll-Sussman FH, Greer KB, Yadlapati R, Spechler SJ. ACG Clinical Guideline for the Diagnosis and Management of Gastroesophageal Reflux Disease. </w:t>
      </w:r>
      <w:r w:rsidRPr="00BD0E55">
        <w:rPr>
          <w:rFonts w:ascii="Calibri" w:hAnsi="Calibri" w:cs="Calibri"/>
          <w:i/>
          <w:iCs/>
          <w:noProof/>
          <w:szCs w:val="24"/>
        </w:rPr>
        <w:t>Am J Gastroenterol</w:t>
      </w:r>
      <w:r w:rsidRPr="00BD0E55">
        <w:rPr>
          <w:rFonts w:ascii="Calibri" w:hAnsi="Calibri" w:cs="Calibri"/>
          <w:noProof/>
          <w:szCs w:val="24"/>
        </w:rPr>
        <w:t>. 2022;117(1):27-56. doi:10.14309/AJG.0000000000001538</w:t>
      </w:r>
    </w:p>
    <w:p w14:paraId="6A69D0C0"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4.</w:t>
      </w:r>
      <w:r w:rsidRPr="00BD0E55">
        <w:rPr>
          <w:rFonts w:ascii="Calibri" w:hAnsi="Calibri" w:cs="Calibri"/>
          <w:noProof/>
          <w:szCs w:val="24"/>
        </w:rPr>
        <w:tab/>
        <w:t xml:space="preserve">Kanno T, Moayyedi P. Who Needs Gastroprotection in 2020? </w:t>
      </w:r>
      <w:r w:rsidRPr="00BD0E55">
        <w:rPr>
          <w:rFonts w:ascii="Calibri" w:hAnsi="Calibri" w:cs="Calibri"/>
          <w:i/>
          <w:iCs/>
          <w:noProof/>
          <w:szCs w:val="24"/>
        </w:rPr>
        <w:t>Curr Treat Options Gastroenterol</w:t>
      </w:r>
      <w:r w:rsidRPr="00BD0E55">
        <w:rPr>
          <w:rFonts w:ascii="Calibri" w:hAnsi="Calibri" w:cs="Calibri"/>
          <w:noProof/>
          <w:szCs w:val="24"/>
        </w:rPr>
        <w:t>. 2020;18(4):557. doi:10.1007/S11938-020-00316-9</w:t>
      </w:r>
    </w:p>
    <w:p w14:paraId="787A5427"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5.</w:t>
      </w:r>
      <w:r w:rsidRPr="00BD0E55">
        <w:rPr>
          <w:rFonts w:ascii="Calibri" w:hAnsi="Calibri" w:cs="Calibri"/>
          <w:noProof/>
          <w:szCs w:val="24"/>
        </w:rPr>
        <w:tab/>
        <w:t>Abrignani MG, Gatta L, Gabrielli D, et al. Gastroprotection in patients on antiplatelet and/or anticoagulant therapy: a position paper of National Association of Hospital Cardiologists (ANMCO) and the Italian Association of Hospital Gastroenterologists and Endoscopists (AIGO). 2021;85:1-13. doi:10.1016/J.EJIM.2020.11.014</w:t>
      </w:r>
    </w:p>
    <w:p w14:paraId="07FB466C"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6.</w:t>
      </w:r>
      <w:r w:rsidRPr="00BD0E55">
        <w:rPr>
          <w:rFonts w:ascii="Calibri" w:hAnsi="Calibri" w:cs="Calibri"/>
          <w:noProof/>
          <w:szCs w:val="24"/>
        </w:rPr>
        <w:tab/>
        <w:t xml:space="preserve">Primary health Tasmania A. </w:t>
      </w:r>
      <w:r w:rsidRPr="00BD0E55">
        <w:rPr>
          <w:rFonts w:ascii="Calibri" w:hAnsi="Calibri" w:cs="Calibri"/>
          <w:i/>
          <w:iCs/>
          <w:noProof/>
          <w:szCs w:val="24"/>
        </w:rPr>
        <w:t>Non- Steroidal Anti-Inflamatory Drugs Recommended Deprescribing Strategy (NSAIDs)</w:t>
      </w:r>
      <w:r w:rsidRPr="00BD0E55">
        <w:rPr>
          <w:rFonts w:ascii="Calibri" w:hAnsi="Calibri" w:cs="Calibri"/>
          <w:noProof/>
          <w:szCs w:val="24"/>
        </w:rPr>
        <w:t>.; 2019.</w:t>
      </w:r>
    </w:p>
    <w:p w14:paraId="4DC9403A"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7.</w:t>
      </w:r>
      <w:r w:rsidRPr="00BD0E55">
        <w:rPr>
          <w:rFonts w:ascii="Calibri" w:hAnsi="Calibri" w:cs="Calibri"/>
          <w:noProof/>
          <w:szCs w:val="24"/>
        </w:rPr>
        <w:tab/>
        <w:t xml:space="preserve">Rashid R, Chang C, Niu F, et al. Evaluation of a Pharmacist-Managed Nonsteroidal Anti-Inflammatory Drugs Deprescribing Program in an Integrated Health Care System. </w:t>
      </w:r>
      <w:r w:rsidRPr="00BD0E55">
        <w:rPr>
          <w:rFonts w:ascii="Calibri" w:hAnsi="Calibri" w:cs="Calibri"/>
          <w:i/>
          <w:iCs/>
          <w:noProof/>
          <w:szCs w:val="24"/>
        </w:rPr>
        <w:t>J Manag care Spec Pharm</w:t>
      </w:r>
      <w:r w:rsidRPr="00BD0E55">
        <w:rPr>
          <w:rFonts w:ascii="Calibri" w:hAnsi="Calibri" w:cs="Calibri"/>
          <w:noProof/>
          <w:szCs w:val="24"/>
        </w:rPr>
        <w:t>. 2020;26(7):918-924. doi:10.18553/JMCP.2020.26.7.918</w:t>
      </w:r>
    </w:p>
    <w:p w14:paraId="3CB1C43E"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8.</w:t>
      </w:r>
      <w:r w:rsidRPr="00BD0E55">
        <w:rPr>
          <w:rFonts w:ascii="Calibri" w:hAnsi="Calibri" w:cs="Calibri"/>
          <w:noProof/>
          <w:szCs w:val="24"/>
        </w:rPr>
        <w:tab/>
        <w:t xml:space="preserve">Ali A, Arif AW, Bhan C, et al. Managing Chronic Pain in the Elderly: An Overview of the Recent Therapeutic Advancements. </w:t>
      </w:r>
      <w:r w:rsidRPr="00BD0E55">
        <w:rPr>
          <w:rFonts w:ascii="Calibri" w:hAnsi="Calibri" w:cs="Calibri"/>
          <w:i/>
          <w:iCs/>
          <w:noProof/>
          <w:szCs w:val="24"/>
        </w:rPr>
        <w:t>Cureus</w:t>
      </w:r>
      <w:r w:rsidRPr="00BD0E55">
        <w:rPr>
          <w:rFonts w:ascii="Calibri" w:hAnsi="Calibri" w:cs="Calibri"/>
          <w:noProof/>
          <w:szCs w:val="24"/>
        </w:rPr>
        <w:t>. 2018;10(9). doi:10.7759/CUREUS.3293</w:t>
      </w:r>
    </w:p>
    <w:p w14:paraId="0AC249D4"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9.</w:t>
      </w:r>
      <w:r w:rsidRPr="00BD0E55">
        <w:rPr>
          <w:rFonts w:ascii="Calibri" w:hAnsi="Calibri" w:cs="Calibri"/>
          <w:noProof/>
          <w:szCs w:val="24"/>
        </w:rPr>
        <w:tab/>
        <w:t xml:space="preserve">Kolasinski SL, Neogi T, Hochberg MC, et al. Foundation Guideline for the Management of Osteoarthritis of the Hand, Hip, and Knee. </w:t>
      </w:r>
      <w:r w:rsidRPr="00BD0E55">
        <w:rPr>
          <w:rFonts w:ascii="Calibri" w:hAnsi="Calibri" w:cs="Calibri"/>
          <w:i/>
          <w:iCs/>
          <w:noProof/>
          <w:szCs w:val="24"/>
        </w:rPr>
        <w:t>Arthritis Rheumatol</w:t>
      </w:r>
      <w:r w:rsidRPr="00BD0E55">
        <w:rPr>
          <w:rFonts w:ascii="Calibri" w:hAnsi="Calibri" w:cs="Calibri"/>
          <w:noProof/>
          <w:szCs w:val="24"/>
        </w:rPr>
        <w:t>. 2020;72(2):220-233. doi:10.1002/art.41142</w:t>
      </w:r>
    </w:p>
    <w:p w14:paraId="5A97128B"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10.</w:t>
      </w:r>
      <w:r w:rsidRPr="00BD0E55">
        <w:rPr>
          <w:rFonts w:ascii="Calibri" w:hAnsi="Calibri" w:cs="Calibri"/>
          <w:noProof/>
          <w:szCs w:val="24"/>
        </w:rPr>
        <w:tab/>
        <w:t xml:space="preserve">Mann NK, Mathes T, Sönnichsen A, et al. Potentially Inadequate Medications in the Elderly: PRISCUS 2.0 First Update of the PRISCUS List. </w:t>
      </w:r>
      <w:r w:rsidRPr="00BD0E55">
        <w:rPr>
          <w:rFonts w:ascii="Calibri" w:hAnsi="Calibri" w:cs="Calibri"/>
          <w:i/>
          <w:iCs/>
          <w:noProof/>
          <w:szCs w:val="24"/>
        </w:rPr>
        <w:t>Dtsch Arztebl Int</w:t>
      </w:r>
      <w:r w:rsidRPr="00BD0E55">
        <w:rPr>
          <w:rFonts w:ascii="Calibri" w:hAnsi="Calibri" w:cs="Calibri"/>
          <w:noProof/>
          <w:szCs w:val="24"/>
        </w:rPr>
        <w:t>. 2023;120(1-2):3. doi:10.3238/ARZTEBL.M2022.0377</w:t>
      </w:r>
    </w:p>
    <w:p w14:paraId="70AF581A"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11.</w:t>
      </w:r>
      <w:r w:rsidRPr="00BD0E55">
        <w:rPr>
          <w:rFonts w:ascii="Calibri" w:hAnsi="Calibri" w:cs="Calibri"/>
          <w:noProof/>
          <w:szCs w:val="24"/>
        </w:rPr>
        <w:tab/>
        <w:t xml:space="preserve">O’Mahony D, Cherubini A, Guiteras AR, et al. STOPP/START criteria for potentially inappropriate prescribing in older people: version 3. </w:t>
      </w:r>
      <w:r w:rsidRPr="00BD0E55">
        <w:rPr>
          <w:rFonts w:ascii="Calibri" w:hAnsi="Calibri" w:cs="Calibri"/>
          <w:i/>
          <w:iCs/>
          <w:noProof/>
          <w:szCs w:val="24"/>
        </w:rPr>
        <w:t>Eur Geriatr Med</w:t>
      </w:r>
      <w:r w:rsidRPr="00BD0E55">
        <w:rPr>
          <w:rFonts w:ascii="Calibri" w:hAnsi="Calibri" w:cs="Calibri"/>
          <w:noProof/>
          <w:szCs w:val="24"/>
        </w:rPr>
        <w:t>. 2023;14(4):625-632. doi:10.1007/S41999-023-00777-Y/TABLES/2</w:t>
      </w:r>
    </w:p>
    <w:p w14:paraId="11D3D615"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12.</w:t>
      </w:r>
      <w:r w:rsidRPr="00BD0E55">
        <w:rPr>
          <w:rFonts w:ascii="Calibri" w:hAnsi="Calibri" w:cs="Calibri"/>
          <w:noProof/>
          <w:szCs w:val="24"/>
        </w:rPr>
        <w:tab/>
        <w:t xml:space="preserve">American Geriatrics Society Beers Criteria® Update Expert Panel. American Geriatrics Society 2023 updated AGS Beers Criteria® for potentially inappropriate medication use in older adults. </w:t>
      </w:r>
      <w:r w:rsidRPr="00BD0E55">
        <w:rPr>
          <w:rFonts w:ascii="Calibri" w:hAnsi="Calibri" w:cs="Calibri"/>
          <w:i/>
          <w:iCs/>
          <w:noProof/>
          <w:szCs w:val="24"/>
        </w:rPr>
        <w:t>J Am Geriatr Soc</w:t>
      </w:r>
      <w:r w:rsidRPr="00BD0E55">
        <w:rPr>
          <w:rFonts w:ascii="Calibri" w:hAnsi="Calibri" w:cs="Calibri"/>
          <w:noProof/>
          <w:szCs w:val="24"/>
        </w:rPr>
        <w:t xml:space="preserve">. Published online 4 </w:t>
      </w:r>
      <w:r w:rsidRPr="00BD0E55">
        <w:rPr>
          <w:rFonts w:ascii="Calibri" w:hAnsi="Calibri" w:cs="Calibri"/>
          <w:noProof/>
          <w:szCs w:val="24"/>
        </w:rPr>
        <w:lastRenderedPageBreak/>
        <w:t>May 2023. doi:10.1111/JGS.18372</w:t>
      </w:r>
    </w:p>
    <w:p w14:paraId="06C8A831"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13.</w:t>
      </w:r>
      <w:r w:rsidRPr="00BD0E55">
        <w:rPr>
          <w:rFonts w:ascii="Calibri" w:hAnsi="Calibri" w:cs="Calibri"/>
          <w:noProof/>
          <w:szCs w:val="24"/>
        </w:rPr>
        <w:tab/>
        <w:t>Faculty of Pain Medicine RC of A. Opioids Aware:A structured approach to opioid prescribing (Long term prescribing). Accessed March 4, 2023. https://fpm.ac.uk/opioids-aware-structured-approach-opioid-prescribing/long-term-prescribing</w:t>
      </w:r>
    </w:p>
    <w:p w14:paraId="5AE91AFE"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14.</w:t>
      </w:r>
      <w:r w:rsidRPr="00BD0E55">
        <w:rPr>
          <w:rFonts w:ascii="Calibri" w:hAnsi="Calibri" w:cs="Calibri"/>
          <w:noProof/>
          <w:szCs w:val="24"/>
        </w:rPr>
        <w:tab/>
        <w:t xml:space="preserve">Mathieson S, Maher CG, Ferreira GE, et al. Deprescribing Opioids in Chronic Non-cancer Pain: Systematic Review of Randomised Trials. </w:t>
      </w:r>
      <w:r w:rsidRPr="00BD0E55">
        <w:rPr>
          <w:rFonts w:ascii="Calibri" w:hAnsi="Calibri" w:cs="Calibri"/>
          <w:i/>
          <w:iCs/>
          <w:noProof/>
          <w:szCs w:val="24"/>
        </w:rPr>
        <w:t>Drugs</w:t>
      </w:r>
      <w:r w:rsidRPr="00BD0E55">
        <w:rPr>
          <w:rFonts w:ascii="Calibri" w:hAnsi="Calibri" w:cs="Calibri"/>
          <w:noProof/>
          <w:szCs w:val="24"/>
        </w:rPr>
        <w:t>. 2020;80(15):1563-1576.</w:t>
      </w:r>
    </w:p>
    <w:p w14:paraId="3BBD6F25"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15.</w:t>
      </w:r>
      <w:r w:rsidRPr="00BD0E55">
        <w:rPr>
          <w:rFonts w:ascii="Calibri" w:hAnsi="Calibri" w:cs="Calibri"/>
          <w:noProof/>
          <w:szCs w:val="24"/>
        </w:rPr>
        <w:tab/>
        <w:t xml:space="preserve">NSW Therepautic Advisory Group A. </w:t>
      </w:r>
      <w:r w:rsidRPr="00BD0E55">
        <w:rPr>
          <w:rFonts w:ascii="Calibri" w:hAnsi="Calibri" w:cs="Calibri"/>
          <w:i/>
          <w:iCs/>
          <w:noProof/>
          <w:szCs w:val="24"/>
        </w:rPr>
        <w:t>Deprescribing Guide for Regular Long-Term Opioid Analgesic Use in Older Adults</w:t>
      </w:r>
      <w:r w:rsidRPr="00BD0E55">
        <w:rPr>
          <w:rFonts w:ascii="Calibri" w:hAnsi="Calibri" w:cs="Calibri"/>
          <w:noProof/>
          <w:szCs w:val="24"/>
        </w:rPr>
        <w:t>.; 2018.</w:t>
      </w:r>
    </w:p>
    <w:p w14:paraId="6D5DB55B"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16.</w:t>
      </w:r>
      <w:r w:rsidRPr="00BD0E55">
        <w:rPr>
          <w:rFonts w:ascii="Calibri" w:hAnsi="Calibri" w:cs="Calibri"/>
          <w:noProof/>
          <w:szCs w:val="24"/>
        </w:rPr>
        <w:tab/>
        <w:t>Primary health Tasmania A. Resources: Medication management - deprescribing. Published 2022. Accessed June 13, 2023. https://www.primaryhealthtas.com.au/resources/deprescribing-resources/</w:t>
      </w:r>
    </w:p>
    <w:p w14:paraId="3F0358DF"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17.</w:t>
      </w:r>
      <w:r w:rsidRPr="00BD0E55">
        <w:rPr>
          <w:rFonts w:ascii="Calibri" w:hAnsi="Calibri" w:cs="Calibri"/>
          <w:noProof/>
          <w:szCs w:val="24"/>
        </w:rPr>
        <w:tab/>
        <w:t xml:space="preserve">Primary health Tasmania A. </w:t>
      </w:r>
      <w:r w:rsidRPr="00BD0E55">
        <w:rPr>
          <w:rFonts w:ascii="Calibri" w:hAnsi="Calibri" w:cs="Calibri"/>
          <w:i/>
          <w:iCs/>
          <w:noProof/>
          <w:szCs w:val="24"/>
        </w:rPr>
        <w:t>Opioids Recommended Deprescribing Strategy</w:t>
      </w:r>
      <w:r w:rsidRPr="00BD0E55">
        <w:rPr>
          <w:rFonts w:ascii="Calibri" w:hAnsi="Calibri" w:cs="Calibri"/>
          <w:noProof/>
          <w:szCs w:val="24"/>
        </w:rPr>
        <w:t>.; 2019.</w:t>
      </w:r>
    </w:p>
    <w:p w14:paraId="7E7543BE"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18.</w:t>
      </w:r>
      <w:r w:rsidRPr="00BD0E55">
        <w:rPr>
          <w:rFonts w:ascii="Calibri" w:hAnsi="Calibri" w:cs="Calibri"/>
          <w:noProof/>
          <w:szCs w:val="24"/>
        </w:rPr>
        <w:tab/>
        <w:t xml:space="preserve">Wang Y, Wilson DL, Fernandes D, et al. Deprescribing Strategies for Opioids and Benzodiazepines with Emphasis on Concurrent Use: A Scoping Review. </w:t>
      </w:r>
      <w:r w:rsidRPr="00BD0E55">
        <w:rPr>
          <w:rFonts w:ascii="Calibri" w:hAnsi="Calibri" w:cs="Calibri"/>
          <w:i/>
          <w:iCs/>
          <w:noProof/>
          <w:szCs w:val="24"/>
        </w:rPr>
        <w:t>J Clin Med</w:t>
      </w:r>
      <w:r w:rsidRPr="00BD0E55">
        <w:rPr>
          <w:rFonts w:ascii="Calibri" w:hAnsi="Calibri" w:cs="Calibri"/>
          <w:noProof/>
          <w:szCs w:val="24"/>
        </w:rPr>
        <w:t>. 2023;12(5):1788. doi:10.3390/JCM12051788/S1</w:t>
      </w:r>
    </w:p>
    <w:p w14:paraId="73B4BCF7"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19.</w:t>
      </w:r>
      <w:r w:rsidRPr="00BD0E55">
        <w:rPr>
          <w:rFonts w:ascii="Calibri" w:hAnsi="Calibri" w:cs="Calibri"/>
          <w:noProof/>
          <w:szCs w:val="24"/>
        </w:rPr>
        <w:tab/>
        <w:t xml:space="preserve">Lavan AH, Gallagher P, Parsons C, et al. STOPPFrail (Screening Tool of Older Persons Prescriptions in Frail adults with limited life expectancy): consensus validation. </w:t>
      </w:r>
      <w:r w:rsidRPr="00BD0E55">
        <w:rPr>
          <w:rFonts w:ascii="Calibri" w:hAnsi="Calibri" w:cs="Calibri"/>
          <w:i/>
          <w:iCs/>
          <w:noProof/>
          <w:szCs w:val="24"/>
        </w:rPr>
        <w:t>Age Ageing</w:t>
      </w:r>
      <w:r w:rsidRPr="00BD0E55">
        <w:rPr>
          <w:rFonts w:ascii="Calibri" w:hAnsi="Calibri" w:cs="Calibri"/>
          <w:noProof/>
          <w:szCs w:val="24"/>
        </w:rPr>
        <w:t>. 2017;46(4):600-607.</w:t>
      </w:r>
    </w:p>
    <w:p w14:paraId="77C25420"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20.</w:t>
      </w:r>
      <w:r w:rsidRPr="00BD0E55">
        <w:rPr>
          <w:rFonts w:ascii="Calibri" w:hAnsi="Calibri" w:cs="Calibri"/>
          <w:noProof/>
          <w:szCs w:val="24"/>
        </w:rPr>
        <w:tab/>
        <w:t>Agency for Medicinal Products and Medical Devices of Croatia H. Medicinal products database for dug group N05B and N05C (benzodiazepine receptor agonists). Medicinal Products Database. Accessed February 26, 2023. https://www.halmed.hr/Lijekovi/Baza-lijekova/#rezultati</w:t>
      </w:r>
    </w:p>
    <w:p w14:paraId="75224E53"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21.</w:t>
      </w:r>
      <w:r w:rsidRPr="00BD0E55">
        <w:rPr>
          <w:rFonts w:ascii="Calibri" w:hAnsi="Calibri" w:cs="Calibri"/>
          <w:noProof/>
          <w:szCs w:val="24"/>
        </w:rPr>
        <w:tab/>
        <w:t xml:space="preserve">Lee JY, Farrell B, Holbrook AM. Deprescribing benzodiazepine receptor agonists taken for insomnia: a review and key messages from practice guidelines. </w:t>
      </w:r>
      <w:r w:rsidRPr="00BD0E55">
        <w:rPr>
          <w:rFonts w:ascii="Calibri" w:hAnsi="Calibri" w:cs="Calibri"/>
          <w:i/>
          <w:iCs/>
          <w:noProof/>
          <w:szCs w:val="24"/>
        </w:rPr>
        <w:t>Pol Arch Intern Med</w:t>
      </w:r>
      <w:r w:rsidRPr="00BD0E55">
        <w:rPr>
          <w:rFonts w:ascii="Calibri" w:hAnsi="Calibri" w:cs="Calibri"/>
          <w:noProof/>
          <w:szCs w:val="24"/>
        </w:rPr>
        <w:t>. 2019;129(1):43-49.</w:t>
      </w:r>
    </w:p>
    <w:p w14:paraId="4023CC59"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22.</w:t>
      </w:r>
      <w:r w:rsidRPr="00BD0E55">
        <w:rPr>
          <w:rFonts w:ascii="Calibri" w:hAnsi="Calibri" w:cs="Calibri"/>
          <w:noProof/>
          <w:szCs w:val="24"/>
        </w:rPr>
        <w:tab/>
        <w:t xml:space="preserve">NSW Therapeutic Advisory Group A. </w:t>
      </w:r>
      <w:r w:rsidRPr="00BD0E55">
        <w:rPr>
          <w:rFonts w:ascii="Calibri" w:hAnsi="Calibri" w:cs="Calibri"/>
          <w:i/>
          <w:iCs/>
          <w:noProof/>
          <w:szCs w:val="24"/>
        </w:rPr>
        <w:t>Deprescribing Gudie for Benzodiazepines and Z-Drugs</w:t>
      </w:r>
      <w:r w:rsidRPr="00BD0E55">
        <w:rPr>
          <w:rFonts w:ascii="Calibri" w:hAnsi="Calibri" w:cs="Calibri"/>
          <w:noProof/>
          <w:szCs w:val="24"/>
        </w:rPr>
        <w:t>.; 2018.</w:t>
      </w:r>
    </w:p>
    <w:p w14:paraId="38635876"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23.</w:t>
      </w:r>
      <w:r w:rsidRPr="00BD0E55">
        <w:rPr>
          <w:rFonts w:ascii="Calibri" w:hAnsi="Calibri" w:cs="Calibri"/>
          <w:noProof/>
          <w:szCs w:val="24"/>
        </w:rPr>
        <w:tab/>
        <w:t>Pottie K, Fcfp C, Thompson W, et al. Deprescribing benzodiazepine receptor agonists Evidence-based clinical practice guideline. 2018;64.</w:t>
      </w:r>
    </w:p>
    <w:p w14:paraId="56457072"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24.</w:t>
      </w:r>
      <w:r w:rsidRPr="00BD0E55">
        <w:rPr>
          <w:rFonts w:ascii="Calibri" w:hAnsi="Calibri" w:cs="Calibri"/>
          <w:noProof/>
          <w:szCs w:val="24"/>
        </w:rPr>
        <w:tab/>
        <w:t xml:space="preserve">Primary health Tasmania A. </w:t>
      </w:r>
      <w:r w:rsidRPr="00BD0E55">
        <w:rPr>
          <w:rFonts w:ascii="Calibri" w:hAnsi="Calibri" w:cs="Calibri"/>
          <w:i/>
          <w:iCs/>
          <w:noProof/>
          <w:szCs w:val="24"/>
        </w:rPr>
        <w:t>A Guide to Benzodiazepines Recommended Deprescribing Strategy</w:t>
      </w:r>
      <w:r w:rsidRPr="00BD0E55">
        <w:rPr>
          <w:rFonts w:ascii="Calibri" w:hAnsi="Calibri" w:cs="Calibri"/>
          <w:noProof/>
          <w:szCs w:val="24"/>
        </w:rPr>
        <w:t>.; 2019.</w:t>
      </w:r>
    </w:p>
    <w:p w14:paraId="40F7AD7D"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25.</w:t>
      </w:r>
      <w:r w:rsidRPr="00BD0E55">
        <w:rPr>
          <w:rFonts w:ascii="Calibri" w:hAnsi="Calibri" w:cs="Calibri"/>
          <w:noProof/>
          <w:szCs w:val="24"/>
        </w:rPr>
        <w:tab/>
        <w:t xml:space="preserve">Primary health Tasmania A. </w:t>
      </w:r>
      <w:r w:rsidRPr="00BD0E55">
        <w:rPr>
          <w:rFonts w:ascii="Calibri" w:hAnsi="Calibri" w:cs="Calibri"/>
          <w:i/>
          <w:iCs/>
          <w:noProof/>
          <w:szCs w:val="24"/>
        </w:rPr>
        <w:t>A Guide to the Use of Benzodiazepines in Older Adults</w:t>
      </w:r>
      <w:r w:rsidRPr="00BD0E55">
        <w:rPr>
          <w:rFonts w:ascii="Calibri" w:hAnsi="Calibri" w:cs="Calibri"/>
          <w:noProof/>
          <w:szCs w:val="24"/>
        </w:rPr>
        <w:t>.; 2016.</w:t>
      </w:r>
    </w:p>
    <w:p w14:paraId="78C779B6"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26.</w:t>
      </w:r>
      <w:r w:rsidRPr="00BD0E55">
        <w:rPr>
          <w:rFonts w:ascii="Calibri" w:hAnsi="Calibri" w:cs="Calibri"/>
          <w:noProof/>
          <w:szCs w:val="24"/>
        </w:rPr>
        <w:tab/>
        <w:t>The Royal Australian College of Generl Practitioners R. Evidence-based guidance for benzodiazepines. Prescribing drugs of dependence in general practice. Accessed February 22, 2023. https://www.racgp.org.au/clinical-resources/clinical-guidelines/key-racgp-guidelines/view-all-racgp-guidelines/drugs-of-dependence/part-b/evidence-based-guidance-for-benzodiazepines</w:t>
      </w:r>
    </w:p>
    <w:p w14:paraId="17952B23"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27.</w:t>
      </w:r>
      <w:r w:rsidRPr="00BD0E55">
        <w:rPr>
          <w:rFonts w:ascii="Calibri" w:hAnsi="Calibri" w:cs="Calibri"/>
          <w:noProof/>
          <w:szCs w:val="24"/>
        </w:rPr>
        <w:tab/>
        <w:t xml:space="preserve">Rodríguez-Pérez A, Alfaro-Lara ER, Albiñana-Perez S, et al. Novel tool for deprescribing in chronic patients with multimorbidity: List of Evidence-Based Deprescribing for Chronic Patients criteria. </w:t>
      </w:r>
      <w:r w:rsidRPr="00BD0E55">
        <w:rPr>
          <w:rFonts w:ascii="Calibri" w:hAnsi="Calibri" w:cs="Calibri"/>
          <w:i/>
          <w:iCs/>
          <w:noProof/>
          <w:szCs w:val="24"/>
        </w:rPr>
        <w:t>Geriatr Gerontol Int</w:t>
      </w:r>
      <w:r w:rsidRPr="00BD0E55">
        <w:rPr>
          <w:rFonts w:ascii="Calibri" w:hAnsi="Calibri" w:cs="Calibri"/>
          <w:noProof/>
          <w:szCs w:val="24"/>
        </w:rPr>
        <w:t>. 2017;17(11):2200-2207. doi:10.1111/GGI.13062</w:t>
      </w:r>
    </w:p>
    <w:p w14:paraId="50A4A678"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28.</w:t>
      </w:r>
      <w:r w:rsidRPr="00BD0E55">
        <w:rPr>
          <w:rFonts w:ascii="Calibri" w:hAnsi="Calibri" w:cs="Calibri"/>
          <w:noProof/>
          <w:szCs w:val="24"/>
        </w:rPr>
        <w:tab/>
        <w:t xml:space="preserve">Seppala LJ, Petrovic M, Ryg J, et al. STOPPFall (Screening Tool of Older Persons Prescriptions in older adults with high fall risk): a Delphi study by the EuGMS Task and Finish Group on Fall-Risk-Increasing Drugs. </w:t>
      </w:r>
      <w:r w:rsidRPr="00BD0E55">
        <w:rPr>
          <w:rFonts w:ascii="Calibri" w:hAnsi="Calibri" w:cs="Calibri"/>
          <w:i/>
          <w:iCs/>
          <w:noProof/>
          <w:szCs w:val="24"/>
        </w:rPr>
        <w:t>Age Ageing</w:t>
      </w:r>
      <w:r w:rsidRPr="00BD0E55">
        <w:rPr>
          <w:rFonts w:ascii="Calibri" w:hAnsi="Calibri" w:cs="Calibri"/>
          <w:noProof/>
          <w:szCs w:val="24"/>
        </w:rPr>
        <w:t>. 2021;50(4):1189-1199. doi:10.1093/AGEING/AFAA249</w:t>
      </w:r>
    </w:p>
    <w:p w14:paraId="579331BE"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szCs w:val="24"/>
        </w:rPr>
      </w:pPr>
      <w:r w:rsidRPr="00BD0E55">
        <w:rPr>
          <w:rFonts w:ascii="Calibri" w:hAnsi="Calibri" w:cs="Calibri"/>
          <w:noProof/>
          <w:szCs w:val="24"/>
        </w:rPr>
        <w:t>29.</w:t>
      </w:r>
      <w:r w:rsidRPr="00BD0E55">
        <w:rPr>
          <w:rFonts w:ascii="Calibri" w:hAnsi="Calibri" w:cs="Calibri"/>
          <w:noProof/>
          <w:szCs w:val="24"/>
        </w:rPr>
        <w:tab/>
        <w:t>American Geriatrics Society. AGS Clinical Practice Guidelines and Recommendations. https://geriatricscareonline.org/ProductTypeStore/guidelines-recommendations-position-statements-/8/</w:t>
      </w:r>
    </w:p>
    <w:p w14:paraId="44E8324B" w14:textId="77777777" w:rsidR="00961AA3" w:rsidRPr="00BD0E55" w:rsidRDefault="00961AA3" w:rsidP="00961AA3">
      <w:pPr>
        <w:widowControl w:val="0"/>
        <w:autoSpaceDE w:val="0"/>
        <w:autoSpaceDN w:val="0"/>
        <w:adjustRightInd w:val="0"/>
        <w:spacing w:line="240" w:lineRule="auto"/>
        <w:ind w:left="640" w:hanging="640"/>
        <w:rPr>
          <w:rFonts w:ascii="Calibri" w:hAnsi="Calibri" w:cs="Calibri"/>
          <w:noProof/>
        </w:rPr>
      </w:pPr>
      <w:r w:rsidRPr="00BD0E55">
        <w:rPr>
          <w:rFonts w:ascii="Calibri" w:hAnsi="Calibri" w:cs="Calibri"/>
          <w:noProof/>
          <w:szCs w:val="24"/>
        </w:rPr>
        <w:t>30.</w:t>
      </w:r>
      <w:r w:rsidRPr="00BD0E55">
        <w:rPr>
          <w:rFonts w:ascii="Calibri" w:hAnsi="Calibri" w:cs="Calibri"/>
          <w:noProof/>
          <w:szCs w:val="24"/>
        </w:rPr>
        <w:tab/>
        <w:t>British Geriatrics Society. Clinical guidelines. https://www.bgs.org.uk/resources/resource-series/clinical-guidelines</w:t>
      </w:r>
    </w:p>
    <w:p w14:paraId="4DB06092" w14:textId="1ADE5325" w:rsidR="00241D62" w:rsidRDefault="00961AA3" w:rsidP="00961AA3">
      <w:r>
        <w:fldChar w:fldCharType="end"/>
      </w:r>
    </w:p>
    <w:p w14:paraId="6416888D" w14:textId="7D747892" w:rsidR="00C3385A" w:rsidRDefault="00241D62" w:rsidP="00C3385A">
      <w:pPr>
        <w:jc w:val="center"/>
      </w:pPr>
      <w:r>
        <w:br w:type="page"/>
      </w:r>
      <w:proofErr w:type="spellStart"/>
      <w:r w:rsidR="001F082A" w:rsidRPr="00333FF4">
        <w:lastRenderedPageBreak/>
        <w:t>Deprescribing</w:t>
      </w:r>
      <w:proofErr w:type="spellEnd"/>
      <w:r w:rsidR="001F082A" w:rsidRPr="00333FF4">
        <w:t xml:space="preserve"> Potential of Commonly Used Medications among Community-Dwelling Older Adults: Insights from a </w:t>
      </w:r>
      <w:r w:rsidR="001F082A">
        <w:t>Pharmacist-led</w:t>
      </w:r>
      <w:r w:rsidR="001F082A" w:rsidRPr="00333FF4">
        <w:t xml:space="preserve"> Geriatric Assessment</w:t>
      </w:r>
      <w:r w:rsidR="001F082A">
        <w:t>-APPENDIX FILE</w:t>
      </w:r>
      <w:r w:rsidR="00C3385A">
        <w:t xml:space="preserve"> 2</w:t>
      </w:r>
    </w:p>
    <w:p w14:paraId="4F817F29" w14:textId="4204B49D" w:rsidR="00C3385A" w:rsidRDefault="00D05786" w:rsidP="00C3385A">
      <w:pPr>
        <w:pStyle w:val="Caption"/>
        <w:keepNext/>
      </w:pPr>
      <w:r>
        <w:t>Appendix t</w:t>
      </w:r>
      <w:r w:rsidR="00C3385A">
        <w:t xml:space="preserve">able </w:t>
      </w:r>
      <w:r w:rsidR="0060781C">
        <w:rPr>
          <w:noProof/>
        </w:rPr>
        <w:fldChar w:fldCharType="begin"/>
      </w:r>
      <w:r w:rsidR="0060781C">
        <w:rPr>
          <w:noProof/>
        </w:rPr>
        <w:instrText xml:space="preserve"> SEQ Table \* ARABIC </w:instrText>
      </w:r>
      <w:r w:rsidR="0060781C">
        <w:rPr>
          <w:noProof/>
        </w:rPr>
        <w:fldChar w:fldCharType="separate"/>
      </w:r>
      <w:r w:rsidR="000D07AF">
        <w:rPr>
          <w:noProof/>
        </w:rPr>
        <w:t>1</w:t>
      </w:r>
      <w:r w:rsidR="0060781C">
        <w:rPr>
          <w:noProof/>
        </w:rPr>
        <w:fldChar w:fldCharType="end"/>
      </w:r>
      <w:r w:rsidR="00C3385A">
        <w:t xml:space="preserve"> </w:t>
      </w:r>
      <w:r w:rsidR="001F082A">
        <w:t>Participants’</w:t>
      </w:r>
      <w:r w:rsidR="00C3385A">
        <w:t xml:space="preserve"> characteristics</w:t>
      </w:r>
    </w:p>
    <w:tbl>
      <w:tblPr>
        <w:tblStyle w:val="PlainTable2"/>
        <w:tblW w:w="0" w:type="auto"/>
        <w:tblLook w:val="04A0" w:firstRow="1" w:lastRow="0" w:firstColumn="1" w:lastColumn="0" w:noHBand="0" w:noVBand="1"/>
      </w:tblPr>
      <w:tblGrid>
        <w:gridCol w:w="4957"/>
        <w:gridCol w:w="4105"/>
      </w:tblGrid>
      <w:tr w:rsidR="00C3385A" w14:paraId="341226F3" w14:textId="77777777" w:rsidTr="006632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5F81DFD" w14:textId="77777777" w:rsidR="00C3385A" w:rsidRDefault="00C3385A" w:rsidP="006632CC">
            <w:r>
              <w:t>Characteristic</w:t>
            </w:r>
          </w:p>
        </w:tc>
        <w:tc>
          <w:tcPr>
            <w:tcW w:w="4105" w:type="dxa"/>
          </w:tcPr>
          <w:p w14:paraId="0AA34170" w14:textId="77777777" w:rsidR="00C3385A" w:rsidRDefault="00C3385A" w:rsidP="006632CC">
            <w:pPr>
              <w:cnfStyle w:val="100000000000" w:firstRow="1" w:lastRow="0" w:firstColumn="0" w:lastColumn="0" w:oddVBand="0" w:evenVBand="0" w:oddHBand="0" w:evenHBand="0" w:firstRowFirstColumn="0" w:firstRowLastColumn="0" w:lastRowFirstColumn="0" w:lastRowLastColumn="0"/>
            </w:pPr>
            <w:r>
              <w:t>N=388 participants</w:t>
            </w:r>
          </w:p>
        </w:tc>
      </w:tr>
      <w:tr w:rsidR="00C3385A" w14:paraId="12A82EBC" w14:textId="77777777" w:rsidTr="00663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76D1A22" w14:textId="77777777" w:rsidR="00C3385A" w:rsidRPr="004B2864" w:rsidRDefault="00C3385A" w:rsidP="006632CC">
            <w:pPr>
              <w:rPr>
                <w:b w:val="0"/>
                <w:bCs w:val="0"/>
              </w:rPr>
            </w:pPr>
            <w:r w:rsidRPr="004B2864">
              <w:rPr>
                <w:b w:val="0"/>
                <w:bCs w:val="0"/>
              </w:rPr>
              <w:t>age (median, IQR)</w:t>
            </w:r>
          </w:p>
        </w:tc>
        <w:tc>
          <w:tcPr>
            <w:tcW w:w="4105" w:type="dxa"/>
          </w:tcPr>
          <w:p w14:paraId="6F906CBB" w14:textId="77777777" w:rsidR="00C3385A" w:rsidRDefault="00C3385A" w:rsidP="006632CC">
            <w:pPr>
              <w:cnfStyle w:val="000000100000" w:firstRow="0" w:lastRow="0" w:firstColumn="0" w:lastColumn="0" w:oddVBand="0" w:evenVBand="0" w:oddHBand="1" w:evenHBand="0" w:firstRowFirstColumn="0" w:firstRowLastColumn="0" w:lastRowFirstColumn="0" w:lastRowLastColumn="0"/>
            </w:pPr>
            <w:r>
              <w:t>73 years (IQR 69-79.75)</w:t>
            </w:r>
          </w:p>
        </w:tc>
      </w:tr>
      <w:tr w:rsidR="00C3385A" w14:paraId="77C5B9C4" w14:textId="77777777" w:rsidTr="006632CC">
        <w:tc>
          <w:tcPr>
            <w:cnfStyle w:val="001000000000" w:firstRow="0" w:lastRow="0" w:firstColumn="1" w:lastColumn="0" w:oddVBand="0" w:evenVBand="0" w:oddHBand="0" w:evenHBand="0" w:firstRowFirstColumn="0" w:firstRowLastColumn="0" w:lastRowFirstColumn="0" w:lastRowLastColumn="0"/>
            <w:tcW w:w="4957" w:type="dxa"/>
          </w:tcPr>
          <w:p w14:paraId="59158BE2" w14:textId="77777777" w:rsidR="00C3385A" w:rsidRPr="004B2864" w:rsidRDefault="00C3385A" w:rsidP="006632CC">
            <w:pPr>
              <w:rPr>
                <w:b w:val="0"/>
                <w:bCs w:val="0"/>
              </w:rPr>
            </w:pPr>
            <w:proofErr w:type="gramStart"/>
            <w:r w:rsidRPr="004B2864">
              <w:rPr>
                <w:b w:val="0"/>
                <w:bCs w:val="0"/>
              </w:rPr>
              <w:t>gender</w:t>
            </w:r>
            <w:proofErr w:type="gramEnd"/>
            <w:r w:rsidRPr="004B2864">
              <w:rPr>
                <w:b w:val="0"/>
                <w:bCs w:val="0"/>
              </w:rPr>
              <w:t xml:space="preserve"> (female, </w:t>
            </w:r>
            <w:r>
              <w:rPr>
                <w:b w:val="0"/>
                <w:bCs w:val="0"/>
              </w:rPr>
              <w:t xml:space="preserve">n; </w:t>
            </w:r>
            <w:r w:rsidRPr="004B2864">
              <w:rPr>
                <w:b w:val="0"/>
                <w:bCs w:val="0"/>
              </w:rPr>
              <w:t>%)</w:t>
            </w:r>
          </w:p>
        </w:tc>
        <w:tc>
          <w:tcPr>
            <w:tcW w:w="4105" w:type="dxa"/>
          </w:tcPr>
          <w:p w14:paraId="2AA42FAD"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247; 63.65%</w:t>
            </w:r>
          </w:p>
        </w:tc>
      </w:tr>
      <w:tr w:rsidR="00C3385A" w14:paraId="6E2E85BB" w14:textId="77777777" w:rsidTr="00663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77747DB3" w14:textId="77777777" w:rsidR="00C3385A" w:rsidRPr="004B2864" w:rsidRDefault="00C3385A" w:rsidP="006632CC">
            <w:pPr>
              <w:rPr>
                <w:b w:val="0"/>
                <w:bCs w:val="0"/>
              </w:rPr>
            </w:pPr>
            <w:proofErr w:type="gramStart"/>
            <w:r>
              <w:rPr>
                <w:b w:val="0"/>
                <w:bCs w:val="0"/>
              </w:rPr>
              <w:t>region</w:t>
            </w:r>
            <w:proofErr w:type="gramEnd"/>
            <w:r>
              <w:rPr>
                <w:b w:val="0"/>
                <w:bCs w:val="0"/>
              </w:rPr>
              <w:t xml:space="preserve"> (n; </w:t>
            </w:r>
            <w:r w:rsidRPr="004B2864">
              <w:rPr>
                <w:b w:val="0"/>
                <w:bCs w:val="0"/>
              </w:rPr>
              <w:t>%</w:t>
            </w:r>
            <w:r>
              <w:rPr>
                <w:b w:val="0"/>
                <w:bCs w:val="0"/>
              </w:rPr>
              <w:t>)</w:t>
            </w:r>
          </w:p>
        </w:tc>
        <w:tc>
          <w:tcPr>
            <w:tcW w:w="4105" w:type="dxa"/>
          </w:tcPr>
          <w:p w14:paraId="4B0732A3" w14:textId="77777777" w:rsidR="00C3385A" w:rsidRDefault="00C3385A" w:rsidP="006632CC">
            <w:pPr>
              <w:cnfStyle w:val="000000100000" w:firstRow="0" w:lastRow="0" w:firstColumn="0" w:lastColumn="0" w:oddVBand="0" w:evenVBand="0" w:oddHBand="1" w:evenHBand="0" w:firstRowFirstColumn="0" w:firstRowLastColumn="0" w:lastRowFirstColumn="0" w:lastRowLastColumn="0"/>
            </w:pPr>
          </w:p>
        </w:tc>
      </w:tr>
      <w:tr w:rsidR="00C3385A" w14:paraId="7B55BA37" w14:textId="77777777" w:rsidTr="006632CC">
        <w:tc>
          <w:tcPr>
            <w:cnfStyle w:val="001000000000" w:firstRow="0" w:lastRow="0" w:firstColumn="1" w:lastColumn="0" w:oddVBand="0" w:evenVBand="0" w:oddHBand="0" w:evenHBand="0" w:firstRowFirstColumn="0" w:firstRowLastColumn="0" w:lastRowFirstColumn="0" w:lastRowLastColumn="0"/>
            <w:tcW w:w="4957" w:type="dxa"/>
          </w:tcPr>
          <w:p w14:paraId="09CD5411" w14:textId="77777777" w:rsidR="00C3385A" w:rsidRDefault="00C3385A" w:rsidP="006632CC">
            <w:r>
              <w:rPr>
                <w:b w:val="0"/>
                <w:bCs w:val="0"/>
              </w:rPr>
              <w:t>north-west continental</w:t>
            </w:r>
          </w:p>
          <w:p w14:paraId="251ED0D7" w14:textId="77777777" w:rsidR="00C3385A" w:rsidRDefault="00C3385A" w:rsidP="006632CC">
            <w:r>
              <w:rPr>
                <w:b w:val="0"/>
                <w:bCs w:val="0"/>
              </w:rPr>
              <w:t>north-east continental</w:t>
            </w:r>
          </w:p>
          <w:p w14:paraId="2A3E9895" w14:textId="77777777" w:rsidR="00C3385A" w:rsidRDefault="00C3385A" w:rsidP="006632CC">
            <w:pPr>
              <w:rPr>
                <w:b w:val="0"/>
                <w:bCs w:val="0"/>
              </w:rPr>
            </w:pPr>
            <w:r>
              <w:rPr>
                <w:b w:val="0"/>
                <w:bCs w:val="0"/>
              </w:rPr>
              <w:t>coastal</w:t>
            </w:r>
          </w:p>
        </w:tc>
        <w:tc>
          <w:tcPr>
            <w:tcW w:w="4105" w:type="dxa"/>
          </w:tcPr>
          <w:p w14:paraId="3E7042C1"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144; 37.11%</w:t>
            </w:r>
          </w:p>
          <w:p w14:paraId="73BDA98C"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125; 32.22%</w:t>
            </w:r>
          </w:p>
          <w:p w14:paraId="4E1E4BFB"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119; 30.67%</w:t>
            </w:r>
          </w:p>
        </w:tc>
      </w:tr>
      <w:tr w:rsidR="00C3385A" w14:paraId="3CB7C4D0" w14:textId="77777777" w:rsidTr="00663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22D5CE9D" w14:textId="77777777" w:rsidR="00C3385A" w:rsidRPr="004B2864" w:rsidRDefault="00C3385A" w:rsidP="006632CC">
            <w:pPr>
              <w:rPr>
                <w:b w:val="0"/>
                <w:bCs w:val="0"/>
              </w:rPr>
            </w:pPr>
            <w:r w:rsidRPr="004B2864">
              <w:rPr>
                <w:b w:val="0"/>
                <w:bCs w:val="0"/>
              </w:rPr>
              <w:t>number of medicines (median, IQR)</w:t>
            </w:r>
          </w:p>
        </w:tc>
        <w:tc>
          <w:tcPr>
            <w:tcW w:w="4105" w:type="dxa"/>
          </w:tcPr>
          <w:p w14:paraId="7F640F9C" w14:textId="77777777" w:rsidR="00C3385A" w:rsidRDefault="00C3385A" w:rsidP="006632CC">
            <w:pPr>
              <w:cnfStyle w:val="000000100000" w:firstRow="0" w:lastRow="0" w:firstColumn="0" w:lastColumn="0" w:oddVBand="0" w:evenVBand="0" w:oddHBand="1" w:evenHBand="0" w:firstRowFirstColumn="0" w:firstRowLastColumn="0" w:lastRowFirstColumn="0" w:lastRowLastColumn="0"/>
            </w:pPr>
            <w:r>
              <w:t>6 (IQR 4-8)</w:t>
            </w:r>
          </w:p>
        </w:tc>
      </w:tr>
      <w:tr w:rsidR="00C3385A" w14:paraId="0A8D3A27" w14:textId="77777777" w:rsidTr="006632CC">
        <w:tc>
          <w:tcPr>
            <w:cnfStyle w:val="001000000000" w:firstRow="0" w:lastRow="0" w:firstColumn="1" w:lastColumn="0" w:oddVBand="0" w:evenVBand="0" w:oddHBand="0" w:evenHBand="0" w:firstRowFirstColumn="0" w:firstRowLastColumn="0" w:lastRowFirstColumn="0" w:lastRowLastColumn="0"/>
            <w:tcW w:w="4957" w:type="dxa"/>
          </w:tcPr>
          <w:p w14:paraId="71064430" w14:textId="77777777" w:rsidR="00C3385A" w:rsidRPr="004B2864" w:rsidRDefault="00C3385A" w:rsidP="006632CC">
            <w:pPr>
              <w:rPr>
                <w:b w:val="0"/>
                <w:bCs w:val="0"/>
              </w:rPr>
            </w:pPr>
            <w:r>
              <w:rPr>
                <w:b w:val="0"/>
                <w:bCs w:val="0"/>
              </w:rPr>
              <w:t xml:space="preserve">number of diagnosis  </w:t>
            </w:r>
            <w:r w:rsidRPr="004B2864">
              <w:rPr>
                <w:b w:val="0"/>
                <w:bCs w:val="0"/>
              </w:rPr>
              <w:t>(median, IQR)</w:t>
            </w:r>
          </w:p>
        </w:tc>
        <w:tc>
          <w:tcPr>
            <w:tcW w:w="4105" w:type="dxa"/>
          </w:tcPr>
          <w:p w14:paraId="1872E378"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5 (IQR 3-8)</w:t>
            </w:r>
          </w:p>
        </w:tc>
      </w:tr>
      <w:tr w:rsidR="00C3385A" w14:paraId="7D67004A" w14:textId="77777777" w:rsidTr="00663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66FCAF8D" w14:textId="77777777" w:rsidR="00C3385A" w:rsidRPr="003B2E72" w:rsidRDefault="00C3385A" w:rsidP="006632CC">
            <w:pPr>
              <w:rPr>
                <w:b w:val="0"/>
                <w:bCs w:val="0"/>
                <w:vertAlign w:val="superscript"/>
              </w:rPr>
            </w:pPr>
            <w:r>
              <w:rPr>
                <w:b w:val="0"/>
                <w:bCs w:val="0"/>
              </w:rPr>
              <w:t xml:space="preserve">last hospitalization (n; </w:t>
            </w:r>
            <w:r w:rsidRPr="004B2864">
              <w:rPr>
                <w:b w:val="0"/>
                <w:bCs w:val="0"/>
              </w:rPr>
              <w:t>%</w:t>
            </w:r>
            <w:r>
              <w:rPr>
                <w:b w:val="0"/>
                <w:bCs w:val="0"/>
              </w:rPr>
              <w:t>of participants)</w:t>
            </w:r>
            <w:r>
              <w:rPr>
                <w:b w:val="0"/>
                <w:bCs w:val="0"/>
                <w:vertAlign w:val="superscript"/>
              </w:rPr>
              <w:t>a</w:t>
            </w:r>
          </w:p>
        </w:tc>
        <w:tc>
          <w:tcPr>
            <w:tcW w:w="4105" w:type="dxa"/>
          </w:tcPr>
          <w:p w14:paraId="06E795B5" w14:textId="77777777" w:rsidR="00C3385A" w:rsidRDefault="00C3385A" w:rsidP="006632CC">
            <w:pPr>
              <w:cnfStyle w:val="000000100000" w:firstRow="0" w:lastRow="0" w:firstColumn="0" w:lastColumn="0" w:oddVBand="0" w:evenVBand="0" w:oddHBand="1" w:evenHBand="0" w:firstRowFirstColumn="0" w:firstRowLastColumn="0" w:lastRowFirstColumn="0" w:lastRowLastColumn="0"/>
            </w:pPr>
          </w:p>
        </w:tc>
      </w:tr>
      <w:tr w:rsidR="00C3385A" w14:paraId="060431A9" w14:textId="77777777" w:rsidTr="006632CC">
        <w:tc>
          <w:tcPr>
            <w:cnfStyle w:val="001000000000" w:firstRow="0" w:lastRow="0" w:firstColumn="1" w:lastColumn="0" w:oddVBand="0" w:evenVBand="0" w:oddHBand="0" w:evenHBand="0" w:firstRowFirstColumn="0" w:firstRowLastColumn="0" w:lastRowFirstColumn="0" w:lastRowLastColumn="0"/>
            <w:tcW w:w="4957" w:type="dxa"/>
          </w:tcPr>
          <w:p w14:paraId="73831848" w14:textId="77777777" w:rsidR="00C3385A" w:rsidRDefault="00C3385A" w:rsidP="006632CC">
            <w:r>
              <w:rPr>
                <w:b w:val="0"/>
                <w:bCs w:val="0"/>
              </w:rPr>
              <w:t>within the last 12 months</w:t>
            </w:r>
          </w:p>
          <w:p w14:paraId="074776AC" w14:textId="77777777" w:rsidR="00C3385A" w:rsidRPr="004B2864" w:rsidRDefault="00C3385A" w:rsidP="006632CC">
            <w:pPr>
              <w:rPr>
                <w:b w:val="0"/>
                <w:bCs w:val="0"/>
              </w:rPr>
            </w:pPr>
            <w:r>
              <w:rPr>
                <w:b w:val="0"/>
                <w:bCs w:val="0"/>
              </w:rPr>
              <w:t>more than 12 months ago</w:t>
            </w:r>
          </w:p>
        </w:tc>
        <w:tc>
          <w:tcPr>
            <w:tcW w:w="4105" w:type="dxa"/>
          </w:tcPr>
          <w:p w14:paraId="5BA06958"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51; 13.86%</w:t>
            </w:r>
          </w:p>
          <w:p w14:paraId="33F62C09"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317; 86.14%</w:t>
            </w:r>
          </w:p>
        </w:tc>
      </w:tr>
      <w:tr w:rsidR="00C3385A" w14:paraId="4D46AE0A" w14:textId="77777777" w:rsidTr="00663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69F1D272" w14:textId="77777777" w:rsidR="00C3385A" w:rsidRPr="00366278" w:rsidRDefault="00C3385A" w:rsidP="006632CC">
            <w:pPr>
              <w:rPr>
                <w:b w:val="0"/>
                <w:bCs w:val="0"/>
                <w:vertAlign w:val="superscript"/>
              </w:rPr>
            </w:pPr>
            <w:r>
              <w:rPr>
                <w:b w:val="0"/>
                <w:bCs w:val="0"/>
              </w:rPr>
              <w:t xml:space="preserve">emergency department visits (n; </w:t>
            </w:r>
            <w:r w:rsidRPr="004B2864">
              <w:rPr>
                <w:b w:val="0"/>
                <w:bCs w:val="0"/>
              </w:rPr>
              <w:t>%</w:t>
            </w:r>
            <w:r>
              <w:rPr>
                <w:b w:val="0"/>
                <w:bCs w:val="0"/>
              </w:rPr>
              <w:t xml:space="preserve"> of participants)</w:t>
            </w:r>
            <w:r w:rsidRPr="00926B0F">
              <w:rPr>
                <w:b w:val="0"/>
                <w:bCs w:val="0"/>
                <w:vertAlign w:val="superscript"/>
              </w:rPr>
              <w:t>a,</w:t>
            </w:r>
            <w:r>
              <w:rPr>
                <w:b w:val="0"/>
                <w:bCs w:val="0"/>
                <w:vertAlign w:val="superscript"/>
              </w:rPr>
              <w:t xml:space="preserve"> </w:t>
            </w:r>
            <w:r w:rsidRPr="00926B0F">
              <w:rPr>
                <w:b w:val="0"/>
                <w:bCs w:val="0"/>
                <w:vertAlign w:val="superscript"/>
              </w:rPr>
              <w:t>b</w:t>
            </w:r>
          </w:p>
        </w:tc>
        <w:tc>
          <w:tcPr>
            <w:tcW w:w="4105" w:type="dxa"/>
          </w:tcPr>
          <w:p w14:paraId="7D234623" w14:textId="77777777" w:rsidR="00C3385A" w:rsidRDefault="00C3385A" w:rsidP="006632CC">
            <w:pPr>
              <w:cnfStyle w:val="000000100000" w:firstRow="0" w:lastRow="0" w:firstColumn="0" w:lastColumn="0" w:oddVBand="0" w:evenVBand="0" w:oddHBand="1" w:evenHBand="0" w:firstRowFirstColumn="0" w:firstRowLastColumn="0" w:lastRowFirstColumn="0" w:lastRowLastColumn="0"/>
            </w:pPr>
          </w:p>
        </w:tc>
      </w:tr>
      <w:tr w:rsidR="00C3385A" w14:paraId="4CC038E6" w14:textId="77777777" w:rsidTr="006632CC">
        <w:tc>
          <w:tcPr>
            <w:cnfStyle w:val="001000000000" w:firstRow="0" w:lastRow="0" w:firstColumn="1" w:lastColumn="0" w:oddVBand="0" w:evenVBand="0" w:oddHBand="0" w:evenHBand="0" w:firstRowFirstColumn="0" w:firstRowLastColumn="0" w:lastRowFirstColumn="0" w:lastRowLastColumn="0"/>
            <w:tcW w:w="4957" w:type="dxa"/>
          </w:tcPr>
          <w:p w14:paraId="2B8FA341" w14:textId="77777777" w:rsidR="00C3385A" w:rsidRDefault="00C3385A" w:rsidP="006632CC">
            <w:r>
              <w:rPr>
                <w:b w:val="0"/>
                <w:bCs w:val="0"/>
              </w:rPr>
              <w:t>yes</w:t>
            </w:r>
          </w:p>
          <w:p w14:paraId="4076C47D" w14:textId="77777777" w:rsidR="00C3385A" w:rsidRDefault="00C3385A" w:rsidP="006632CC">
            <w:pPr>
              <w:rPr>
                <w:b w:val="0"/>
                <w:bCs w:val="0"/>
              </w:rPr>
            </w:pPr>
            <w:r>
              <w:rPr>
                <w:b w:val="0"/>
                <w:bCs w:val="0"/>
              </w:rPr>
              <w:t>no</w:t>
            </w:r>
          </w:p>
        </w:tc>
        <w:tc>
          <w:tcPr>
            <w:tcW w:w="4105" w:type="dxa"/>
          </w:tcPr>
          <w:p w14:paraId="275CBB04"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97; 25.06%</w:t>
            </w:r>
          </w:p>
          <w:p w14:paraId="2B7F467F"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290; 74.94%</w:t>
            </w:r>
          </w:p>
        </w:tc>
      </w:tr>
      <w:tr w:rsidR="00C3385A" w14:paraId="74AD83D6" w14:textId="77777777" w:rsidTr="00663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0553A354" w14:textId="77777777" w:rsidR="00C3385A" w:rsidRPr="00366278" w:rsidRDefault="00C3385A" w:rsidP="006632CC">
            <w:pPr>
              <w:rPr>
                <w:vertAlign w:val="superscript"/>
              </w:rPr>
            </w:pPr>
            <w:r>
              <w:rPr>
                <w:b w:val="0"/>
                <w:bCs w:val="0"/>
              </w:rPr>
              <w:t>utilization of other hea</w:t>
            </w:r>
            <w:r w:rsidRPr="00F51292">
              <w:rPr>
                <w:b w:val="0"/>
                <w:bCs w:val="0"/>
              </w:rPr>
              <w:t>lthcare services</w:t>
            </w:r>
            <w:r>
              <w:rPr>
                <w:b w:val="0"/>
                <w:bCs w:val="0"/>
              </w:rPr>
              <w:t xml:space="preserve"> (n; </w:t>
            </w:r>
            <w:r w:rsidRPr="004B2864">
              <w:rPr>
                <w:b w:val="0"/>
                <w:bCs w:val="0"/>
              </w:rPr>
              <w:t>%</w:t>
            </w:r>
            <w:r>
              <w:rPr>
                <w:b w:val="0"/>
                <w:bCs w:val="0"/>
              </w:rPr>
              <w:t>of participants)</w:t>
            </w:r>
            <w:r w:rsidRPr="00926B0F">
              <w:rPr>
                <w:b w:val="0"/>
                <w:bCs w:val="0"/>
                <w:vertAlign w:val="superscript"/>
              </w:rPr>
              <w:t xml:space="preserve"> a,</w:t>
            </w:r>
            <w:r>
              <w:rPr>
                <w:b w:val="0"/>
                <w:bCs w:val="0"/>
                <w:vertAlign w:val="superscript"/>
              </w:rPr>
              <w:t xml:space="preserve"> </w:t>
            </w:r>
            <w:r w:rsidRPr="00926B0F">
              <w:rPr>
                <w:b w:val="0"/>
                <w:bCs w:val="0"/>
                <w:vertAlign w:val="superscript"/>
              </w:rPr>
              <w:t>b</w:t>
            </w:r>
          </w:p>
        </w:tc>
      </w:tr>
      <w:tr w:rsidR="00C3385A" w14:paraId="3688D699" w14:textId="77777777" w:rsidTr="006632CC">
        <w:tc>
          <w:tcPr>
            <w:cnfStyle w:val="001000000000" w:firstRow="0" w:lastRow="0" w:firstColumn="1" w:lastColumn="0" w:oddVBand="0" w:evenVBand="0" w:oddHBand="0" w:evenHBand="0" w:firstRowFirstColumn="0" w:firstRowLastColumn="0" w:lastRowFirstColumn="0" w:lastRowLastColumn="0"/>
            <w:tcW w:w="4957" w:type="dxa"/>
          </w:tcPr>
          <w:p w14:paraId="3FA79D08" w14:textId="77777777" w:rsidR="00C3385A" w:rsidRDefault="00C3385A" w:rsidP="006632CC">
            <w:r>
              <w:rPr>
                <w:b w:val="0"/>
                <w:bCs w:val="0"/>
              </w:rPr>
              <w:t>yes</w:t>
            </w:r>
          </w:p>
          <w:p w14:paraId="1C401227" w14:textId="77777777" w:rsidR="00C3385A" w:rsidRDefault="00C3385A" w:rsidP="006632CC">
            <w:pPr>
              <w:rPr>
                <w:b w:val="0"/>
                <w:bCs w:val="0"/>
              </w:rPr>
            </w:pPr>
            <w:r>
              <w:rPr>
                <w:b w:val="0"/>
                <w:bCs w:val="0"/>
              </w:rPr>
              <w:t>no</w:t>
            </w:r>
          </w:p>
        </w:tc>
        <w:tc>
          <w:tcPr>
            <w:tcW w:w="4105" w:type="dxa"/>
          </w:tcPr>
          <w:p w14:paraId="61051844"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54; 14.14%</w:t>
            </w:r>
          </w:p>
          <w:p w14:paraId="1B80C817"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328; 85.86%</w:t>
            </w:r>
          </w:p>
        </w:tc>
      </w:tr>
      <w:tr w:rsidR="00C3385A" w14:paraId="6C17507B" w14:textId="77777777" w:rsidTr="00663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A9D86EC" w14:textId="77777777" w:rsidR="00C3385A" w:rsidRPr="003B2E72" w:rsidRDefault="00C3385A" w:rsidP="006632CC">
            <w:pPr>
              <w:rPr>
                <w:b w:val="0"/>
                <w:bCs w:val="0"/>
                <w:vertAlign w:val="superscript"/>
              </w:rPr>
            </w:pPr>
            <w:r>
              <w:rPr>
                <w:b w:val="0"/>
                <w:bCs w:val="0"/>
              </w:rPr>
              <w:t xml:space="preserve">self-reported health status (n; </w:t>
            </w:r>
            <w:r w:rsidRPr="004B2864">
              <w:rPr>
                <w:b w:val="0"/>
                <w:bCs w:val="0"/>
              </w:rPr>
              <w:t>%</w:t>
            </w:r>
            <w:r>
              <w:rPr>
                <w:b w:val="0"/>
                <w:bCs w:val="0"/>
              </w:rPr>
              <w:t>of participants)</w:t>
            </w:r>
            <w:r>
              <w:rPr>
                <w:b w:val="0"/>
                <w:bCs w:val="0"/>
                <w:vertAlign w:val="superscript"/>
              </w:rPr>
              <w:t>a</w:t>
            </w:r>
          </w:p>
        </w:tc>
        <w:tc>
          <w:tcPr>
            <w:tcW w:w="4105" w:type="dxa"/>
          </w:tcPr>
          <w:p w14:paraId="484DCF52" w14:textId="77777777" w:rsidR="00C3385A" w:rsidRDefault="00C3385A" w:rsidP="006632CC">
            <w:pPr>
              <w:cnfStyle w:val="000000100000" w:firstRow="0" w:lastRow="0" w:firstColumn="0" w:lastColumn="0" w:oddVBand="0" w:evenVBand="0" w:oddHBand="1" w:evenHBand="0" w:firstRowFirstColumn="0" w:firstRowLastColumn="0" w:lastRowFirstColumn="0" w:lastRowLastColumn="0"/>
            </w:pPr>
          </w:p>
        </w:tc>
      </w:tr>
      <w:tr w:rsidR="00C3385A" w14:paraId="761E197E" w14:textId="77777777" w:rsidTr="006632CC">
        <w:tc>
          <w:tcPr>
            <w:cnfStyle w:val="001000000000" w:firstRow="0" w:lastRow="0" w:firstColumn="1" w:lastColumn="0" w:oddVBand="0" w:evenVBand="0" w:oddHBand="0" w:evenHBand="0" w:firstRowFirstColumn="0" w:firstRowLastColumn="0" w:lastRowFirstColumn="0" w:lastRowLastColumn="0"/>
            <w:tcW w:w="4957" w:type="dxa"/>
          </w:tcPr>
          <w:p w14:paraId="55777AC4" w14:textId="77777777" w:rsidR="00C3385A" w:rsidRDefault="00C3385A" w:rsidP="006632CC">
            <w:r>
              <w:rPr>
                <w:b w:val="0"/>
                <w:bCs w:val="0"/>
              </w:rPr>
              <w:t xml:space="preserve">very poor </w:t>
            </w:r>
          </w:p>
          <w:p w14:paraId="63AD833F" w14:textId="77777777" w:rsidR="00C3385A" w:rsidRDefault="00C3385A" w:rsidP="006632CC">
            <w:r>
              <w:rPr>
                <w:b w:val="0"/>
                <w:bCs w:val="0"/>
              </w:rPr>
              <w:t>poor</w:t>
            </w:r>
          </w:p>
          <w:p w14:paraId="1291041F" w14:textId="77777777" w:rsidR="00C3385A" w:rsidRDefault="00C3385A" w:rsidP="006632CC">
            <w:r>
              <w:rPr>
                <w:b w:val="0"/>
                <w:bCs w:val="0"/>
              </w:rPr>
              <w:t>moderate</w:t>
            </w:r>
          </w:p>
          <w:p w14:paraId="6057D2E1" w14:textId="77777777" w:rsidR="00C3385A" w:rsidRDefault="00C3385A" w:rsidP="006632CC">
            <w:r>
              <w:rPr>
                <w:b w:val="0"/>
                <w:bCs w:val="0"/>
              </w:rPr>
              <w:t xml:space="preserve">good </w:t>
            </w:r>
          </w:p>
          <w:p w14:paraId="2441F5BB" w14:textId="77777777" w:rsidR="00C3385A" w:rsidRDefault="00C3385A" w:rsidP="006632CC">
            <w:pPr>
              <w:rPr>
                <w:b w:val="0"/>
                <w:bCs w:val="0"/>
              </w:rPr>
            </w:pPr>
            <w:r>
              <w:rPr>
                <w:b w:val="0"/>
                <w:bCs w:val="0"/>
              </w:rPr>
              <w:t>very good</w:t>
            </w:r>
          </w:p>
        </w:tc>
        <w:tc>
          <w:tcPr>
            <w:tcW w:w="4105" w:type="dxa"/>
          </w:tcPr>
          <w:p w14:paraId="117CC14E"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6; 1.55%</w:t>
            </w:r>
          </w:p>
          <w:p w14:paraId="7A1093EA"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36; 9.39%</w:t>
            </w:r>
          </w:p>
          <w:p w14:paraId="69077C41"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151; 39.02%</w:t>
            </w:r>
          </w:p>
          <w:p w14:paraId="5F36BA61"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142; 36.69%</w:t>
            </w:r>
          </w:p>
          <w:p w14:paraId="5199033D"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52; 13.44%</w:t>
            </w:r>
          </w:p>
        </w:tc>
      </w:tr>
      <w:tr w:rsidR="00C3385A" w14:paraId="3A143095" w14:textId="77777777" w:rsidTr="00663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7BC4EAE9" w14:textId="77777777" w:rsidR="00C3385A" w:rsidRPr="003A35A5" w:rsidRDefault="00C3385A" w:rsidP="006632CC">
            <w:pPr>
              <w:rPr>
                <w:b w:val="0"/>
                <w:bCs w:val="0"/>
                <w:color w:val="FF0000"/>
              </w:rPr>
            </w:pPr>
            <w:r w:rsidRPr="003A35A5">
              <w:rPr>
                <w:b w:val="0"/>
                <w:bCs w:val="0"/>
              </w:rPr>
              <w:t>frailty score</w:t>
            </w:r>
            <w:r>
              <w:rPr>
                <w:b w:val="0"/>
                <w:bCs w:val="0"/>
              </w:rPr>
              <w:t xml:space="preserve"> (n; </w:t>
            </w:r>
            <w:r w:rsidRPr="004B2864">
              <w:rPr>
                <w:b w:val="0"/>
                <w:bCs w:val="0"/>
              </w:rPr>
              <w:t>%</w:t>
            </w:r>
            <w:r>
              <w:rPr>
                <w:b w:val="0"/>
                <w:bCs w:val="0"/>
              </w:rPr>
              <w:t>of participants)</w:t>
            </w:r>
          </w:p>
        </w:tc>
        <w:tc>
          <w:tcPr>
            <w:tcW w:w="4105" w:type="dxa"/>
          </w:tcPr>
          <w:p w14:paraId="4C74DB77" w14:textId="77777777" w:rsidR="00C3385A" w:rsidRDefault="00C3385A" w:rsidP="006632CC">
            <w:pPr>
              <w:cnfStyle w:val="000000100000" w:firstRow="0" w:lastRow="0" w:firstColumn="0" w:lastColumn="0" w:oddVBand="0" w:evenVBand="0" w:oddHBand="1" w:evenHBand="0" w:firstRowFirstColumn="0" w:firstRowLastColumn="0" w:lastRowFirstColumn="0" w:lastRowLastColumn="0"/>
            </w:pPr>
          </w:p>
        </w:tc>
      </w:tr>
      <w:tr w:rsidR="00C3385A" w14:paraId="5A03A41F" w14:textId="77777777" w:rsidTr="006632CC">
        <w:tc>
          <w:tcPr>
            <w:cnfStyle w:val="001000000000" w:firstRow="0" w:lastRow="0" w:firstColumn="1" w:lastColumn="0" w:oddVBand="0" w:evenVBand="0" w:oddHBand="0" w:evenHBand="0" w:firstRowFirstColumn="0" w:firstRowLastColumn="0" w:lastRowFirstColumn="0" w:lastRowLastColumn="0"/>
            <w:tcW w:w="4957" w:type="dxa"/>
          </w:tcPr>
          <w:p w14:paraId="3398A17E" w14:textId="77777777" w:rsidR="00C3385A" w:rsidRPr="000A6A46" w:rsidRDefault="00C3385A" w:rsidP="006632CC">
            <w:pPr>
              <w:rPr>
                <w:b w:val="0"/>
                <w:bCs w:val="0"/>
              </w:rPr>
            </w:pPr>
            <w:r w:rsidRPr="000A6A46">
              <w:rPr>
                <w:b w:val="0"/>
                <w:bCs w:val="0"/>
              </w:rPr>
              <w:t>non frail</w:t>
            </w:r>
            <w:r>
              <w:rPr>
                <w:b w:val="0"/>
                <w:bCs w:val="0"/>
              </w:rPr>
              <w:t xml:space="preserve"> (score 3 or less)</w:t>
            </w:r>
          </w:p>
          <w:p w14:paraId="01781EB1" w14:textId="77777777" w:rsidR="00C3385A" w:rsidRPr="00793722" w:rsidRDefault="00C3385A" w:rsidP="006632CC">
            <w:pPr>
              <w:rPr>
                <w:color w:val="FF0000"/>
              </w:rPr>
            </w:pPr>
            <w:r w:rsidRPr="000A6A46">
              <w:rPr>
                <w:b w:val="0"/>
                <w:bCs w:val="0"/>
              </w:rPr>
              <w:t>frail</w:t>
            </w:r>
            <w:r>
              <w:rPr>
                <w:b w:val="0"/>
                <w:bCs w:val="0"/>
              </w:rPr>
              <w:t xml:space="preserve"> (score 4 or higher)</w:t>
            </w:r>
          </w:p>
        </w:tc>
        <w:tc>
          <w:tcPr>
            <w:tcW w:w="4105" w:type="dxa"/>
          </w:tcPr>
          <w:p w14:paraId="783E1D73"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285; 74.22%</w:t>
            </w:r>
          </w:p>
          <w:p w14:paraId="01FCCAFB"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25.78%</w:t>
            </w:r>
          </w:p>
        </w:tc>
      </w:tr>
      <w:tr w:rsidR="00C3385A" w14:paraId="2CBC71DD" w14:textId="77777777" w:rsidTr="00663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58BC2828" w14:textId="77777777" w:rsidR="00C3385A" w:rsidRPr="00520D36" w:rsidRDefault="00C3385A" w:rsidP="006632CC">
            <w:pPr>
              <w:rPr>
                <w:b w:val="0"/>
                <w:bCs w:val="0"/>
                <w:vertAlign w:val="superscript"/>
              </w:rPr>
            </w:pPr>
            <w:r w:rsidRPr="008E6F5F">
              <w:rPr>
                <w:b w:val="0"/>
                <w:bCs w:val="0"/>
              </w:rPr>
              <w:t xml:space="preserve">length of medicine use </w:t>
            </w:r>
            <w:r>
              <w:rPr>
                <w:b w:val="0"/>
                <w:bCs w:val="0"/>
              </w:rPr>
              <w:t>(</w:t>
            </w:r>
            <w:r w:rsidRPr="004B2864">
              <w:rPr>
                <w:b w:val="0"/>
                <w:bCs w:val="0"/>
              </w:rPr>
              <w:t>median, IQR</w:t>
            </w:r>
            <w:r>
              <w:rPr>
                <w:b w:val="0"/>
                <w:bCs w:val="0"/>
              </w:rPr>
              <w:t>)</w:t>
            </w:r>
            <w:r>
              <w:rPr>
                <w:b w:val="0"/>
                <w:bCs w:val="0"/>
                <w:vertAlign w:val="superscript"/>
              </w:rPr>
              <w:t>c</w:t>
            </w:r>
          </w:p>
        </w:tc>
        <w:tc>
          <w:tcPr>
            <w:tcW w:w="4105" w:type="dxa"/>
          </w:tcPr>
          <w:p w14:paraId="455D70C8" w14:textId="77777777" w:rsidR="00C3385A" w:rsidRDefault="00C3385A" w:rsidP="006632CC">
            <w:pPr>
              <w:cnfStyle w:val="000000100000" w:firstRow="0" w:lastRow="0" w:firstColumn="0" w:lastColumn="0" w:oddVBand="0" w:evenVBand="0" w:oddHBand="1" w:evenHBand="0" w:firstRowFirstColumn="0" w:firstRowLastColumn="0" w:lastRowFirstColumn="0" w:lastRowLastColumn="0"/>
            </w:pPr>
          </w:p>
        </w:tc>
      </w:tr>
      <w:tr w:rsidR="00C3385A" w14:paraId="1CC4E2E4" w14:textId="77777777" w:rsidTr="006632CC">
        <w:trPr>
          <w:trHeight w:val="826"/>
        </w:trPr>
        <w:tc>
          <w:tcPr>
            <w:cnfStyle w:val="001000000000" w:firstRow="0" w:lastRow="0" w:firstColumn="1" w:lastColumn="0" w:oddVBand="0" w:evenVBand="0" w:oddHBand="0" w:evenHBand="0" w:firstRowFirstColumn="0" w:firstRowLastColumn="0" w:lastRowFirstColumn="0" w:lastRowLastColumn="0"/>
            <w:tcW w:w="4957" w:type="dxa"/>
          </w:tcPr>
          <w:p w14:paraId="5468F085" w14:textId="77777777" w:rsidR="00C3385A" w:rsidRPr="004B2864" w:rsidRDefault="00C3385A" w:rsidP="006632CC">
            <w:r w:rsidRPr="004B2864">
              <w:rPr>
                <w:b w:val="0"/>
                <w:bCs w:val="0"/>
              </w:rPr>
              <w:t>PPI</w:t>
            </w:r>
          </w:p>
          <w:p w14:paraId="58DFF1DC" w14:textId="77777777" w:rsidR="00C3385A" w:rsidRPr="004B2864" w:rsidRDefault="00C3385A" w:rsidP="006632CC">
            <w:r w:rsidRPr="004B2864">
              <w:rPr>
                <w:b w:val="0"/>
                <w:bCs w:val="0"/>
              </w:rPr>
              <w:t>NSAID</w:t>
            </w:r>
          </w:p>
          <w:p w14:paraId="224E7312" w14:textId="77777777" w:rsidR="00C3385A" w:rsidRDefault="00C3385A" w:rsidP="006632CC">
            <w:r w:rsidRPr="004B2864">
              <w:rPr>
                <w:b w:val="0"/>
                <w:bCs w:val="0"/>
              </w:rPr>
              <w:t>OPIOID</w:t>
            </w:r>
          </w:p>
          <w:p w14:paraId="36A12D77" w14:textId="77777777" w:rsidR="00C3385A" w:rsidRPr="004B2864" w:rsidRDefault="00C3385A" w:rsidP="006632CC">
            <w:pPr>
              <w:rPr>
                <w:b w:val="0"/>
                <w:bCs w:val="0"/>
              </w:rPr>
            </w:pPr>
            <w:r>
              <w:rPr>
                <w:b w:val="0"/>
                <w:bCs w:val="0"/>
              </w:rPr>
              <w:t>BZN</w:t>
            </w:r>
          </w:p>
        </w:tc>
        <w:tc>
          <w:tcPr>
            <w:tcW w:w="4105" w:type="dxa"/>
          </w:tcPr>
          <w:p w14:paraId="605A0359"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4 years (IQR 2-6)</w:t>
            </w:r>
          </w:p>
          <w:p w14:paraId="783F545B"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3 years (IQR 2-5 years)</w:t>
            </w:r>
          </w:p>
          <w:p w14:paraId="30941DE5"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2.5 years (IQR 2-5 years)</w:t>
            </w:r>
          </w:p>
          <w:p w14:paraId="3D4BB754"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5 years (IQR 2-10 years)</w:t>
            </w:r>
          </w:p>
        </w:tc>
      </w:tr>
      <w:tr w:rsidR="00C3385A" w14:paraId="09368578" w14:textId="77777777" w:rsidTr="00663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48410258" w14:textId="77777777" w:rsidR="00C3385A" w:rsidRPr="004B2864" w:rsidRDefault="00C3385A" w:rsidP="006632CC">
            <w:pPr>
              <w:rPr>
                <w:b w:val="0"/>
                <w:bCs w:val="0"/>
              </w:rPr>
            </w:pPr>
            <w:r>
              <w:rPr>
                <w:b w:val="0"/>
                <w:bCs w:val="0"/>
              </w:rPr>
              <w:t xml:space="preserve">type of medicine (n; </w:t>
            </w:r>
            <w:r w:rsidRPr="004B2864">
              <w:rPr>
                <w:b w:val="0"/>
                <w:bCs w:val="0"/>
              </w:rPr>
              <w:t>%</w:t>
            </w:r>
            <w:r>
              <w:rPr>
                <w:b w:val="0"/>
                <w:bCs w:val="0"/>
              </w:rPr>
              <w:t>of participants)</w:t>
            </w:r>
          </w:p>
        </w:tc>
        <w:tc>
          <w:tcPr>
            <w:tcW w:w="4105" w:type="dxa"/>
          </w:tcPr>
          <w:p w14:paraId="0103C8AF" w14:textId="77777777" w:rsidR="00C3385A" w:rsidRDefault="00C3385A" w:rsidP="006632CC">
            <w:pPr>
              <w:cnfStyle w:val="000000100000" w:firstRow="0" w:lastRow="0" w:firstColumn="0" w:lastColumn="0" w:oddVBand="0" w:evenVBand="0" w:oddHBand="1" w:evenHBand="0" w:firstRowFirstColumn="0" w:firstRowLastColumn="0" w:lastRowFirstColumn="0" w:lastRowLastColumn="0"/>
            </w:pPr>
          </w:p>
        </w:tc>
      </w:tr>
      <w:tr w:rsidR="00C3385A" w14:paraId="05AB9443" w14:textId="77777777" w:rsidTr="006632CC">
        <w:trPr>
          <w:trHeight w:val="1961"/>
        </w:trPr>
        <w:tc>
          <w:tcPr>
            <w:cnfStyle w:val="001000000000" w:firstRow="0" w:lastRow="0" w:firstColumn="1" w:lastColumn="0" w:oddVBand="0" w:evenVBand="0" w:oddHBand="0" w:evenHBand="0" w:firstRowFirstColumn="0" w:firstRowLastColumn="0" w:lastRowFirstColumn="0" w:lastRowLastColumn="0"/>
            <w:tcW w:w="4957" w:type="dxa"/>
          </w:tcPr>
          <w:p w14:paraId="0BAB004D" w14:textId="77777777" w:rsidR="00C3385A" w:rsidRDefault="00C3385A" w:rsidP="006632CC">
            <w:r>
              <w:t xml:space="preserve">use of single type of medicine </w:t>
            </w:r>
          </w:p>
          <w:p w14:paraId="3A372F53" w14:textId="77777777" w:rsidR="00C3385A" w:rsidRPr="004B2864" w:rsidRDefault="00C3385A" w:rsidP="006632CC">
            <w:r w:rsidRPr="004B2864">
              <w:rPr>
                <w:b w:val="0"/>
                <w:bCs w:val="0"/>
              </w:rPr>
              <w:t>PPI</w:t>
            </w:r>
          </w:p>
          <w:p w14:paraId="721F5ED3" w14:textId="77777777" w:rsidR="00C3385A" w:rsidRPr="004B2864" w:rsidRDefault="00C3385A" w:rsidP="006632CC">
            <w:r w:rsidRPr="004B2864">
              <w:rPr>
                <w:b w:val="0"/>
                <w:bCs w:val="0"/>
              </w:rPr>
              <w:t>NSAID</w:t>
            </w:r>
          </w:p>
          <w:p w14:paraId="3885BABD" w14:textId="77777777" w:rsidR="00C3385A" w:rsidRPr="004B2864" w:rsidRDefault="00C3385A" w:rsidP="006632CC">
            <w:r w:rsidRPr="004B2864">
              <w:rPr>
                <w:b w:val="0"/>
                <w:bCs w:val="0"/>
              </w:rPr>
              <w:t>OPIOID</w:t>
            </w:r>
          </w:p>
          <w:p w14:paraId="7D59C8B0" w14:textId="77777777" w:rsidR="00C3385A" w:rsidRDefault="00C3385A" w:rsidP="006632CC">
            <w:r w:rsidRPr="004B2864">
              <w:rPr>
                <w:b w:val="0"/>
                <w:bCs w:val="0"/>
              </w:rPr>
              <w:t>BZN</w:t>
            </w:r>
          </w:p>
          <w:p w14:paraId="7874F495" w14:textId="77777777" w:rsidR="00C3385A" w:rsidRDefault="00C3385A" w:rsidP="006632CC">
            <w:pPr>
              <w:rPr>
                <w:b w:val="0"/>
                <w:bCs w:val="0"/>
              </w:rPr>
            </w:pPr>
            <w:r w:rsidRPr="009E09DC">
              <w:t>combination of two medicines</w:t>
            </w:r>
          </w:p>
          <w:p w14:paraId="39D7E0A8" w14:textId="77777777" w:rsidR="00C3385A" w:rsidRPr="004B2864" w:rsidRDefault="00C3385A" w:rsidP="006632CC">
            <w:r w:rsidRPr="004B2864">
              <w:rPr>
                <w:b w:val="0"/>
                <w:bCs w:val="0"/>
              </w:rPr>
              <w:t>PPI + NSAID</w:t>
            </w:r>
          </w:p>
          <w:p w14:paraId="29D24F7F" w14:textId="77777777" w:rsidR="00C3385A" w:rsidRPr="004B2864" w:rsidRDefault="00C3385A" w:rsidP="006632CC">
            <w:r w:rsidRPr="004B2864">
              <w:rPr>
                <w:b w:val="0"/>
                <w:bCs w:val="0"/>
              </w:rPr>
              <w:t>PPI + OPIOID</w:t>
            </w:r>
          </w:p>
          <w:p w14:paraId="0440730A" w14:textId="77777777" w:rsidR="00C3385A" w:rsidRPr="004B2864" w:rsidRDefault="00C3385A" w:rsidP="006632CC">
            <w:r w:rsidRPr="004B2864">
              <w:rPr>
                <w:b w:val="0"/>
                <w:bCs w:val="0"/>
              </w:rPr>
              <w:t>PPI + BZN</w:t>
            </w:r>
          </w:p>
          <w:p w14:paraId="3789E714" w14:textId="77777777" w:rsidR="00C3385A" w:rsidRPr="004B2864" w:rsidRDefault="00C3385A" w:rsidP="006632CC">
            <w:r w:rsidRPr="004B2864">
              <w:rPr>
                <w:b w:val="0"/>
                <w:bCs w:val="0"/>
              </w:rPr>
              <w:t>NSAID + OPIOID</w:t>
            </w:r>
          </w:p>
          <w:p w14:paraId="4072B6B1" w14:textId="77777777" w:rsidR="00C3385A" w:rsidRPr="004B2864" w:rsidRDefault="00C3385A" w:rsidP="006632CC">
            <w:r w:rsidRPr="004B2864">
              <w:rPr>
                <w:b w:val="0"/>
                <w:bCs w:val="0"/>
              </w:rPr>
              <w:t>NSAID + BZN</w:t>
            </w:r>
          </w:p>
          <w:p w14:paraId="0BD788A2" w14:textId="77777777" w:rsidR="00C3385A" w:rsidRDefault="00C3385A" w:rsidP="006632CC">
            <w:r w:rsidRPr="004B2864">
              <w:rPr>
                <w:b w:val="0"/>
                <w:bCs w:val="0"/>
              </w:rPr>
              <w:t>OPIOID + BZN</w:t>
            </w:r>
          </w:p>
          <w:p w14:paraId="66A16AA4" w14:textId="77777777" w:rsidR="00C3385A" w:rsidRPr="002640C4" w:rsidRDefault="00C3385A" w:rsidP="006632CC">
            <w:r w:rsidRPr="009E09DC">
              <w:t xml:space="preserve">combination of </w:t>
            </w:r>
            <w:r w:rsidRPr="002640C4">
              <w:t>three medicines</w:t>
            </w:r>
          </w:p>
          <w:p w14:paraId="598513D5" w14:textId="77777777" w:rsidR="00C3385A" w:rsidRPr="004B2864" w:rsidRDefault="00C3385A" w:rsidP="006632CC">
            <w:r w:rsidRPr="004B2864">
              <w:rPr>
                <w:b w:val="0"/>
                <w:bCs w:val="0"/>
              </w:rPr>
              <w:t>PPI + NSAID + OPIOID</w:t>
            </w:r>
          </w:p>
          <w:p w14:paraId="6156AEB0" w14:textId="77777777" w:rsidR="00C3385A" w:rsidRPr="004B2864" w:rsidRDefault="00C3385A" w:rsidP="006632CC">
            <w:r w:rsidRPr="004B2864">
              <w:rPr>
                <w:b w:val="0"/>
                <w:bCs w:val="0"/>
              </w:rPr>
              <w:t>PPI + NSAID + BZN</w:t>
            </w:r>
          </w:p>
          <w:p w14:paraId="55788DBF" w14:textId="77777777" w:rsidR="00C3385A" w:rsidRDefault="00C3385A" w:rsidP="006632CC">
            <w:pPr>
              <w:rPr>
                <w:b w:val="0"/>
                <w:bCs w:val="0"/>
              </w:rPr>
            </w:pPr>
            <w:r w:rsidRPr="004B2864">
              <w:rPr>
                <w:b w:val="0"/>
                <w:bCs w:val="0"/>
              </w:rPr>
              <w:t>PPI + OPIOID + BZN</w:t>
            </w:r>
          </w:p>
          <w:p w14:paraId="0CE2C33D" w14:textId="77777777" w:rsidR="00C3385A" w:rsidRDefault="00C3385A" w:rsidP="006632CC">
            <w:pPr>
              <w:rPr>
                <w:b w:val="0"/>
                <w:bCs w:val="0"/>
              </w:rPr>
            </w:pPr>
            <w:r w:rsidRPr="004B2864">
              <w:rPr>
                <w:b w:val="0"/>
                <w:bCs w:val="0"/>
              </w:rPr>
              <w:t>NSAID + OPIOID + BZN</w:t>
            </w:r>
          </w:p>
          <w:p w14:paraId="7268AF62" w14:textId="77777777" w:rsidR="00C3385A" w:rsidRPr="002640C4" w:rsidRDefault="00C3385A" w:rsidP="006632CC">
            <w:r w:rsidRPr="009E09DC">
              <w:t xml:space="preserve">combination of </w:t>
            </w:r>
            <w:r w:rsidRPr="002640C4">
              <w:t>four medicines</w:t>
            </w:r>
          </w:p>
          <w:p w14:paraId="351D3398" w14:textId="77777777" w:rsidR="00C3385A" w:rsidRPr="00D516A8" w:rsidRDefault="00C3385A" w:rsidP="006632CC">
            <w:r w:rsidRPr="004B2864">
              <w:rPr>
                <w:b w:val="0"/>
                <w:bCs w:val="0"/>
              </w:rPr>
              <w:t>PPI + NSAID + OPIOID + BZN</w:t>
            </w:r>
          </w:p>
        </w:tc>
        <w:tc>
          <w:tcPr>
            <w:tcW w:w="4105" w:type="dxa"/>
          </w:tcPr>
          <w:p w14:paraId="3C5124C3"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p>
          <w:p w14:paraId="0FFC1ED1" w14:textId="77777777" w:rsidR="00C3385A" w:rsidRPr="009E09DC" w:rsidRDefault="00C3385A" w:rsidP="006632CC">
            <w:pPr>
              <w:cnfStyle w:val="000000000000" w:firstRow="0" w:lastRow="0" w:firstColumn="0" w:lastColumn="0" w:oddVBand="0" w:evenVBand="0" w:oddHBand="0" w:evenHBand="0" w:firstRowFirstColumn="0" w:firstRowLastColumn="0" w:lastRowFirstColumn="0" w:lastRowLastColumn="0"/>
            </w:pPr>
            <w:r>
              <w:t xml:space="preserve">31; </w:t>
            </w:r>
            <w:r w:rsidRPr="009E09DC">
              <w:t>7.99%</w:t>
            </w:r>
          </w:p>
          <w:p w14:paraId="5636E076" w14:textId="77777777" w:rsidR="00C3385A" w:rsidRPr="009E09DC" w:rsidRDefault="00C3385A" w:rsidP="006632CC">
            <w:pPr>
              <w:cnfStyle w:val="000000000000" w:firstRow="0" w:lastRow="0" w:firstColumn="0" w:lastColumn="0" w:oddVBand="0" w:evenVBand="0" w:oddHBand="0" w:evenHBand="0" w:firstRowFirstColumn="0" w:firstRowLastColumn="0" w:lastRowFirstColumn="0" w:lastRowLastColumn="0"/>
            </w:pPr>
            <w:r>
              <w:t xml:space="preserve">46; </w:t>
            </w:r>
            <w:r w:rsidRPr="009E09DC">
              <w:t>11.86%</w:t>
            </w:r>
          </w:p>
          <w:p w14:paraId="124DF2F9" w14:textId="77777777" w:rsidR="00C3385A" w:rsidRPr="009E09DC" w:rsidRDefault="00C3385A" w:rsidP="006632CC">
            <w:pPr>
              <w:cnfStyle w:val="000000000000" w:firstRow="0" w:lastRow="0" w:firstColumn="0" w:lastColumn="0" w:oddVBand="0" w:evenVBand="0" w:oddHBand="0" w:evenHBand="0" w:firstRowFirstColumn="0" w:firstRowLastColumn="0" w:lastRowFirstColumn="0" w:lastRowLastColumn="0"/>
            </w:pPr>
            <w:r>
              <w:t xml:space="preserve">13; </w:t>
            </w:r>
            <w:r w:rsidRPr="009E09DC">
              <w:t>3.35%</w:t>
            </w:r>
          </w:p>
          <w:p w14:paraId="536F07B5" w14:textId="77777777" w:rsidR="00C3385A" w:rsidRPr="009E09DC" w:rsidRDefault="00C3385A" w:rsidP="006632CC">
            <w:pPr>
              <w:cnfStyle w:val="000000000000" w:firstRow="0" w:lastRow="0" w:firstColumn="0" w:lastColumn="0" w:oddVBand="0" w:evenVBand="0" w:oddHBand="0" w:evenHBand="0" w:firstRowFirstColumn="0" w:firstRowLastColumn="0" w:lastRowFirstColumn="0" w:lastRowLastColumn="0"/>
            </w:pPr>
            <w:r>
              <w:t xml:space="preserve">46; </w:t>
            </w:r>
            <w:r w:rsidRPr="009E09DC">
              <w:t>11.86%</w:t>
            </w:r>
          </w:p>
          <w:p w14:paraId="65878F02" w14:textId="77777777" w:rsidR="00C3385A" w:rsidRPr="00682445" w:rsidRDefault="00C3385A" w:rsidP="006632CC">
            <w:pPr>
              <w:cnfStyle w:val="000000000000" w:firstRow="0" w:lastRow="0" w:firstColumn="0" w:lastColumn="0" w:oddVBand="0" w:evenVBand="0" w:oddHBand="0" w:evenHBand="0" w:firstRowFirstColumn="0" w:firstRowLastColumn="0" w:lastRowFirstColumn="0" w:lastRowLastColumn="0"/>
              <w:rPr>
                <w:b/>
                <w:bCs/>
              </w:rPr>
            </w:pPr>
            <w:r w:rsidRPr="00682445">
              <w:rPr>
                <w:b/>
                <w:bCs/>
              </w:rPr>
              <w:t>22.16%</w:t>
            </w:r>
          </w:p>
          <w:p w14:paraId="1C861AEB"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7; 1.80%</w:t>
            </w:r>
          </w:p>
          <w:p w14:paraId="5FC35F05"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10; 2.58%</w:t>
            </w:r>
          </w:p>
          <w:p w14:paraId="65211EC0"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31; 8.25%</w:t>
            </w:r>
          </w:p>
          <w:p w14:paraId="42A5A715"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5; 1.29%</w:t>
            </w:r>
          </w:p>
          <w:p w14:paraId="6807A9B7"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23; 5.92%</w:t>
            </w:r>
          </w:p>
          <w:p w14:paraId="0906D090"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9; 2.32%</w:t>
            </w:r>
          </w:p>
          <w:p w14:paraId="657BDA2F" w14:textId="77777777" w:rsidR="00C3385A" w:rsidRPr="00682445" w:rsidRDefault="00C3385A" w:rsidP="006632CC">
            <w:pPr>
              <w:cnfStyle w:val="000000000000" w:firstRow="0" w:lastRow="0" w:firstColumn="0" w:lastColumn="0" w:oddVBand="0" w:evenVBand="0" w:oddHBand="0" w:evenHBand="0" w:firstRowFirstColumn="0" w:firstRowLastColumn="0" w:lastRowFirstColumn="0" w:lastRowLastColumn="0"/>
              <w:rPr>
                <w:b/>
                <w:bCs/>
              </w:rPr>
            </w:pPr>
            <w:r w:rsidRPr="00682445">
              <w:rPr>
                <w:b/>
                <w:bCs/>
              </w:rPr>
              <w:t>11.33%</w:t>
            </w:r>
          </w:p>
          <w:p w14:paraId="5B6E2DEA"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3; 0.77%</w:t>
            </w:r>
          </w:p>
          <w:p w14:paraId="2CE458FA"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24; 6.18%</w:t>
            </w:r>
          </w:p>
          <w:p w14:paraId="4F364909"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13; 3.35%</w:t>
            </w:r>
          </w:p>
          <w:p w14:paraId="709CAC6B"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4; 1.03%</w:t>
            </w:r>
          </w:p>
          <w:p w14:paraId="458F7005"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p>
          <w:p w14:paraId="2AC94011" w14:textId="77777777" w:rsidR="00C3385A" w:rsidRDefault="00C3385A" w:rsidP="006632CC">
            <w:pPr>
              <w:cnfStyle w:val="000000000000" w:firstRow="0" w:lastRow="0" w:firstColumn="0" w:lastColumn="0" w:oddVBand="0" w:evenVBand="0" w:oddHBand="0" w:evenHBand="0" w:firstRowFirstColumn="0" w:firstRowLastColumn="0" w:lastRowFirstColumn="0" w:lastRowLastColumn="0"/>
            </w:pPr>
            <w:r>
              <w:t>3; 0.77%</w:t>
            </w:r>
          </w:p>
        </w:tc>
      </w:tr>
      <w:tr w:rsidR="00C3385A" w14:paraId="03E059A0" w14:textId="77777777" w:rsidTr="00663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226377C7" w14:textId="77777777" w:rsidR="00C3385A" w:rsidRDefault="00C3385A" w:rsidP="006632CC"/>
        </w:tc>
        <w:tc>
          <w:tcPr>
            <w:tcW w:w="4105" w:type="dxa"/>
          </w:tcPr>
          <w:p w14:paraId="5CF6D1ED" w14:textId="77777777" w:rsidR="00C3385A" w:rsidRDefault="00C3385A" w:rsidP="006632CC">
            <w:pPr>
              <w:cnfStyle w:val="000000100000" w:firstRow="0" w:lastRow="0" w:firstColumn="0" w:lastColumn="0" w:oddVBand="0" w:evenVBand="0" w:oddHBand="1" w:evenHBand="0" w:firstRowFirstColumn="0" w:firstRowLastColumn="0" w:lastRowFirstColumn="0" w:lastRowLastColumn="0"/>
            </w:pPr>
          </w:p>
        </w:tc>
      </w:tr>
    </w:tbl>
    <w:p w14:paraId="50DB1183" w14:textId="77777777" w:rsidR="00C3385A" w:rsidRDefault="00C3385A" w:rsidP="00C3385A">
      <w:pPr>
        <w:rPr>
          <w:b/>
          <w:bCs/>
        </w:rPr>
        <w:sectPr w:rsidR="00C3385A" w:rsidSect="0060781C">
          <w:type w:val="nextPage"/>
          <w:pgSz w:w="11906" w:h="16838"/>
          <w:pgMar w:top="567" w:right="567" w:bottom="567" w:left="567" w:header="709" w:footer="709" w:gutter="0"/>
          <w:cols w:space="708"/>
          <w:docGrid w:linePitch="360"/>
        </w:sectPr>
      </w:pPr>
    </w:p>
    <w:p w14:paraId="40591474" w14:textId="71CD44A3" w:rsidR="002F065C" w:rsidRDefault="00D05786" w:rsidP="002F065C">
      <w:pPr>
        <w:pStyle w:val="Caption"/>
        <w:keepNext/>
      </w:pPr>
      <w:r>
        <w:lastRenderedPageBreak/>
        <w:t>Appendix t</w:t>
      </w:r>
      <w:r w:rsidR="002F065C">
        <w:t xml:space="preserve">able </w:t>
      </w:r>
      <w:r w:rsidR="0060781C">
        <w:rPr>
          <w:noProof/>
        </w:rPr>
        <w:fldChar w:fldCharType="begin"/>
      </w:r>
      <w:r w:rsidR="0060781C">
        <w:rPr>
          <w:noProof/>
        </w:rPr>
        <w:instrText xml:space="preserve"> SEQ Table \* ARABIC </w:instrText>
      </w:r>
      <w:r w:rsidR="0060781C">
        <w:rPr>
          <w:noProof/>
        </w:rPr>
        <w:fldChar w:fldCharType="separate"/>
      </w:r>
      <w:r w:rsidR="000D07AF">
        <w:rPr>
          <w:noProof/>
        </w:rPr>
        <w:t>2</w:t>
      </w:r>
      <w:r w:rsidR="0060781C">
        <w:rPr>
          <w:noProof/>
        </w:rPr>
        <w:fldChar w:fldCharType="end"/>
      </w:r>
      <w:r w:rsidR="002F065C">
        <w:t xml:space="preserve"> analysis of </w:t>
      </w:r>
      <w:proofErr w:type="spellStart"/>
      <w:r w:rsidR="002F065C">
        <w:t>deprescribing</w:t>
      </w:r>
      <w:proofErr w:type="spellEnd"/>
      <w:r w:rsidR="002F065C">
        <w:t xml:space="preserve"> criteria</w:t>
      </w:r>
    </w:p>
    <w:tbl>
      <w:tblPr>
        <w:tblStyle w:val="TableGrid"/>
        <w:tblW w:w="15773" w:type="dxa"/>
        <w:tblLook w:val="04A0" w:firstRow="1" w:lastRow="0" w:firstColumn="1" w:lastColumn="0" w:noHBand="0" w:noVBand="1"/>
      </w:tblPr>
      <w:tblGrid>
        <w:gridCol w:w="2814"/>
        <w:gridCol w:w="2676"/>
        <w:gridCol w:w="563"/>
        <w:gridCol w:w="3100"/>
        <w:gridCol w:w="495"/>
        <w:gridCol w:w="2607"/>
        <w:gridCol w:w="405"/>
        <w:gridCol w:w="50"/>
        <w:gridCol w:w="2644"/>
        <w:gridCol w:w="419"/>
      </w:tblGrid>
      <w:tr w:rsidR="002F065C" w:rsidRPr="00750739" w14:paraId="6815CF55" w14:textId="77777777" w:rsidTr="006632CC">
        <w:trPr>
          <w:trHeight w:val="259"/>
        </w:trPr>
        <w:tc>
          <w:tcPr>
            <w:tcW w:w="2814" w:type="dxa"/>
            <w:vAlign w:val="center"/>
          </w:tcPr>
          <w:p w14:paraId="34728BD2" w14:textId="77777777" w:rsidR="002F065C" w:rsidRPr="00750739" w:rsidRDefault="002F065C" w:rsidP="006632CC">
            <w:pPr>
              <w:jc w:val="center"/>
              <w:rPr>
                <w:b/>
                <w:bCs/>
                <w:sz w:val="20"/>
                <w:szCs w:val="20"/>
              </w:rPr>
            </w:pPr>
            <w:r w:rsidRPr="00750739">
              <w:rPr>
                <w:b/>
                <w:bCs/>
                <w:sz w:val="20"/>
                <w:szCs w:val="20"/>
              </w:rPr>
              <w:t>CRITERIA</w:t>
            </w:r>
          </w:p>
        </w:tc>
        <w:tc>
          <w:tcPr>
            <w:tcW w:w="3239" w:type="dxa"/>
            <w:gridSpan w:val="2"/>
            <w:vAlign w:val="center"/>
          </w:tcPr>
          <w:p w14:paraId="296ABD6C" w14:textId="77777777" w:rsidR="002F065C" w:rsidRPr="00750739" w:rsidRDefault="002F065C" w:rsidP="006632CC">
            <w:pPr>
              <w:jc w:val="center"/>
              <w:rPr>
                <w:b/>
                <w:bCs/>
                <w:sz w:val="20"/>
                <w:szCs w:val="20"/>
              </w:rPr>
            </w:pPr>
            <w:r w:rsidRPr="00750739">
              <w:rPr>
                <w:b/>
                <w:bCs/>
                <w:sz w:val="20"/>
                <w:szCs w:val="20"/>
              </w:rPr>
              <w:t>PPI</w:t>
            </w:r>
          </w:p>
        </w:tc>
        <w:tc>
          <w:tcPr>
            <w:tcW w:w="3595" w:type="dxa"/>
            <w:gridSpan w:val="2"/>
            <w:vAlign w:val="center"/>
          </w:tcPr>
          <w:p w14:paraId="7EF1B2AB" w14:textId="77777777" w:rsidR="002F065C" w:rsidRPr="00750739" w:rsidRDefault="002F065C" w:rsidP="006632CC">
            <w:pPr>
              <w:jc w:val="center"/>
              <w:rPr>
                <w:b/>
                <w:bCs/>
                <w:sz w:val="20"/>
                <w:szCs w:val="20"/>
              </w:rPr>
            </w:pPr>
            <w:r w:rsidRPr="00750739">
              <w:rPr>
                <w:b/>
                <w:bCs/>
                <w:sz w:val="20"/>
                <w:szCs w:val="20"/>
              </w:rPr>
              <w:t>NSAID</w:t>
            </w:r>
          </w:p>
        </w:tc>
        <w:tc>
          <w:tcPr>
            <w:tcW w:w="3012" w:type="dxa"/>
            <w:gridSpan w:val="2"/>
            <w:vAlign w:val="center"/>
          </w:tcPr>
          <w:p w14:paraId="1960538B" w14:textId="77777777" w:rsidR="002F065C" w:rsidRPr="00750739" w:rsidRDefault="002F065C" w:rsidP="006632CC">
            <w:pPr>
              <w:jc w:val="center"/>
              <w:rPr>
                <w:b/>
                <w:bCs/>
                <w:sz w:val="20"/>
                <w:szCs w:val="20"/>
              </w:rPr>
            </w:pPr>
            <w:r w:rsidRPr="00750739">
              <w:rPr>
                <w:b/>
                <w:bCs/>
                <w:sz w:val="20"/>
                <w:szCs w:val="20"/>
              </w:rPr>
              <w:t>OPI</w:t>
            </w:r>
          </w:p>
        </w:tc>
        <w:tc>
          <w:tcPr>
            <w:tcW w:w="3113" w:type="dxa"/>
            <w:gridSpan w:val="3"/>
            <w:vAlign w:val="center"/>
          </w:tcPr>
          <w:p w14:paraId="1F71B412" w14:textId="77777777" w:rsidR="002F065C" w:rsidRPr="00750739" w:rsidRDefault="002F065C" w:rsidP="006632CC">
            <w:pPr>
              <w:jc w:val="center"/>
              <w:rPr>
                <w:b/>
                <w:bCs/>
                <w:sz w:val="20"/>
                <w:szCs w:val="20"/>
              </w:rPr>
            </w:pPr>
            <w:r w:rsidRPr="00750739">
              <w:rPr>
                <w:b/>
                <w:bCs/>
                <w:sz w:val="20"/>
                <w:szCs w:val="20"/>
              </w:rPr>
              <w:t>BZN</w:t>
            </w:r>
          </w:p>
        </w:tc>
      </w:tr>
      <w:tr w:rsidR="002F065C" w:rsidRPr="00750739" w14:paraId="70F6C50E" w14:textId="77777777" w:rsidTr="006632CC">
        <w:trPr>
          <w:trHeight w:val="820"/>
        </w:trPr>
        <w:tc>
          <w:tcPr>
            <w:tcW w:w="2814" w:type="dxa"/>
            <w:vAlign w:val="center"/>
          </w:tcPr>
          <w:p w14:paraId="27BFE3F2" w14:textId="77777777" w:rsidR="002F065C" w:rsidRPr="00750739" w:rsidRDefault="002F065C" w:rsidP="006632CC">
            <w:pPr>
              <w:jc w:val="center"/>
              <w:rPr>
                <w:b/>
                <w:bCs/>
                <w:sz w:val="20"/>
                <w:szCs w:val="20"/>
              </w:rPr>
            </w:pPr>
            <w:r w:rsidRPr="00750739">
              <w:rPr>
                <w:b/>
                <w:bCs/>
                <w:sz w:val="20"/>
                <w:szCs w:val="20"/>
              </w:rPr>
              <w:t xml:space="preserve">total number of </w:t>
            </w:r>
            <w:proofErr w:type="spellStart"/>
            <w:r w:rsidRPr="00750739">
              <w:rPr>
                <w:b/>
                <w:bCs/>
                <w:sz w:val="20"/>
                <w:szCs w:val="20"/>
              </w:rPr>
              <w:t>deprescribing</w:t>
            </w:r>
            <w:proofErr w:type="spellEnd"/>
            <w:r w:rsidRPr="00750739">
              <w:rPr>
                <w:b/>
                <w:bCs/>
                <w:sz w:val="20"/>
                <w:szCs w:val="20"/>
              </w:rPr>
              <w:t xml:space="preserve"> candidates</w:t>
            </w:r>
          </w:p>
          <w:p w14:paraId="07987C41" w14:textId="77777777" w:rsidR="002F065C" w:rsidRPr="00750739" w:rsidRDefault="002F065C" w:rsidP="006632CC">
            <w:pPr>
              <w:jc w:val="center"/>
              <w:rPr>
                <w:b/>
                <w:bCs/>
                <w:sz w:val="20"/>
                <w:szCs w:val="20"/>
              </w:rPr>
            </w:pPr>
            <w:r w:rsidRPr="00750739">
              <w:rPr>
                <w:b/>
                <w:bCs/>
                <w:sz w:val="20"/>
                <w:szCs w:val="20"/>
              </w:rPr>
              <w:t>(n, % of users)</w:t>
            </w:r>
          </w:p>
        </w:tc>
        <w:tc>
          <w:tcPr>
            <w:tcW w:w="3239" w:type="dxa"/>
            <w:gridSpan w:val="2"/>
            <w:vAlign w:val="center"/>
          </w:tcPr>
          <w:p w14:paraId="7FE38C12" w14:textId="77777777" w:rsidR="002F065C" w:rsidRPr="00750739" w:rsidRDefault="002F065C" w:rsidP="006632CC">
            <w:pPr>
              <w:jc w:val="center"/>
              <w:rPr>
                <w:sz w:val="20"/>
                <w:szCs w:val="20"/>
              </w:rPr>
            </w:pPr>
            <w:r w:rsidRPr="00C81176">
              <w:rPr>
                <w:sz w:val="20"/>
                <w:szCs w:val="20"/>
              </w:rPr>
              <w:t>31.14% (n=38</w:t>
            </w:r>
            <w:r>
              <w:rPr>
                <w:sz w:val="20"/>
                <w:szCs w:val="20"/>
              </w:rPr>
              <w:t>/122</w:t>
            </w:r>
            <w:r w:rsidRPr="00C81176">
              <w:rPr>
                <w:sz w:val="20"/>
                <w:szCs w:val="20"/>
              </w:rPr>
              <w:t>)</w:t>
            </w:r>
          </w:p>
        </w:tc>
        <w:tc>
          <w:tcPr>
            <w:tcW w:w="3595" w:type="dxa"/>
            <w:gridSpan w:val="2"/>
            <w:vAlign w:val="center"/>
          </w:tcPr>
          <w:p w14:paraId="57819329" w14:textId="77777777" w:rsidR="002F065C" w:rsidRPr="00750739" w:rsidRDefault="002F065C" w:rsidP="006632CC">
            <w:pPr>
              <w:jc w:val="center"/>
              <w:rPr>
                <w:sz w:val="20"/>
                <w:szCs w:val="20"/>
              </w:rPr>
            </w:pPr>
            <w:r>
              <w:rPr>
                <w:sz w:val="20"/>
                <w:szCs w:val="20"/>
              </w:rPr>
              <w:t>74.77% (n=83/111)</w:t>
            </w:r>
          </w:p>
        </w:tc>
        <w:tc>
          <w:tcPr>
            <w:tcW w:w="3012" w:type="dxa"/>
            <w:gridSpan w:val="2"/>
            <w:vAlign w:val="center"/>
          </w:tcPr>
          <w:p w14:paraId="20F77938" w14:textId="77777777" w:rsidR="002F065C" w:rsidRPr="00750739" w:rsidRDefault="002F065C" w:rsidP="006632CC">
            <w:pPr>
              <w:jc w:val="center"/>
              <w:rPr>
                <w:sz w:val="20"/>
                <w:szCs w:val="20"/>
              </w:rPr>
            </w:pPr>
            <w:r w:rsidRPr="00750739">
              <w:rPr>
                <w:sz w:val="20"/>
                <w:szCs w:val="20"/>
              </w:rPr>
              <w:t>75.00% (n=45</w:t>
            </w:r>
            <w:r>
              <w:rPr>
                <w:sz w:val="20"/>
                <w:szCs w:val="20"/>
              </w:rPr>
              <w:t>/60</w:t>
            </w:r>
            <w:r w:rsidRPr="00750739">
              <w:rPr>
                <w:sz w:val="20"/>
                <w:szCs w:val="20"/>
              </w:rPr>
              <w:t>)</w:t>
            </w:r>
          </w:p>
        </w:tc>
        <w:tc>
          <w:tcPr>
            <w:tcW w:w="3113" w:type="dxa"/>
            <w:gridSpan w:val="3"/>
            <w:vAlign w:val="center"/>
          </w:tcPr>
          <w:p w14:paraId="50F20D58" w14:textId="77777777" w:rsidR="002F065C" w:rsidRPr="00750739" w:rsidRDefault="002F065C" w:rsidP="006632CC">
            <w:pPr>
              <w:jc w:val="center"/>
              <w:rPr>
                <w:sz w:val="20"/>
                <w:szCs w:val="20"/>
              </w:rPr>
            </w:pPr>
            <w:r w:rsidRPr="00750739">
              <w:rPr>
                <w:sz w:val="20"/>
                <w:szCs w:val="20"/>
              </w:rPr>
              <w:t>9</w:t>
            </w:r>
            <w:r>
              <w:rPr>
                <w:sz w:val="20"/>
                <w:szCs w:val="20"/>
              </w:rPr>
              <w:t>6</w:t>
            </w:r>
            <w:r w:rsidRPr="00750739">
              <w:rPr>
                <w:sz w:val="20"/>
                <w:szCs w:val="20"/>
              </w:rPr>
              <w:t>.</w:t>
            </w:r>
            <w:r>
              <w:rPr>
                <w:sz w:val="20"/>
                <w:szCs w:val="20"/>
              </w:rPr>
              <w:t>10</w:t>
            </w:r>
            <w:r w:rsidRPr="00750739">
              <w:rPr>
                <w:sz w:val="20"/>
                <w:szCs w:val="20"/>
              </w:rPr>
              <w:t>% (n=14</w:t>
            </w:r>
            <w:r>
              <w:rPr>
                <w:sz w:val="20"/>
                <w:szCs w:val="20"/>
              </w:rPr>
              <w:t>8/154</w:t>
            </w:r>
            <w:r w:rsidRPr="00750739">
              <w:rPr>
                <w:sz w:val="20"/>
                <w:szCs w:val="20"/>
              </w:rPr>
              <w:t>)</w:t>
            </w:r>
          </w:p>
        </w:tc>
      </w:tr>
      <w:tr w:rsidR="002F065C" w:rsidRPr="00750739" w14:paraId="25CE2962" w14:textId="77777777" w:rsidTr="006632CC">
        <w:trPr>
          <w:trHeight w:val="1850"/>
        </w:trPr>
        <w:tc>
          <w:tcPr>
            <w:tcW w:w="2814" w:type="dxa"/>
            <w:vAlign w:val="center"/>
          </w:tcPr>
          <w:p w14:paraId="45F28CFE" w14:textId="77777777" w:rsidR="002F065C" w:rsidRPr="00750739" w:rsidRDefault="002F065C" w:rsidP="006632CC">
            <w:pPr>
              <w:jc w:val="center"/>
              <w:rPr>
                <w:b/>
                <w:bCs/>
                <w:sz w:val="20"/>
                <w:szCs w:val="20"/>
              </w:rPr>
            </w:pPr>
            <w:r w:rsidRPr="00750739">
              <w:rPr>
                <w:b/>
                <w:bCs/>
                <w:sz w:val="20"/>
                <w:szCs w:val="20"/>
              </w:rPr>
              <w:t>LACK OF INDICATION</w:t>
            </w:r>
          </w:p>
          <w:p w14:paraId="0517BD20" w14:textId="77777777" w:rsidR="002F065C" w:rsidRPr="00750739" w:rsidRDefault="002F065C" w:rsidP="006632CC">
            <w:pPr>
              <w:jc w:val="center"/>
              <w:rPr>
                <w:b/>
                <w:bCs/>
                <w:sz w:val="20"/>
                <w:szCs w:val="20"/>
              </w:rPr>
            </w:pPr>
            <w:r w:rsidRPr="00750739">
              <w:rPr>
                <w:b/>
                <w:bCs/>
                <w:sz w:val="20"/>
                <w:szCs w:val="20"/>
              </w:rPr>
              <w:t>(n, % of users)</w:t>
            </w:r>
          </w:p>
        </w:tc>
        <w:tc>
          <w:tcPr>
            <w:tcW w:w="3239" w:type="dxa"/>
            <w:gridSpan w:val="2"/>
            <w:vAlign w:val="center"/>
          </w:tcPr>
          <w:p w14:paraId="7ABF27B9" w14:textId="77777777" w:rsidR="002F065C" w:rsidRPr="00750739" w:rsidRDefault="002F065C" w:rsidP="006632CC">
            <w:pPr>
              <w:jc w:val="center"/>
              <w:rPr>
                <w:sz w:val="20"/>
                <w:szCs w:val="20"/>
              </w:rPr>
            </w:pPr>
            <w:r w:rsidRPr="00105169">
              <w:rPr>
                <w:sz w:val="20"/>
                <w:szCs w:val="20"/>
              </w:rPr>
              <w:t>7.37% (n=9</w:t>
            </w:r>
            <w:r>
              <w:rPr>
                <w:sz w:val="20"/>
                <w:szCs w:val="20"/>
              </w:rPr>
              <w:t>/122</w:t>
            </w:r>
            <w:r w:rsidRPr="00105169">
              <w:rPr>
                <w:sz w:val="20"/>
                <w:szCs w:val="20"/>
              </w:rPr>
              <w:t>)</w:t>
            </w:r>
          </w:p>
        </w:tc>
        <w:tc>
          <w:tcPr>
            <w:tcW w:w="3595" w:type="dxa"/>
            <w:gridSpan w:val="2"/>
            <w:vAlign w:val="center"/>
          </w:tcPr>
          <w:p w14:paraId="1263DFC4" w14:textId="77777777" w:rsidR="002F065C" w:rsidRPr="00750739" w:rsidRDefault="002F065C" w:rsidP="006632CC">
            <w:pPr>
              <w:jc w:val="center"/>
              <w:rPr>
                <w:sz w:val="20"/>
                <w:szCs w:val="20"/>
              </w:rPr>
            </w:pPr>
            <w:r w:rsidRPr="00750739">
              <w:rPr>
                <w:sz w:val="20"/>
                <w:szCs w:val="20"/>
              </w:rPr>
              <w:t>none</w:t>
            </w:r>
          </w:p>
        </w:tc>
        <w:tc>
          <w:tcPr>
            <w:tcW w:w="3012" w:type="dxa"/>
            <w:gridSpan w:val="2"/>
            <w:vAlign w:val="center"/>
          </w:tcPr>
          <w:p w14:paraId="1C8C29E9" w14:textId="77777777" w:rsidR="002F065C" w:rsidRPr="00750739" w:rsidRDefault="002F065C" w:rsidP="006632CC">
            <w:pPr>
              <w:jc w:val="center"/>
              <w:rPr>
                <w:sz w:val="20"/>
                <w:szCs w:val="20"/>
              </w:rPr>
            </w:pPr>
            <w:r w:rsidRPr="00750739">
              <w:rPr>
                <w:sz w:val="20"/>
                <w:szCs w:val="20"/>
              </w:rPr>
              <w:t>18.33% (n=11</w:t>
            </w:r>
            <w:r>
              <w:rPr>
                <w:sz w:val="20"/>
                <w:szCs w:val="20"/>
              </w:rPr>
              <w:t>/60</w:t>
            </w:r>
            <w:r w:rsidRPr="00750739">
              <w:rPr>
                <w:sz w:val="20"/>
                <w:szCs w:val="20"/>
              </w:rPr>
              <w:t>)</w:t>
            </w:r>
          </w:p>
        </w:tc>
        <w:tc>
          <w:tcPr>
            <w:tcW w:w="3113" w:type="dxa"/>
            <w:gridSpan w:val="3"/>
            <w:vAlign w:val="center"/>
          </w:tcPr>
          <w:p w14:paraId="4830A2F7" w14:textId="77777777" w:rsidR="002F065C" w:rsidRDefault="002F065C" w:rsidP="006632CC">
            <w:pPr>
              <w:jc w:val="center"/>
              <w:rPr>
                <w:sz w:val="20"/>
                <w:szCs w:val="20"/>
              </w:rPr>
            </w:pPr>
            <w:r w:rsidRPr="00750739">
              <w:rPr>
                <w:sz w:val="20"/>
                <w:szCs w:val="20"/>
              </w:rPr>
              <w:t>2</w:t>
            </w:r>
            <w:r>
              <w:rPr>
                <w:sz w:val="20"/>
                <w:szCs w:val="20"/>
              </w:rPr>
              <w:t>4</w:t>
            </w:r>
            <w:r w:rsidRPr="00750739">
              <w:rPr>
                <w:sz w:val="20"/>
                <w:szCs w:val="20"/>
              </w:rPr>
              <w:t>.</w:t>
            </w:r>
            <w:r>
              <w:rPr>
                <w:sz w:val="20"/>
                <w:szCs w:val="20"/>
              </w:rPr>
              <w:t>67</w:t>
            </w:r>
            <w:r w:rsidRPr="00750739">
              <w:rPr>
                <w:sz w:val="20"/>
                <w:szCs w:val="20"/>
              </w:rPr>
              <w:t>% (n=38</w:t>
            </w:r>
            <w:r>
              <w:rPr>
                <w:sz w:val="20"/>
                <w:szCs w:val="20"/>
              </w:rPr>
              <w:t>/154</w:t>
            </w:r>
            <w:r w:rsidRPr="00750739">
              <w:rPr>
                <w:sz w:val="20"/>
                <w:szCs w:val="20"/>
              </w:rPr>
              <w:t xml:space="preserve">) </w:t>
            </w:r>
          </w:p>
          <w:p w14:paraId="0CE8B6F9" w14:textId="77777777" w:rsidR="002F065C" w:rsidRDefault="002F065C" w:rsidP="006632CC">
            <w:pPr>
              <w:jc w:val="center"/>
              <w:rPr>
                <w:sz w:val="20"/>
                <w:szCs w:val="20"/>
              </w:rPr>
            </w:pPr>
          </w:p>
          <w:p w14:paraId="56C02EBF" w14:textId="77777777" w:rsidR="002F065C" w:rsidRPr="00750739" w:rsidRDefault="002F065C" w:rsidP="006632CC">
            <w:pPr>
              <w:jc w:val="center"/>
              <w:rPr>
                <w:sz w:val="20"/>
                <w:szCs w:val="20"/>
              </w:rPr>
            </w:pPr>
            <w:r w:rsidRPr="00750739">
              <w:rPr>
                <w:sz w:val="20"/>
                <w:szCs w:val="20"/>
              </w:rPr>
              <w:t>15.</w:t>
            </w:r>
            <w:r>
              <w:rPr>
                <w:sz w:val="20"/>
                <w:szCs w:val="20"/>
              </w:rPr>
              <w:t>0</w:t>
            </w:r>
            <w:r w:rsidRPr="00750739">
              <w:rPr>
                <w:sz w:val="20"/>
                <w:szCs w:val="20"/>
              </w:rPr>
              <w:t>3% (n=23</w:t>
            </w:r>
            <w:r>
              <w:rPr>
                <w:sz w:val="20"/>
                <w:szCs w:val="20"/>
              </w:rPr>
              <w:t>/154</w:t>
            </w:r>
            <w:r w:rsidRPr="00750739">
              <w:rPr>
                <w:sz w:val="20"/>
                <w:szCs w:val="20"/>
              </w:rPr>
              <w:t>) using 2 or more different BZN at the same time</w:t>
            </w:r>
          </w:p>
        </w:tc>
      </w:tr>
      <w:tr w:rsidR="002F065C" w:rsidRPr="00750739" w14:paraId="6E58B4B2" w14:textId="77777777" w:rsidTr="006632CC">
        <w:trPr>
          <w:trHeight w:val="508"/>
        </w:trPr>
        <w:tc>
          <w:tcPr>
            <w:tcW w:w="2814" w:type="dxa"/>
            <w:vAlign w:val="center"/>
          </w:tcPr>
          <w:p w14:paraId="71165FD4" w14:textId="77777777" w:rsidR="002F065C" w:rsidRPr="00750739" w:rsidRDefault="002F065C" w:rsidP="006632CC">
            <w:pPr>
              <w:jc w:val="center"/>
              <w:rPr>
                <w:b/>
                <w:bCs/>
                <w:sz w:val="20"/>
                <w:szCs w:val="20"/>
              </w:rPr>
            </w:pPr>
            <w:r w:rsidRPr="00750739">
              <w:rPr>
                <w:b/>
                <w:bCs/>
                <w:sz w:val="20"/>
                <w:szCs w:val="20"/>
              </w:rPr>
              <w:t>INAPPROPRIATELY LONG USE</w:t>
            </w:r>
          </w:p>
          <w:p w14:paraId="02672FF2" w14:textId="77777777" w:rsidR="002F065C" w:rsidRPr="00750739" w:rsidRDefault="002F065C" w:rsidP="006632CC">
            <w:pPr>
              <w:jc w:val="center"/>
              <w:rPr>
                <w:b/>
                <w:bCs/>
                <w:sz w:val="20"/>
                <w:szCs w:val="20"/>
              </w:rPr>
            </w:pPr>
            <w:r w:rsidRPr="00750739">
              <w:rPr>
                <w:b/>
                <w:bCs/>
                <w:sz w:val="20"/>
                <w:szCs w:val="20"/>
              </w:rPr>
              <w:t>(n, % of users)</w:t>
            </w:r>
          </w:p>
        </w:tc>
        <w:tc>
          <w:tcPr>
            <w:tcW w:w="3239" w:type="dxa"/>
            <w:gridSpan w:val="2"/>
            <w:vAlign w:val="center"/>
          </w:tcPr>
          <w:p w14:paraId="4BA707FE" w14:textId="77777777" w:rsidR="002F065C" w:rsidRPr="00750739" w:rsidRDefault="002F065C" w:rsidP="006632CC">
            <w:pPr>
              <w:jc w:val="center"/>
              <w:rPr>
                <w:sz w:val="20"/>
                <w:szCs w:val="20"/>
              </w:rPr>
            </w:pPr>
            <w:r w:rsidRPr="003E6838">
              <w:rPr>
                <w:sz w:val="20"/>
                <w:szCs w:val="20"/>
              </w:rPr>
              <w:t>26.23% (n=32</w:t>
            </w:r>
            <w:r>
              <w:rPr>
                <w:sz w:val="20"/>
                <w:szCs w:val="20"/>
              </w:rPr>
              <w:t>/122</w:t>
            </w:r>
            <w:r w:rsidRPr="003E6838">
              <w:rPr>
                <w:sz w:val="20"/>
                <w:szCs w:val="20"/>
              </w:rPr>
              <w:t>)</w:t>
            </w:r>
          </w:p>
        </w:tc>
        <w:tc>
          <w:tcPr>
            <w:tcW w:w="3595" w:type="dxa"/>
            <w:gridSpan w:val="2"/>
            <w:vAlign w:val="center"/>
          </w:tcPr>
          <w:p w14:paraId="61EA7424" w14:textId="77777777" w:rsidR="002F065C" w:rsidRPr="00750739" w:rsidRDefault="002F065C" w:rsidP="006632CC">
            <w:pPr>
              <w:jc w:val="center"/>
              <w:rPr>
                <w:sz w:val="20"/>
                <w:szCs w:val="20"/>
              </w:rPr>
            </w:pPr>
            <w:r>
              <w:rPr>
                <w:sz w:val="20"/>
                <w:szCs w:val="20"/>
              </w:rPr>
              <w:t>52.25% (n=58/111)</w:t>
            </w:r>
          </w:p>
        </w:tc>
        <w:tc>
          <w:tcPr>
            <w:tcW w:w="3012" w:type="dxa"/>
            <w:gridSpan w:val="2"/>
            <w:vAlign w:val="center"/>
          </w:tcPr>
          <w:p w14:paraId="7A7663E3" w14:textId="77777777" w:rsidR="002F065C" w:rsidRPr="00750739" w:rsidRDefault="002F065C" w:rsidP="006632CC">
            <w:pPr>
              <w:jc w:val="center"/>
              <w:rPr>
                <w:sz w:val="20"/>
                <w:szCs w:val="20"/>
              </w:rPr>
            </w:pPr>
            <w:r w:rsidRPr="00750739">
              <w:rPr>
                <w:sz w:val="20"/>
                <w:szCs w:val="20"/>
              </w:rPr>
              <w:t>70.00% (n=42</w:t>
            </w:r>
            <w:r>
              <w:rPr>
                <w:sz w:val="20"/>
                <w:szCs w:val="20"/>
              </w:rPr>
              <w:t>/60</w:t>
            </w:r>
            <w:r w:rsidRPr="00750739">
              <w:rPr>
                <w:sz w:val="20"/>
                <w:szCs w:val="20"/>
              </w:rPr>
              <w:t>)</w:t>
            </w:r>
          </w:p>
        </w:tc>
        <w:tc>
          <w:tcPr>
            <w:tcW w:w="3113" w:type="dxa"/>
            <w:gridSpan w:val="3"/>
            <w:vAlign w:val="center"/>
          </w:tcPr>
          <w:p w14:paraId="2AE3015D" w14:textId="77777777" w:rsidR="002F065C" w:rsidRPr="00750739" w:rsidRDefault="002F065C" w:rsidP="006632CC">
            <w:pPr>
              <w:jc w:val="center"/>
              <w:rPr>
                <w:sz w:val="20"/>
                <w:szCs w:val="20"/>
              </w:rPr>
            </w:pPr>
            <w:r w:rsidRPr="00750739">
              <w:rPr>
                <w:sz w:val="20"/>
                <w:szCs w:val="20"/>
              </w:rPr>
              <w:t>6</w:t>
            </w:r>
            <w:r>
              <w:rPr>
                <w:sz w:val="20"/>
                <w:szCs w:val="20"/>
              </w:rPr>
              <w:t>1</w:t>
            </w:r>
            <w:r w:rsidRPr="00750739">
              <w:rPr>
                <w:sz w:val="20"/>
                <w:szCs w:val="20"/>
              </w:rPr>
              <w:t>.</w:t>
            </w:r>
            <w:r>
              <w:rPr>
                <w:sz w:val="20"/>
                <w:szCs w:val="20"/>
              </w:rPr>
              <w:t>04</w:t>
            </w:r>
            <w:r w:rsidRPr="00750739">
              <w:rPr>
                <w:sz w:val="20"/>
                <w:szCs w:val="20"/>
              </w:rPr>
              <w:t>% (n=9</w:t>
            </w:r>
            <w:r>
              <w:rPr>
                <w:sz w:val="20"/>
                <w:szCs w:val="20"/>
              </w:rPr>
              <w:t>4/154</w:t>
            </w:r>
            <w:r w:rsidRPr="00750739">
              <w:rPr>
                <w:sz w:val="20"/>
                <w:szCs w:val="20"/>
              </w:rPr>
              <w:t>) for insomnia use</w:t>
            </w:r>
          </w:p>
          <w:p w14:paraId="61B8170A" w14:textId="77777777" w:rsidR="002F065C" w:rsidRPr="00750739" w:rsidRDefault="002F065C" w:rsidP="006632CC">
            <w:pPr>
              <w:jc w:val="center"/>
              <w:rPr>
                <w:sz w:val="20"/>
                <w:szCs w:val="20"/>
              </w:rPr>
            </w:pPr>
            <w:r w:rsidRPr="00750739">
              <w:rPr>
                <w:sz w:val="20"/>
                <w:szCs w:val="20"/>
              </w:rPr>
              <w:t>4</w:t>
            </w:r>
            <w:r>
              <w:rPr>
                <w:sz w:val="20"/>
                <w:szCs w:val="20"/>
              </w:rPr>
              <w:t>7</w:t>
            </w:r>
            <w:r w:rsidRPr="00750739">
              <w:rPr>
                <w:sz w:val="20"/>
                <w:szCs w:val="20"/>
              </w:rPr>
              <w:t>.</w:t>
            </w:r>
            <w:r>
              <w:rPr>
                <w:sz w:val="20"/>
                <w:szCs w:val="20"/>
              </w:rPr>
              <w:t>71</w:t>
            </w:r>
            <w:r w:rsidRPr="00750739">
              <w:rPr>
                <w:sz w:val="20"/>
                <w:szCs w:val="20"/>
              </w:rPr>
              <w:t>% (n=7</w:t>
            </w:r>
            <w:r>
              <w:rPr>
                <w:sz w:val="20"/>
                <w:szCs w:val="20"/>
              </w:rPr>
              <w:t>3/154</w:t>
            </w:r>
            <w:r w:rsidRPr="00750739">
              <w:rPr>
                <w:sz w:val="20"/>
                <w:szCs w:val="20"/>
              </w:rPr>
              <w:t>) for anxiety use</w:t>
            </w:r>
          </w:p>
        </w:tc>
      </w:tr>
      <w:tr w:rsidR="002F065C" w:rsidRPr="00750739" w14:paraId="5556CE12" w14:textId="77777777" w:rsidTr="006632CC">
        <w:trPr>
          <w:trHeight w:val="712"/>
        </w:trPr>
        <w:tc>
          <w:tcPr>
            <w:tcW w:w="2814" w:type="dxa"/>
            <w:vMerge w:val="restart"/>
            <w:vAlign w:val="center"/>
          </w:tcPr>
          <w:p w14:paraId="5C18F73D" w14:textId="77777777" w:rsidR="002F065C" w:rsidRDefault="002F065C" w:rsidP="006632CC">
            <w:pPr>
              <w:jc w:val="center"/>
              <w:rPr>
                <w:b/>
                <w:bCs/>
                <w:sz w:val="20"/>
                <w:szCs w:val="20"/>
              </w:rPr>
            </w:pPr>
            <w:r w:rsidRPr="00750739">
              <w:rPr>
                <w:b/>
                <w:bCs/>
                <w:sz w:val="20"/>
                <w:szCs w:val="20"/>
              </w:rPr>
              <w:t xml:space="preserve">INAPPROPRIATE DOSE </w:t>
            </w:r>
          </w:p>
          <w:p w14:paraId="44D1D2A0" w14:textId="77777777" w:rsidR="002F065C" w:rsidRPr="00750739" w:rsidRDefault="002F065C" w:rsidP="006632CC">
            <w:pPr>
              <w:jc w:val="center"/>
              <w:rPr>
                <w:b/>
                <w:bCs/>
                <w:sz w:val="20"/>
                <w:szCs w:val="20"/>
              </w:rPr>
            </w:pPr>
            <w:r w:rsidRPr="00750739">
              <w:rPr>
                <w:b/>
                <w:bCs/>
                <w:sz w:val="20"/>
                <w:szCs w:val="20"/>
              </w:rPr>
              <w:t>(n, % of users)</w:t>
            </w:r>
          </w:p>
        </w:tc>
        <w:tc>
          <w:tcPr>
            <w:tcW w:w="3239" w:type="dxa"/>
            <w:gridSpan w:val="2"/>
            <w:vAlign w:val="center"/>
          </w:tcPr>
          <w:p w14:paraId="408A1A71" w14:textId="77777777" w:rsidR="002F065C" w:rsidRPr="00750739" w:rsidRDefault="002F065C" w:rsidP="006632CC">
            <w:pPr>
              <w:jc w:val="center"/>
              <w:rPr>
                <w:sz w:val="20"/>
                <w:szCs w:val="20"/>
              </w:rPr>
            </w:pPr>
            <w:r w:rsidRPr="00750739">
              <w:rPr>
                <w:sz w:val="20"/>
                <w:szCs w:val="20"/>
              </w:rPr>
              <w:t>12.29% (n=15</w:t>
            </w:r>
            <w:r>
              <w:rPr>
                <w:sz w:val="20"/>
                <w:szCs w:val="20"/>
              </w:rPr>
              <w:t>/122</w:t>
            </w:r>
            <w:r w:rsidRPr="00750739">
              <w:rPr>
                <w:sz w:val="20"/>
                <w:szCs w:val="20"/>
              </w:rPr>
              <w:t xml:space="preserve">) users had inappropriately high </w:t>
            </w:r>
            <w:proofErr w:type="spellStart"/>
            <w:r w:rsidRPr="00750739">
              <w:rPr>
                <w:sz w:val="20"/>
                <w:szCs w:val="20"/>
              </w:rPr>
              <w:t>gastroprotective</w:t>
            </w:r>
            <w:proofErr w:type="spellEnd"/>
            <w:r w:rsidRPr="00750739">
              <w:rPr>
                <w:sz w:val="20"/>
                <w:szCs w:val="20"/>
              </w:rPr>
              <w:t xml:space="preserve"> dose</w:t>
            </w:r>
          </w:p>
        </w:tc>
        <w:tc>
          <w:tcPr>
            <w:tcW w:w="3595" w:type="dxa"/>
            <w:gridSpan w:val="2"/>
            <w:vMerge w:val="restart"/>
            <w:vAlign w:val="center"/>
          </w:tcPr>
          <w:p w14:paraId="0D25447C" w14:textId="77777777" w:rsidR="002F065C" w:rsidRPr="00750739" w:rsidRDefault="002F065C" w:rsidP="006632CC">
            <w:pPr>
              <w:jc w:val="center"/>
              <w:rPr>
                <w:sz w:val="20"/>
                <w:szCs w:val="20"/>
              </w:rPr>
            </w:pPr>
            <w:r w:rsidRPr="00750739">
              <w:rPr>
                <w:sz w:val="20"/>
                <w:szCs w:val="20"/>
              </w:rPr>
              <w:t>17.12% (n=19</w:t>
            </w:r>
            <w:r>
              <w:rPr>
                <w:sz w:val="20"/>
                <w:szCs w:val="20"/>
              </w:rPr>
              <w:t>/111</w:t>
            </w:r>
            <w:r w:rsidRPr="00750739">
              <w:rPr>
                <w:sz w:val="20"/>
                <w:szCs w:val="20"/>
              </w:rPr>
              <w:t>) higher than recommended daily dose</w:t>
            </w:r>
          </w:p>
        </w:tc>
        <w:tc>
          <w:tcPr>
            <w:tcW w:w="3012" w:type="dxa"/>
            <w:gridSpan w:val="2"/>
            <w:vMerge w:val="restart"/>
            <w:vAlign w:val="center"/>
          </w:tcPr>
          <w:p w14:paraId="69C0FDF2" w14:textId="77777777" w:rsidR="002F065C" w:rsidRPr="00750739" w:rsidRDefault="002F065C" w:rsidP="006632CC">
            <w:pPr>
              <w:jc w:val="center"/>
              <w:rPr>
                <w:sz w:val="20"/>
                <w:szCs w:val="20"/>
              </w:rPr>
            </w:pPr>
            <w:r w:rsidRPr="00750739">
              <w:rPr>
                <w:sz w:val="20"/>
                <w:szCs w:val="20"/>
              </w:rPr>
              <w:t>none</w:t>
            </w:r>
          </w:p>
        </w:tc>
        <w:tc>
          <w:tcPr>
            <w:tcW w:w="3113" w:type="dxa"/>
            <w:gridSpan w:val="3"/>
            <w:vMerge w:val="restart"/>
            <w:vAlign w:val="center"/>
          </w:tcPr>
          <w:p w14:paraId="2BDB0FE5" w14:textId="77777777" w:rsidR="002F065C" w:rsidRPr="00750739" w:rsidRDefault="002F065C" w:rsidP="006632CC">
            <w:pPr>
              <w:jc w:val="center"/>
              <w:rPr>
                <w:sz w:val="20"/>
                <w:szCs w:val="20"/>
              </w:rPr>
            </w:pPr>
            <w:r w:rsidRPr="00750739">
              <w:rPr>
                <w:sz w:val="20"/>
                <w:szCs w:val="20"/>
              </w:rPr>
              <w:t>16.</w:t>
            </w:r>
            <w:r>
              <w:rPr>
                <w:sz w:val="20"/>
                <w:szCs w:val="20"/>
              </w:rPr>
              <w:t>99</w:t>
            </w:r>
            <w:r w:rsidRPr="00750739">
              <w:rPr>
                <w:sz w:val="20"/>
                <w:szCs w:val="20"/>
              </w:rPr>
              <w:t>% (n=2</w:t>
            </w:r>
            <w:r>
              <w:rPr>
                <w:sz w:val="20"/>
                <w:szCs w:val="20"/>
              </w:rPr>
              <w:t>6/154</w:t>
            </w:r>
            <w:r w:rsidRPr="00750739">
              <w:rPr>
                <w:sz w:val="20"/>
                <w:szCs w:val="20"/>
              </w:rPr>
              <w:t>)</w:t>
            </w:r>
          </w:p>
          <w:p w14:paraId="0DFD9C03" w14:textId="77777777" w:rsidR="002F065C" w:rsidRPr="00750739" w:rsidRDefault="002F065C" w:rsidP="006632CC">
            <w:pPr>
              <w:jc w:val="center"/>
              <w:rPr>
                <w:sz w:val="20"/>
                <w:szCs w:val="20"/>
              </w:rPr>
            </w:pPr>
            <w:r w:rsidRPr="00750739">
              <w:rPr>
                <w:sz w:val="20"/>
                <w:szCs w:val="20"/>
              </w:rPr>
              <w:t>higher than recommended daily dose</w:t>
            </w:r>
          </w:p>
        </w:tc>
      </w:tr>
      <w:tr w:rsidR="002F065C" w:rsidRPr="00750739" w14:paraId="2827AF58" w14:textId="77777777" w:rsidTr="006632CC">
        <w:trPr>
          <w:trHeight w:val="1051"/>
        </w:trPr>
        <w:tc>
          <w:tcPr>
            <w:tcW w:w="2814" w:type="dxa"/>
            <w:vMerge/>
            <w:vAlign w:val="center"/>
          </w:tcPr>
          <w:p w14:paraId="7E2C5E1B" w14:textId="77777777" w:rsidR="002F065C" w:rsidRPr="00750739" w:rsidRDefault="002F065C" w:rsidP="006632CC">
            <w:pPr>
              <w:jc w:val="center"/>
              <w:rPr>
                <w:b/>
                <w:bCs/>
                <w:sz w:val="20"/>
                <w:szCs w:val="20"/>
              </w:rPr>
            </w:pPr>
          </w:p>
        </w:tc>
        <w:tc>
          <w:tcPr>
            <w:tcW w:w="3239" w:type="dxa"/>
            <w:gridSpan w:val="2"/>
            <w:vAlign w:val="center"/>
          </w:tcPr>
          <w:p w14:paraId="07231C49" w14:textId="77777777" w:rsidR="002F065C" w:rsidRPr="00750739" w:rsidRDefault="002F065C" w:rsidP="006632CC">
            <w:pPr>
              <w:jc w:val="center"/>
              <w:rPr>
                <w:sz w:val="20"/>
                <w:szCs w:val="20"/>
              </w:rPr>
            </w:pPr>
            <w:r w:rsidRPr="00750739">
              <w:rPr>
                <w:sz w:val="20"/>
                <w:szCs w:val="20"/>
              </w:rPr>
              <w:t>4.09% (n=5</w:t>
            </w:r>
            <w:r>
              <w:rPr>
                <w:sz w:val="20"/>
                <w:szCs w:val="20"/>
              </w:rPr>
              <w:t>/122</w:t>
            </w:r>
            <w:r w:rsidRPr="00750739">
              <w:rPr>
                <w:sz w:val="20"/>
                <w:szCs w:val="20"/>
              </w:rPr>
              <w:t xml:space="preserve">) </w:t>
            </w:r>
            <w:r>
              <w:t xml:space="preserve">prescribed inappropriate </w:t>
            </w:r>
            <w:proofErr w:type="spellStart"/>
            <w:r>
              <w:t>gastroprotective</w:t>
            </w:r>
            <w:proofErr w:type="spellEnd"/>
            <w:r>
              <w:t xml:space="preserve"> dose</w:t>
            </w:r>
            <w:r>
              <w:rPr>
                <w:vertAlign w:val="superscript"/>
              </w:rPr>
              <w:t xml:space="preserve"> </w:t>
            </w:r>
            <w:r>
              <w:t>for NSAID users</w:t>
            </w:r>
          </w:p>
        </w:tc>
        <w:tc>
          <w:tcPr>
            <w:tcW w:w="3595" w:type="dxa"/>
            <w:gridSpan w:val="2"/>
            <w:vMerge/>
            <w:vAlign w:val="center"/>
          </w:tcPr>
          <w:p w14:paraId="6900D457" w14:textId="77777777" w:rsidR="002F065C" w:rsidRPr="00750739" w:rsidRDefault="002F065C" w:rsidP="006632CC">
            <w:pPr>
              <w:jc w:val="center"/>
              <w:rPr>
                <w:sz w:val="20"/>
                <w:szCs w:val="20"/>
              </w:rPr>
            </w:pPr>
          </w:p>
        </w:tc>
        <w:tc>
          <w:tcPr>
            <w:tcW w:w="3012" w:type="dxa"/>
            <w:gridSpan w:val="2"/>
            <w:vMerge/>
            <w:vAlign w:val="center"/>
          </w:tcPr>
          <w:p w14:paraId="5FDEF3CE" w14:textId="77777777" w:rsidR="002F065C" w:rsidRPr="00750739" w:rsidRDefault="002F065C" w:rsidP="006632CC">
            <w:pPr>
              <w:jc w:val="center"/>
              <w:rPr>
                <w:sz w:val="20"/>
                <w:szCs w:val="20"/>
              </w:rPr>
            </w:pPr>
          </w:p>
        </w:tc>
        <w:tc>
          <w:tcPr>
            <w:tcW w:w="3113" w:type="dxa"/>
            <w:gridSpan w:val="3"/>
            <w:vMerge/>
            <w:vAlign w:val="center"/>
          </w:tcPr>
          <w:p w14:paraId="073C1CC0" w14:textId="77777777" w:rsidR="002F065C" w:rsidRPr="00750739" w:rsidRDefault="002F065C" w:rsidP="006632CC">
            <w:pPr>
              <w:jc w:val="center"/>
              <w:rPr>
                <w:sz w:val="20"/>
                <w:szCs w:val="20"/>
              </w:rPr>
            </w:pPr>
          </w:p>
        </w:tc>
      </w:tr>
      <w:tr w:rsidR="002F065C" w:rsidRPr="00750739" w14:paraId="7289CC9B" w14:textId="77777777" w:rsidTr="006632CC">
        <w:trPr>
          <w:trHeight w:val="668"/>
        </w:trPr>
        <w:tc>
          <w:tcPr>
            <w:tcW w:w="2814" w:type="dxa"/>
            <w:vMerge w:val="restart"/>
            <w:vAlign w:val="center"/>
          </w:tcPr>
          <w:p w14:paraId="157E8249" w14:textId="77777777" w:rsidR="002F065C" w:rsidRPr="00750739" w:rsidRDefault="002F065C" w:rsidP="006632CC">
            <w:pPr>
              <w:jc w:val="center"/>
              <w:rPr>
                <w:b/>
                <w:bCs/>
                <w:sz w:val="20"/>
                <w:szCs w:val="20"/>
              </w:rPr>
            </w:pPr>
            <w:r w:rsidRPr="00750739">
              <w:rPr>
                <w:b/>
                <w:bCs/>
                <w:sz w:val="20"/>
                <w:szCs w:val="20"/>
              </w:rPr>
              <w:t>SAFETY CONCERNS</w:t>
            </w:r>
          </w:p>
          <w:p w14:paraId="3158F0A7" w14:textId="77777777" w:rsidR="002F065C" w:rsidRPr="00750739" w:rsidRDefault="002F065C" w:rsidP="006632CC">
            <w:pPr>
              <w:jc w:val="center"/>
              <w:rPr>
                <w:b/>
                <w:bCs/>
                <w:sz w:val="20"/>
                <w:szCs w:val="20"/>
              </w:rPr>
            </w:pPr>
            <w:r w:rsidRPr="00750739">
              <w:rPr>
                <w:b/>
                <w:bCs/>
                <w:sz w:val="20"/>
                <w:szCs w:val="20"/>
              </w:rPr>
              <w:t>(n, % of users)</w:t>
            </w:r>
          </w:p>
        </w:tc>
        <w:tc>
          <w:tcPr>
            <w:tcW w:w="3239" w:type="dxa"/>
            <w:gridSpan w:val="2"/>
            <w:vMerge w:val="restart"/>
            <w:vAlign w:val="center"/>
          </w:tcPr>
          <w:p w14:paraId="3C15111B" w14:textId="77777777" w:rsidR="002F065C" w:rsidRPr="00750739" w:rsidRDefault="002F065C" w:rsidP="006632CC">
            <w:pPr>
              <w:jc w:val="center"/>
              <w:rPr>
                <w:sz w:val="20"/>
                <w:szCs w:val="20"/>
              </w:rPr>
            </w:pPr>
            <w:r w:rsidRPr="00750739">
              <w:rPr>
                <w:sz w:val="20"/>
                <w:szCs w:val="20"/>
              </w:rPr>
              <w:t>2.46% (n=3</w:t>
            </w:r>
            <w:r>
              <w:rPr>
                <w:sz w:val="20"/>
                <w:szCs w:val="20"/>
              </w:rPr>
              <w:t>/122</w:t>
            </w:r>
            <w:r w:rsidRPr="00750739">
              <w:rPr>
                <w:sz w:val="20"/>
                <w:szCs w:val="20"/>
              </w:rPr>
              <w:t xml:space="preserve">) potential clinically significant </w:t>
            </w:r>
            <w:r>
              <w:rPr>
                <w:sz w:val="20"/>
                <w:szCs w:val="20"/>
              </w:rPr>
              <w:t>DDI</w:t>
            </w:r>
          </w:p>
        </w:tc>
        <w:tc>
          <w:tcPr>
            <w:tcW w:w="3595" w:type="dxa"/>
            <w:gridSpan w:val="2"/>
            <w:vAlign w:val="center"/>
          </w:tcPr>
          <w:p w14:paraId="0F3E1BDE" w14:textId="77777777" w:rsidR="002F065C" w:rsidRPr="00750739" w:rsidRDefault="002F065C" w:rsidP="006632CC">
            <w:pPr>
              <w:jc w:val="center"/>
              <w:rPr>
                <w:sz w:val="20"/>
                <w:szCs w:val="20"/>
              </w:rPr>
            </w:pPr>
            <w:r w:rsidRPr="00750739">
              <w:rPr>
                <w:sz w:val="20"/>
                <w:szCs w:val="20"/>
              </w:rPr>
              <w:t>40.54% (n=</w:t>
            </w:r>
            <w:r>
              <w:rPr>
                <w:sz w:val="20"/>
                <w:szCs w:val="20"/>
              </w:rPr>
              <w:t>45/111</w:t>
            </w:r>
            <w:r w:rsidRPr="00750739">
              <w:rPr>
                <w:sz w:val="20"/>
                <w:szCs w:val="20"/>
              </w:rPr>
              <w:t>) presence of adverse effects</w:t>
            </w:r>
          </w:p>
        </w:tc>
        <w:tc>
          <w:tcPr>
            <w:tcW w:w="3012" w:type="dxa"/>
            <w:gridSpan w:val="2"/>
            <w:vAlign w:val="center"/>
          </w:tcPr>
          <w:p w14:paraId="5CBFCC11" w14:textId="77777777" w:rsidR="002F065C" w:rsidRPr="00750739" w:rsidRDefault="002F065C" w:rsidP="006632CC">
            <w:pPr>
              <w:jc w:val="center"/>
              <w:rPr>
                <w:sz w:val="20"/>
                <w:szCs w:val="20"/>
              </w:rPr>
            </w:pPr>
            <w:r w:rsidRPr="00750739">
              <w:rPr>
                <w:sz w:val="20"/>
                <w:szCs w:val="20"/>
              </w:rPr>
              <w:t>56.33% (n=32</w:t>
            </w:r>
            <w:r>
              <w:rPr>
                <w:sz w:val="20"/>
                <w:szCs w:val="20"/>
              </w:rPr>
              <w:t>/60</w:t>
            </w:r>
            <w:r w:rsidRPr="00750739">
              <w:rPr>
                <w:sz w:val="20"/>
                <w:szCs w:val="20"/>
              </w:rPr>
              <w:t>)</w:t>
            </w:r>
          </w:p>
          <w:p w14:paraId="45049FC3" w14:textId="77777777" w:rsidR="002F065C" w:rsidRPr="00750739" w:rsidRDefault="002F065C" w:rsidP="006632CC">
            <w:pPr>
              <w:jc w:val="center"/>
              <w:rPr>
                <w:sz w:val="20"/>
                <w:szCs w:val="20"/>
              </w:rPr>
            </w:pPr>
            <w:r w:rsidRPr="00750739">
              <w:rPr>
                <w:sz w:val="20"/>
                <w:szCs w:val="20"/>
              </w:rPr>
              <w:t>presence of adverse effects</w:t>
            </w:r>
          </w:p>
        </w:tc>
        <w:tc>
          <w:tcPr>
            <w:tcW w:w="3113" w:type="dxa"/>
            <w:gridSpan w:val="3"/>
            <w:vAlign w:val="center"/>
          </w:tcPr>
          <w:p w14:paraId="5D71D1C8" w14:textId="77777777" w:rsidR="002F065C" w:rsidRPr="00750739" w:rsidRDefault="002F065C" w:rsidP="006632CC">
            <w:pPr>
              <w:jc w:val="center"/>
              <w:rPr>
                <w:sz w:val="20"/>
                <w:szCs w:val="20"/>
              </w:rPr>
            </w:pPr>
            <w:r w:rsidRPr="00750739">
              <w:rPr>
                <w:sz w:val="20"/>
                <w:szCs w:val="20"/>
              </w:rPr>
              <w:t>5</w:t>
            </w:r>
            <w:r>
              <w:rPr>
                <w:sz w:val="20"/>
                <w:szCs w:val="20"/>
              </w:rPr>
              <w:t>2</w:t>
            </w:r>
            <w:r w:rsidRPr="00750739">
              <w:rPr>
                <w:sz w:val="20"/>
                <w:szCs w:val="20"/>
              </w:rPr>
              <w:t>.</w:t>
            </w:r>
            <w:r>
              <w:rPr>
                <w:sz w:val="20"/>
                <w:szCs w:val="20"/>
              </w:rPr>
              <w:t>59</w:t>
            </w:r>
            <w:r w:rsidRPr="00750739">
              <w:rPr>
                <w:sz w:val="20"/>
                <w:szCs w:val="20"/>
              </w:rPr>
              <w:t>% (n=</w:t>
            </w:r>
            <w:r>
              <w:rPr>
                <w:sz w:val="20"/>
                <w:szCs w:val="20"/>
              </w:rPr>
              <w:t>81/154</w:t>
            </w:r>
            <w:r w:rsidRPr="00750739">
              <w:rPr>
                <w:sz w:val="20"/>
                <w:szCs w:val="20"/>
              </w:rPr>
              <w:t>) presence of adverse effects</w:t>
            </w:r>
          </w:p>
        </w:tc>
      </w:tr>
      <w:tr w:rsidR="002F065C" w:rsidRPr="00750739" w14:paraId="21A91E0D" w14:textId="77777777" w:rsidTr="006632CC">
        <w:trPr>
          <w:trHeight w:val="358"/>
        </w:trPr>
        <w:tc>
          <w:tcPr>
            <w:tcW w:w="2814" w:type="dxa"/>
            <w:vMerge/>
            <w:vAlign w:val="center"/>
          </w:tcPr>
          <w:p w14:paraId="2B7B462E" w14:textId="77777777" w:rsidR="002F065C" w:rsidRPr="00750739" w:rsidRDefault="002F065C" w:rsidP="006632CC">
            <w:pPr>
              <w:jc w:val="center"/>
              <w:rPr>
                <w:b/>
                <w:bCs/>
                <w:sz w:val="20"/>
                <w:szCs w:val="20"/>
              </w:rPr>
            </w:pPr>
          </w:p>
        </w:tc>
        <w:tc>
          <w:tcPr>
            <w:tcW w:w="3239" w:type="dxa"/>
            <w:gridSpan w:val="2"/>
            <w:vMerge/>
            <w:vAlign w:val="center"/>
          </w:tcPr>
          <w:p w14:paraId="33400D88" w14:textId="77777777" w:rsidR="002F065C" w:rsidRPr="00750739" w:rsidRDefault="002F065C" w:rsidP="006632CC">
            <w:pPr>
              <w:jc w:val="center"/>
              <w:rPr>
                <w:sz w:val="20"/>
                <w:szCs w:val="20"/>
              </w:rPr>
            </w:pPr>
          </w:p>
        </w:tc>
        <w:tc>
          <w:tcPr>
            <w:tcW w:w="3595" w:type="dxa"/>
            <w:gridSpan w:val="2"/>
            <w:vAlign w:val="center"/>
          </w:tcPr>
          <w:p w14:paraId="3B53E470" w14:textId="77777777" w:rsidR="002F065C" w:rsidRPr="00750739" w:rsidRDefault="002F065C" w:rsidP="006632CC">
            <w:pPr>
              <w:jc w:val="center"/>
              <w:rPr>
                <w:sz w:val="20"/>
                <w:szCs w:val="20"/>
              </w:rPr>
            </w:pPr>
            <w:r w:rsidRPr="00750739">
              <w:rPr>
                <w:sz w:val="20"/>
                <w:szCs w:val="20"/>
              </w:rPr>
              <w:t>30.97% (n=</w:t>
            </w:r>
            <w:r>
              <w:rPr>
                <w:sz w:val="20"/>
                <w:szCs w:val="20"/>
              </w:rPr>
              <w:t>35/111</w:t>
            </w:r>
            <w:r w:rsidRPr="00750739">
              <w:rPr>
                <w:sz w:val="20"/>
                <w:szCs w:val="20"/>
              </w:rPr>
              <w:t xml:space="preserve">) </w:t>
            </w:r>
            <w:r>
              <w:rPr>
                <w:sz w:val="20"/>
                <w:szCs w:val="20"/>
              </w:rPr>
              <w:t xml:space="preserve">risk </w:t>
            </w:r>
            <w:r w:rsidRPr="00750739">
              <w:rPr>
                <w:sz w:val="20"/>
                <w:szCs w:val="20"/>
              </w:rPr>
              <w:t>factors which could be exacerbated by NSAID use</w:t>
            </w:r>
          </w:p>
        </w:tc>
        <w:tc>
          <w:tcPr>
            <w:tcW w:w="3012" w:type="dxa"/>
            <w:gridSpan w:val="2"/>
            <w:vMerge w:val="restart"/>
            <w:vAlign w:val="center"/>
          </w:tcPr>
          <w:p w14:paraId="1C6F61D9" w14:textId="77777777" w:rsidR="002F065C" w:rsidRPr="00750739" w:rsidRDefault="002F065C" w:rsidP="006632CC">
            <w:pPr>
              <w:jc w:val="center"/>
              <w:rPr>
                <w:sz w:val="20"/>
                <w:szCs w:val="20"/>
              </w:rPr>
            </w:pPr>
            <w:r w:rsidRPr="00750739">
              <w:rPr>
                <w:sz w:val="20"/>
                <w:szCs w:val="20"/>
              </w:rPr>
              <w:t>51.67% (n=31</w:t>
            </w:r>
            <w:r>
              <w:rPr>
                <w:sz w:val="20"/>
                <w:szCs w:val="20"/>
              </w:rPr>
              <w:t>/60</w:t>
            </w:r>
            <w:r w:rsidRPr="00750739">
              <w:rPr>
                <w:sz w:val="20"/>
                <w:szCs w:val="20"/>
              </w:rPr>
              <w:t xml:space="preserve">) potential clinically significant </w:t>
            </w:r>
            <w:r>
              <w:rPr>
                <w:sz w:val="20"/>
                <w:szCs w:val="20"/>
              </w:rPr>
              <w:t>DDI</w:t>
            </w:r>
          </w:p>
        </w:tc>
        <w:tc>
          <w:tcPr>
            <w:tcW w:w="3113" w:type="dxa"/>
            <w:gridSpan w:val="3"/>
            <w:vAlign w:val="center"/>
          </w:tcPr>
          <w:p w14:paraId="78098E68" w14:textId="77777777" w:rsidR="002F065C" w:rsidRPr="00750739" w:rsidRDefault="002F065C" w:rsidP="006632CC">
            <w:pPr>
              <w:jc w:val="center"/>
              <w:rPr>
                <w:sz w:val="20"/>
                <w:szCs w:val="20"/>
              </w:rPr>
            </w:pPr>
            <w:r w:rsidRPr="00750739">
              <w:rPr>
                <w:sz w:val="20"/>
                <w:szCs w:val="20"/>
              </w:rPr>
              <w:t>36.6</w:t>
            </w:r>
            <w:r>
              <w:rPr>
                <w:sz w:val="20"/>
                <w:szCs w:val="20"/>
              </w:rPr>
              <w:t>0</w:t>
            </w:r>
            <w:r w:rsidRPr="00750739">
              <w:rPr>
                <w:sz w:val="20"/>
                <w:szCs w:val="20"/>
              </w:rPr>
              <w:t>% (n=5</w:t>
            </w:r>
            <w:r>
              <w:rPr>
                <w:sz w:val="20"/>
                <w:szCs w:val="20"/>
              </w:rPr>
              <w:t>6/154</w:t>
            </w:r>
            <w:r w:rsidRPr="00750739">
              <w:rPr>
                <w:sz w:val="20"/>
                <w:szCs w:val="20"/>
              </w:rPr>
              <w:t>) frailty score 4 and above</w:t>
            </w:r>
          </w:p>
        </w:tc>
      </w:tr>
      <w:tr w:rsidR="002F065C" w:rsidRPr="00750739" w14:paraId="6E53BA1B" w14:textId="77777777" w:rsidTr="006632CC">
        <w:trPr>
          <w:trHeight w:val="358"/>
        </w:trPr>
        <w:tc>
          <w:tcPr>
            <w:tcW w:w="2814" w:type="dxa"/>
            <w:vMerge/>
            <w:vAlign w:val="center"/>
          </w:tcPr>
          <w:p w14:paraId="6FF28C58" w14:textId="77777777" w:rsidR="002F065C" w:rsidRPr="00750739" w:rsidRDefault="002F065C" w:rsidP="006632CC">
            <w:pPr>
              <w:jc w:val="center"/>
              <w:rPr>
                <w:b/>
                <w:bCs/>
                <w:sz w:val="20"/>
                <w:szCs w:val="20"/>
              </w:rPr>
            </w:pPr>
          </w:p>
        </w:tc>
        <w:tc>
          <w:tcPr>
            <w:tcW w:w="3239" w:type="dxa"/>
            <w:gridSpan w:val="2"/>
            <w:vMerge/>
            <w:tcBorders>
              <w:bottom w:val="dotted" w:sz="4" w:space="0" w:color="auto"/>
            </w:tcBorders>
            <w:vAlign w:val="center"/>
          </w:tcPr>
          <w:p w14:paraId="46FF11F1" w14:textId="77777777" w:rsidR="002F065C" w:rsidRPr="00750739" w:rsidRDefault="002F065C" w:rsidP="006632CC">
            <w:pPr>
              <w:jc w:val="center"/>
              <w:rPr>
                <w:sz w:val="20"/>
                <w:szCs w:val="20"/>
              </w:rPr>
            </w:pPr>
          </w:p>
        </w:tc>
        <w:tc>
          <w:tcPr>
            <w:tcW w:w="3595" w:type="dxa"/>
            <w:gridSpan w:val="2"/>
            <w:tcBorders>
              <w:bottom w:val="dotted" w:sz="4" w:space="0" w:color="auto"/>
            </w:tcBorders>
            <w:vAlign w:val="center"/>
          </w:tcPr>
          <w:p w14:paraId="42601BB3" w14:textId="77777777" w:rsidR="002F065C" w:rsidRPr="00750739" w:rsidRDefault="002F065C" w:rsidP="006632CC">
            <w:pPr>
              <w:jc w:val="center"/>
              <w:rPr>
                <w:sz w:val="20"/>
                <w:szCs w:val="20"/>
              </w:rPr>
            </w:pPr>
            <w:r w:rsidRPr="00750739">
              <w:rPr>
                <w:sz w:val="20"/>
                <w:szCs w:val="20"/>
              </w:rPr>
              <w:t>32.43% (n=</w:t>
            </w:r>
            <w:r>
              <w:rPr>
                <w:sz w:val="20"/>
                <w:szCs w:val="20"/>
              </w:rPr>
              <w:t>36/111</w:t>
            </w:r>
            <w:r w:rsidRPr="00750739">
              <w:rPr>
                <w:sz w:val="20"/>
                <w:szCs w:val="20"/>
              </w:rPr>
              <w:t xml:space="preserve">) potential clinically significant </w:t>
            </w:r>
            <w:r>
              <w:rPr>
                <w:sz w:val="20"/>
                <w:szCs w:val="20"/>
              </w:rPr>
              <w:t>DDI</w:t>
            </w:r>
          </w:p>
        </w:tc>
        <w:tc>
          <w:tcPr>
            <w:tcW w:w="3012" w:type="dxa"/>
            <w:gridSpan w:val="2"/>
            <w:vMerge/>
            <w:tcBorders>
              <w:bottom w:val="dotted" w:sz="4" w:space="0" w:color="auto"/>
            </w:tcBorders>
            <w:vAlign w:val="center"/>
          </w:tcPr>
          <w:p w14:paraId="7C137100" w14:textId="77777777" w:rsidR="002F065C" w:rsidRPr="00750739" w:rsidRDefault="002F065C" w:rsidP="006632CC">
            <w:pPr>
              <w:jc w:val="center"/>
              <w:rPr>
                <w:sz w:val="20"/>
                <w:szCs w:val="20"/>
              </w:rPr>
            </w:pPr>
          </w:p>
        </w:tc>
        <w:tc>
          <w:tcPr>
            <w:tcW w:w="3113" w:type="dxa"/>
            <w:gridSpan w:val="3"/>
            <w:tcBorders>
              <w:bottom w:val="dotted" w:sz="4" w:space="0" w:color="auto"/>
            </w:tcBorders>
            <w:vAlign w:val="center"/>
          </w:tcPr>
          <w:p w14:paraId="10E2F813" w14:textId="77777777" w:rsidR="002F065C" w:rsidRPr="00750739" w:rsidRDefault="002F065C" w:rsidP="006632CC">
            <w:pPr>
              <w:jc w:val="center"/>
              <w:rPr>
                <w:sz w:val="20"/>
                <w:szCs w:val="20"/>
              </w:rPr>
            </w:pPr>
            <w:r w:rsidRPr="00750739">
              <w:rPr>
                <w:sz w:val="20"/>
                <w:szCs w:val="20"/>
              </w:rPr>
              <w:t>25.</w:t>
            </w:r>
            <w:r>
              <w:rPr>
                <w:sz w:val="20"/>
                <w:szCs w:val="20"/>
              </w:rPr>
              <w:t>94</w:t>
            </w:r>
            <w:r w:rsidRPr="00750739">
              <w:rPr>
                <w:sz w:val="20"/>
                <w:szCs w:val="20"/>
              </w:rPr>
              <w:t>% (n=3</w:t>
            </w:r>
            <w:r>
              <w:rPr>
                <w:sz w:val="20"/>
                <w:szCs w:val="20"/>
              </w:rPr>
              <w:t>9/154</w:t>
            </w:r>
            <w:r w:rsidRPr="00750739">
              <w:rPr>
                <w:sz w:val="20"/>
                <w:szCs w:val="20"/>
              </w:rPr>
              <w:t xml:space="preserve">) potential clinically significant </w:t>
            </w:r>
            <w:r>
              <w:rPr>
                <w:sz w:val="20"/>
                <w:szCs w:val="20"/>
              </w:rPr>
              <w:t>DDI</w:t>
            </w:r>
          </w:p>
        </w:tc>
      </w:tr>
      <w:tr w:rsidR="002F065C" w:rsidRPr="00750739" w14:paraId="07739284" w14:textId="77777777" w:rsidTr="006632CC">
        <w:trPr>
          <w:trHeight w:val="538"/>
        </w:trPr>
        <w:tc>
          <w:tcPr>
            <w:tcW w:w="2814" w:type="dxa"/>
            <w:vAlign w:val="center"/>
          </w:tcPr>
          <w:p w14:paraId="1D178968" w14:textId="77777777" w:rsidR="002F065C" w:rsidRPr="00B713FD" w:rsidRDefault="002F065C" w:rsidP="006632CC">
            <w:pPr>
              <w:rPr>
                <w:b/>
                <w:bCs/>
                <w:sz w:val="20"/>
                <w:szCs w:val="20"/>
              </w:rPr>
            </w:pPr>
            <w:r w:rsidRPr="00750739">
              <w:rPr>
                <w:b/>
                <w:bCs/>
                <w:sz w:val="20"/>
                <w:szCs w:val="20"/>
              </w:rPr>
              <w:t xml:space="preserve">number of </w:t>
            </w:r>
            <w:r w:rsidRPr="00A948FA">
              <w:rPr>
                <w:b/>
                <w:bCs/>
                <w:sz w:val="20"/>
                <w:szCs w:val="20"/>
              </w:rPr>
              <w:t>potentially clinically significant DDI</w:t>
            </w:r>
            <w:r w:rsidRPr="00750739">
              <w:rPr>
                <w:b/>
                <w:bCs/>
                <w:sz w:val="20"/>
                <w:szCs w:val="20"/>
              </w:rPr>
              <w:t xml:space="preserve"> </w:t>
            </w:r>
            <w:r>
              <w:rPr>
                <w:b/>
                <w:bCs/>
                <w:sz w:val="20"/>
                <w:szCs w:val="20"/>
              </w:rPr>
              <w:t xml:space="preserve"> </w:t>
            </w:r>
            <w:r w:rsidRPr="00750739">
              <w:rPr>
                <w:b/>
                <w:bCs/>
                <w:sz w:val="20"/>
                <w:szCs w:val="20"/>
              </w:rPr>
              <w:t xml:space="preserve">(n, % </w:t>
            </w:r>
            <w:r>
              <w:rPr>
                <w:b/>
                <w:bCs/>
                <w:sz w:val="20"/>
                <w:szCs w:val="20"/>
              </w:rPr>
              <w:t>)</w:t>
            </w:r>
          </w:p>
        </w:tc>
        <w:tc>
          <w:tcPr>
            <w:tcW w:w="3239" w:type="dxa"/>
            <w:gridSpan w:val="2"/>
            <w:vAlign w:val="center"/>
          </w:tcPr>
          <w:p w14:paraId="2AFF2E54" w14:textId="77777777" w:rsidR="002F065C" w:rsidRPr="00750739" w:rsidRDefault="002F065C" w:rsidP="006632CC">
            <w:pPr>
              <w:jc w:val="center"/>
              <w:rPr>
                <w:sz w:val="20"/>
                <w:szCs w:val="20"/>
              </w:rPr>
            </w:pPr>
            <w:r>
              <w:rPr>
                <w:sz w:val="20"/>
                <w:szCs w:val="20"/>
              </w:rPr>
              <w:t>3</w:t>
            </w:r>
          </w:p>
        </w:tc>
        <w:tc>
          <w:tcPr>
            <w:tcW w:w="3595" w:type="dxa"/>
            <w:gridSpan w:val="2"/>
            <w:vAlign w:val="center"/>
          </w:tcPr>
          <w:p w14:paraId="1AA1144D" w14:textId="77777777" w:rsidR="002F065C" w:rsidRPr="00750739" w:rsidRDefault="002F065C" w:rsidP="006632CC">
            <w:pPr>
              <w:jc w:val="center"/>
              <w:rPr>
                <w:sz w:val="20"/>
                <w:szCs w:val="20"/>
              </w:rPr>
            </w:pPr>
            <w:r>
              <w:rPr>
                <w:sz w:val="20"/>
                <w:szCs w:val="20"/>
              </w:rPr>
              <w:t>51</w:t>
            </w:r>
          </w:p>
        </w:tc>
        <w:tc>
          <w:tcPr>
            <w:tcW w:w="3012" w:type="dxa"/>
            <w:gridSpan w:val="2"/>
            <w:vAlign w:val="center"/>
          </w:tcPr>
          <w:p w14:paraId="309481E6" w14:textId="77777777" w:rsidR="002F065C" w:rsidRPr="00750739" w:rsidRDefault="002F065C" w:rsidP="006632CC">
            <w:pPr>
              <w:jc w:val="center"/>
              <w:rPr>
                <w:sz w:val="20"/>
                <w:szCs w:val="20"/>
              </w:rPr>
            </w:pPr>
            <w:r>
              <w:rPr>
                <w:sz w:val="20"/>
                <w:szCs w:val="20"/>
              </w:rPr>
              <w:t>50</w:t>
            </w:r>
          </w:p>
        </w:tc>
        <w:tc>
          <w:tcPr>
            <w:tcW w:w="3113" w:type="dxa"/>
            <w:gridSpan w:val="3"/>
            <w:vAlign w:val="center"/>
          </w:tcPr>
          <w:p w14:paraId="4C4829AC" w14:textId="77777777" w:rsidR="002F065C" w:rsidRPr="00750739" w:rsidRDefault="002F065C" w:rsidP="006632CC">
            <w:pPr>
              <w:jc w:val="center"/>
              <w:rPr>
                <w:sz w:val="20"/>
                <w:szCs w:val="20"/>
              </w:rPr>
            </w:pPr>
            <w:r>
              <w:rPr>
                <w:sz w:val="20"/>
                <w:szCs w:val="20"/>
              </w:rPr>
              <w:t>64</w:t>
            </w:r>
          </w:p>
        </w:tc>
      </w:tr>
      <w:tr w:rsidR="002F065C" w:rsidRPr="00750739" w14:paraId="55D0414A" w14:textId="77777777" w:rsidTr="006632CC">
        <w:trPr>
          <w:trHeight w:val="165"/>
        </w:trPr>
        <w:tc>
          <w:tcPr>
            <w:tcW w:w="2814" w:type="dxa"/>
            <w:vMerge w:val="restart"/>
            <w:vAlign w:val="center"/>
          </w:tcPr>
          <w:p w14:paraId="77C87C0F" w14:textId="77777777" w:rsidR="002F065C" w:rsidRPr="00750739" w:rsidRDefault="002F065C" w:rsidP="006632CC">
            <w:pPr>
              <w:rPr>
                <w:b/>
                <w:bCs/>
                <w:sz w:val="20"/>
                <w:szCs w:val="20"/>
              </w:rPr>
            </w:pPr>
            <w:r w:rsidRPr="00B37394">
              <w:rPr>
                <w:b/>
                <w:bCs/>
                <w:sz w:val="20"/>
                <w:szCs w:val="20"/>
              </w:rPr>
              <w:t>type of interaction</w:t>
            </w:r>
            <w:r>
              <w:rPr>
                <w:b/>
                <w:bCs/>
                <w:sz w:val="20"/>
                <w:szCs w:val="20"/>
              </w:rPr>
              <w:t xml:space="preserve"> and number</w:t>
            </w:r>
          </w:p>
        </w:tc>
        <w:tc>
          <w:tcPr>
            <w:tcW w:w="2676" w:type="dxa"/>
            <w:vAlign w:val="center"/>
          </w:tcPr>
          <w:p w14:paraId="614C4ECC" w14:textId="77777777" w:rsidR="002F065C" w:rsidRDefault="002F065C" w:rsidP="006632CC">
            <w:pPr>
              <w:jc w:val="center"/>
              <w:rPr>
                <w:sz w:val="20"/>
                <w:szCs w:val="20"/>
              </w:rPr>
            </w:pPr>
            <w:r w:rsidRPr="00B37394">
              <w:rPr>
                <w:sz w:val="20"/>
                <w:szCs w:val="20"/>
              </w:rPr>
              <w:t xml:space="preserve">X (esomeprazole-cefuroxime) </w:t>
            </w:r>
          </w:p>
        </w:tc>
        <w:tc>
          <w:tcPr>
            <w:tcW w:w="563" w:type="dxa"/>
            <w:vAlign w:val="center"/>
          </w:tcPr>
          <w:p w14:paraId="4777D1FC" w14:textId="77777777" w:rsidR="002F065C" w:rsidRDefault="002F065C" w:rsidP="006632CC">
            <w:pPr>
              <w:jc w:val="center"/>
              <w:rPr>
                <w:sz w:val="20"/>
                <w:szCs w:val="20"/>
              </w:rPr>
            </w:pPr>
            <w:r w:rsidRPr="00B37394">
              <w:rPr>
                <w:sz w:val="20"/>
                <w:szCs w:val="20"/>
              </w:rPr>
              <w:t>1</w:t>
            </w:r>
          </w:p>
        </w:tc>
        <w:tc>
          <w:tcPr>
            <w:tcW w:w="3100" w:type="dxa"/>
            <w:vAlign w:val="center"/>
          </w:tcPr>
          <w:p w14:paraId="5ABF7D46" w14:textId="77777777" w:rsidR="002F065C" w:rsidRDefault="002F065C" w:rsidP="006632CC">
            <w:pPr>
              <w:jc w:val="center"/>
              <w:rPr>
                <w:sz w:val="20"/>
                <w:szCs w:val="20"/>
              </w:rPr>
            </w:pPr>
            <w:r>
              <w:rPr>
                <w:sz w:val="20"/>
                <w:szCs w:val="20"/>
              </w:rPr>
              <w:t>X (diclofenac-ibuprofen)</w:t>
            </w:r>
          </w:p>
        </w:tc>
        <w:tc>
          <w:tcPr>
            <w:tcW w:w="495" w:type="dxa"/>
            <w:vAlign w:val="center"/>
          </w:tcPr>
          <w:p w14:paraId="7F35C044" w14:textId="77777777" w:rsidR="002F065C" w:rsidRDefault="002F065C" w:rsidP="006632CC">
            <w:pPr>
              <w:jc w:val="center"/>
              <w:rPr>
                <w:sz w:val="20"/>
                <w:szCs w:val="20"/>
              </w:rPr>
            </w:pPr>
            <w:r>
              <w:rPr>
                <w:sz w:val="20"/>
                <w:szCs w:val="20"/>
              </w:rPr>
              <w:t>4</w:t>
            </w:r>
          </w:p>
        </w:tc>
        <w:tc>
          <w:tcPr>
            <w:tcW w:w="2607" w:type="dxa"/>
            <w:vAlign w:val="center"/>
          </w:tcPr>
          <w:p w14:paraId="4C1DE8BD" w14:textId="77777777" w:rsidR="002F065C" w:rsidRDefault="002F065C" w:rsidP="006632CC">
            <w:pPr>
              <w:jc w:val="center"/>
              <w:rPr>
                <w:sz w:val="20"/>
                <w:szCs w:val="20"/>
              </w:rPr>
            </w:pPr>
            <w:r w:rsidRPr="00B37394">
              <w:rPr>
                <w:sz w:val="20"/>
                <w:szCs w:val="20"/>
              </w:rPr>
              <w:t>X (tramadol-carbamazepine)</w:t>
            </w:r>
          </w:p>
        </w:tc>
        <w:tc>
          <w:tcPr>
            <w:tcW w:w="405" w:type="dxa"/>
            <w:vAlign w:val="center"/>
          </w:tcPr>
          <w:p w14:paraId="32767433" w14:textId="77777777" w:rsidR="002F065C" w:rsidRDefault="002F065C" w:rsidP="006632CC">
            <w:pPr>
              <w:jc w:val="center"/>
              <w:rPr>
                <w:sz w:val="20"/>
                <w:szCs w:val="20"/>
              </w:rPr>
            </w:pPr>
            <w:r w:rsidRPr="00B37394">
              <w:rPr>
                <w:sz w:val="20"/>
                <w:szCs w:val="20"/>
              </w:rPr>
              <w:t>1</w:t>
            </w:r>
          </w:p>
        </w:tc>
        <w:tc>
          <w:tcPr>
            <w:tcW w:w="2694" w:type="dxa"/>
            <w:gridSpan w:val="2"/>
            <w:vAlign w:val="center"/>
          </w:tcPr>
          <w:p w14:paraId="0554A4B1" w14:textId="77777777" w:rsidR="002F065C" w:rsidRDefault="002F065C" w:rsidP="006632CC">
            <w:pPr>
              <w:jc w:val="center"/>
              <w:rPr>
                <w:sz w:val="20"/>
                <w:szCs w:val="20"/>
              </w:rPr>
            </w:pPr>
            <w:r w:rsidRPr="00B37394">
              <w:rPr>
                <w:sz w:val="20"/>
                <w:szCs w:val="20"/>
              </w:rPr>
              <w:t>X (alprazolam-clarithromycin)</w:t>
            </w:r>
          </w:p>
        </w:tc>
        <w:tc>
          <w:tcPr>
            <w:tcW w:w="419" w:type="dxa"/>
            <w:vAlign w:val="center"/>
          </w:tcPr>
          <w:p w14:paraId="1B3EDDD0" w14:textId="77777777" w:rsidR="002F065C" w:rsidRDefault="002F065C" w:rsidP="006632CC">
            <w:pPr>
              <w:jc w:val="center"/>
              <w:rPr>
                <w:sz w:val="20"/>
                <w:szCs w:val="20"/>
              </w:rPr>
            </w:pPr>
            <w:r w:rsidRPr="00B37394">
              <w:rPr>
                <w:sz w:val="20"/>
                <w:szCs w:val="20"/>
              </w:rPr>
              <w:t>1</w:t>
            </w:r>
          </w:p>
        </w:tc>
      </w:tr>
      <w:tr w:rsidR="002F065C" w:rsidRPr="00750739" w14:paraId="19D3C9E7" w14:textId="77777777" w:rsidTr="006632CC">
        <w:trPr>
          <w:trHeight w:val="163"/>
        </w:trPr>
        <w:tc>
          <w:tcPr>
            <w:tcW w:w="2814" w:type="dxa"/>
            <w:vMerge/>
            <w:vAlign w:val="center"/>
          </w:tcPr>
          <w:p w14:paraId="31658DB9" w14:textId="77777777" w:rsidR="002F065C" w:rsidRPr="00B37394" w:rsidRDefault="002F065C" w:rsidP="006632CC">
            <w:pPr>
              <w:rPr>
                <w:b/>
                <w:bCs/>
                <w:sz w:val="20"/>
                <w:szCs w:val="20"/>
              </w:rPr>
            </w:pPr>
          </w:p>
        </w:tc>
        <w:tc>
          <w:tcPr>
            <w:tcW w:w="2676" w:type="dxa"/>
            <w:vAlign w:val="center"/>
          </w:tcPr>
          <w:p w14:paraId="1FFAC3E2" w14:textId="77777777" w:rsidR="002F065C" w:rsidRDefault="002F065C" w:rsidP="006632CC">
            <w:pPr>
              <w:jc w:val="center"/>
              <w:rPr>
                <w:sz w:val="20"/>
                <w:szCs w:val="20"/>
              </w:rPr>
            </w:pPr>
            <w:r w:rsidRPr="00B37394">
              <w:rPr>
                <w:sz w:val="20"/>
                <w:szCs w:val="20"/>
              </w:rPr>
              <w:t>X (pantoprazole- cefuroxime)</w:t>
            </w:r>
          </w:p>
        </w:tc>
        <w:tc>
          <w:tcPr>
            <w:tcW w:w="563" w:type="dxa"/>
            <w:vAlign w:val="center"/>
          </w:tcPr>
          <w:p w14:paraId="72396820" w14:textId="77777777" w:rsidR="002F065C" w:rsidRDefault="002F065C" w:rsidP="006632CC">
            <w:pPr>
              <w:jc w:val="center"/>
              <w:rPr>
                <w:sz w:val="20"/>
                <w:szCs w:val="20"/>
              </w:rPr>
            </w:pPr>
            <w:r w:rsidRPr="00B37394">
              <w:rPr>
                <w:sz w:val="20"/>
                <w:szCs w:val="20"/>
              </w:rPr>
              <w:t>1</w:t>
            </w:r>
          </w:p>
        </w:tc>
        <w:tc>
          <w:tcPr>
            <w:tcW w:w="3100" w:type="dxa"/>
            <w:vAlign w:val="center"/>
          </w:tcPr>
          <w:p w14:paraId="1F5C8837" w14:textId="77777777" w:rsidR="002F065C" w:rsidRDefault="002F065C" w:rsidP="006632CC">
            <w:pPr>
              <w:jc w:val="center"/>
              <w:rPr>
                <w:sz w:val="20"/>
                <w:szCs w:val="20"/>
              </w:rPr>
            </w:pPr>
            <w:r>
              <w:rPr>
                <w:sz w:val="20"/>
                <w:szCs w:val="20"/>
              </w:rPr>
              <w:t>X (ibuprofen-</w:t>
            </w:r>
            <w:proofErr w:type="spellStart"/>
            <w:r>
              <w:rPr>
                <w:sz w:val="20"/>
                <w:szCs w:val="20"/>
              </w:rPr>
              <w:t>ketoprofen</w:t>
            </w:r>
            <w:proofErr w:type="spellEnd"/>
            <w:r>
              <w:rPr>
                <w:sz w:val="20"/>
                <w:szCs w:val="20"/>
              </w:rPr>
              <w:t>)</w:t>
            </w:r>
          </w:p>
        </w:tc>
        <w:tc>
          <w:tcPr>
            <w:tcW w:w="495" w:type="dxa"/>
            <w:vAlign w:val="center"/>
          </w:tcPr>
          <w:p w14:paraId="3BE271BC" w14:textId="77777777" w:rsidR="002F065C" w:rsidRDefault="002F065C" w:rsidP="006632CC">
            <w:pPr>
              <w:jc w:val="center"/>
              <w:rPr>
                <w:sz w:val="20"/>
                <w:szCs w:val="20"/>
              </w:rPr>
            </w:pPr>
            <w:r>
              <w:rPr>
                <w:sz w:val="20"/>
                <w:szCs w:val="20"/>
              </w:rPr>
              <w:t>3</w:t>
            </w:r>
          </w:p>
        </w:tc>
        <w:tc>
          <w:tcPr>
            <w:tcW w:w="2607" w:type="dxa"/>
            <w:vAlign w:val="center"/>
          </w:tcPr>
          <w:p w14:paraId="79320545" w14:textId="77777777" w:rsidR="002F065C" w:rsidRDefault="002F065C" w:rsidP="006632CC">
            <w:pPr>
              <w:jc w:val="center"/>
              <w:rPr>
                <w:sz w:val="20"/>
                <w:szCs w:val="20"/>
              </w:rPr>
            </w:pPr>
            <w:r w:rsidRPr="00B37394">
              <w:rPr>
                <w:sz w:val="20"/>
                <w:szCs w:val="20"/>
              </w:rPr>
              <w:t>D (tramadol-</w:t>
            </w:r>
            <w:proofErr w:type="spellStart"/>
            <w:r w:rsidRPr="00B37394">
              <w:rPr>
                <w:sz w:val="20"/>
                <w:szCs w:val="20"/>
              </w:rPr>
              <w:t>bilastin</w:t>
            </w:r>
            <w:r>
              <w:rPr>
                <w:sz w:val="20"/>
                <w:szCs w:val="20"/>
              </w:rPr>
              <w:t>e</w:t>
            </w:r>
            <w:proofErr w:type="spellEnd"/>
            <w:r w:rsidRPr="00B37394">
              <w:rPr>
                <w:sz w:val="20"/>
                <w:szCs w:val="20"/>
              </w:rPr>
              <w:t>)</w:t>
            </w:r>
          </w:p>
        </w:tc>
        <w:tc>
          <w:tcPr>
            <w:tcW w:w="405" w:type="dxa"/>
            <w:vAlign w:val="center"/>
          </w:tcPr>
          <w:p w14:paraId="0F012F51" w14:textId="77777777" w:rsidR="002F065C" w:rsidRDefault="002F065C" w:rsidP="006632CC">
            <w:pPr>
              <w:jc w:val="center"/>
              <w:rPr>
                <w:sz w:val="20"/>
                <w:szCs w:val="20"/>
              </w:rPr>
            </w:pPr>
            <w:r w:rsidRPr="00B37394">
              <w:rPr>
                <w:sz w:val="20"/>
                <w:szCs w:val="20"/>
              </w:rPr>
              <w:t>2</w:t>
            </w:r>
          </w:p>
        </w:tc>
        <w:tc>
          <w:tcPr>
            <w:tcW w:w="2694" w:type="dxa"/>
            <w:gridSpan w:val="2"/>
            <w:vAlign w:val="center"/>
          </w:tcPr>
          <w:p w14:paraId="3B80E4A8" w14:textId="77777777" w:rsidR="002F065C" w:rsidRDefault="002F065C" w:rsidP="006632CC">
            <w:pPr>
              <w:jc w:val="center"/>
              <w:rPr>
                <w:sz w:val="20"/>
                <w:szCs w:val="20"/>
              </w:rPr>
            </w:pPr>
            <w:r w:rsidRPr="00B37394">
              <w:rPr>
                <w:sz w:val="20"/>
                <w:szCs w:val="20"/>
              </w:rPr>
              <w:t>D (alprazolam-zolpidem)</w:t>
            </w:r>
          </w:p>
        </w:tc>
        <w:tc>
          <w:tcPr>
            <w:tcW w:w="419" w:type="dxa"/>
            <w:vAlign w:val="center"/>
          </w:tcPr>
          <w:p w14:paraId="5AD0DDA4" w14:textId="77777777" w:rsidR="002F065C" w:rsidRDefault="002F065C" w:rsidP="006632CC">
            <w:pPr>
              <w:jc w:val="center"/>
              <w:rPr>
                <w:sz w:val="20"/>
                <w:szCs w:val="20"/>
              </w:rPr>
            </w:pPr>
            <w:r>
              <w:rPr>
                <w:sz w:val="20"/>
                <w:szCs w:val="20"/>
              </w:rPr>
              <w:t>8</w:t>
            </w:r>
          </w:p>
        </w:tc>
      </w:tr>
      <w:tr w:rsidR="002F065C" w:rsidRPr="00750739" w14:paraId="525EC03E" w14:textId="77777777" w:rsidTr="006632CC">
        <w:trPr>
          <w:trHeight w:val="163"/>
        </w:trPr>
        <w:tc>
          <w:tcPr>
            <w:tcW w:w="2814" w:type="dxa"/>
            <w:vMerge/>
            <w:vAlign w:val="center"/>
          </w:tcPr>
          <w:p w14:paraId="6CF556EA" w14:textId="77777777" w:rsidR="002F065C" w:rsidRPr="00B37394" w:rsidRDefault="002F065C" w:rsidP="006632CC">
            <w:pPr>
              <w:rPr>
                <w:b/>
                <w:bCs/>
                <w:sz w:val="20"/>
                <w:szCs w:val="20"/>
              </w:rPr>
            </w:pPr>
          </w:p>
        </w:tc>
        <w:tc>
          <w:tcPr>
            <w:tcW w:w="2676" w:type="dxa"/>
            <w:vAlign w:val="center"/>
          </w:tcPr>
          <w:p w14:paraId="1B145176" w14:textId="77777777" w:rsidR="002F065C" w:rsidRDefault="002F065C" w:rsidP="006632CC">
            <w:pPr>
              <w:jc w:val="center"/>
              <w:rPr>
                <w:sz w:val="20"/>
                <w:szCs w:val="20"/>
              </w:rPr>
            </w:pPr>
            <w:r w:rsidRPr="00B37394">
              <w:rPr>
                <w:sz w:val="20"/>
                <w:szCs w:val="20"/>
              </w:rPr>
              <w:t>X (pantoprazole-</w:t>
            </w:r>
            <w:proofErr w:type="spellStart"/>
            <w:r w:rsidRPr="00B37394">
              <w:rPr>
                <w:sz w:val="20"/>
                <w:szCs w:val="20"/>
              </w:rPr>
              <w:t>pazopanib</w:t>
            </w:r>
            <w:proofErr w:type="spellEnd"/>
            <w:r w:rsidRPr="00B37394">
              <w:rPr>
                <w:sz w:val="20"/>
                <w:szCs w:val="20"/>
              </w:rPr>
              <w:t>)</w:t>
            </w:r>
          </w:p>
        </w:tc>
        <w:tc>
          <w:tcPr>
            <w:tcW w:w="563" w:type="dxa"/>
            <w:vAlign w:val="center"/>
          </w:tcPr>
          <w:p w14:paraId="7585D87B" w14:textId="77777777" w:rsidR="002F065C" w:rsidRDefault="002F065C" w:rsidP="006632CC">
            <w:pPr>
              <w:jc w:val="center"/>
              <w:rPr>
                <w:sz w:val="20"/>
                <w:szCs w:val="20"/>
              </w:rPr>
            </w:pPr>
            <w:r w:rsidRPr="00B37394">
              <w:rPr>
                <w:sz w:val="20"/>
                <w:szCs w:val="20"/>
              </w:rPr>
              <w:t>1</w:t>
            </w:r>
          </w:p>
        </w:tc>
        <w:tc>
          <w:tcPr>
            <w:tcW w:w="3100" w:type="dxa"/>
            <w:vAlign w:val="center"/>
          </w:tcPr>
          <w:p w14:paraId="2ACEE4DD" w14:textId="77777777" w:rsidR="002F065C" w:rsidRDefault="002F065C" w:rsidP="006632CC">
            <w:pPr>
              <w:jc w:val="center"/>
              <w:rPr>
                <w:sz w:val="20"/>
                <w:szCs w:val="20"/>
              </w:rPr>
            </w:pPr>
            <w:r>
              <w:rPr>
                <w:sz w:val="20"/>
                <w:szCs w:val="20"/>
              </w:rPr>
              <w:t>X (indomethacin-naproxen)</w:t>
            </w:r>
          </w:p>
        </w:tc>
        <w:tc>
          <w:tcPr>
            <w:tcW w:w="495" w:type="dxa"/>
            <w:vAlign w:val="center"/>
          </w:tcPr>
          <w:p w14:paraId="5E2EC7A1" w14:textId="77777777" w:rsidR="002F065C" w:rsidRDefault="002F065C" w:rsidP="006632CC">
            <w:pPr>
              <w:jc w:val="center"/>
              <w:rPr>
                <w:sz w:val="20"/>
                <w:szCs w:val="20"/>
              </w:rPr>
            </w:pPr>
            <w:r>
              <w:rPr>
                <w:sz w:val="20"/>
                <w:szCs w:val="20"/>
              </w:rPr>
              <w:t>1</w:t>
            </w:r>
          </w:p>
        </w:tc>
        <w:tc>
          <w:tcPr>
            <w:tcW w:w="2607" w:type="dxa"/>
            <w:vAlign w:val="center"/>
          </w:tcPr>
          <w:p w14:paraId="43AD410E" w14:textId="77777777" w:rsidR="002F065C" w:rsidRDefault="002F065C" w:rsidP="006632CC">
            <w:pPr>
              <w:jc w:val="center"/>
              <w:rPr>
                <w:sz w:val="20"/>
                <w:szCs w:val="20"/>
              </w:rPr>
            </w:pPr>
            <w:r w:rsidRPr="00B37394">
              <w:rPr>
                <w:sz w:val="20"/>
                <w:szCs w:val="20"/>
              </w:rPr>
              <w:t>D (</w:t>
            </w:r>
            <w:proofErr w:type="spellStart"/>
            <w:r w:rsidRPr="00B37394">
              <w:rPr>
                <w:sz w:val="20"/>
                <w:szCs w:val="20"/>
              </w:rPr>
              <w:t>tapentadol</w:t>
            </w:r>
            <w:proofErr w:type="spellEnd"/>
            <w:r w:rsidRPr="00B37394">
              <w:rPr>
                <w:sz w:val="20"/>
                <w:szCs w:val="20"/>
              </w:rPr>
              <w:t>-lamotrigin</w:t>
            </w:r>
            <w:r>
              <w:rPr>
                <w:sz w:val="20"/>
                <w:szCs w:val="20"/>
              </w:rPr>
              <w:t>e</w:t>
            </w:r>
            <w:r w:rsidRPr="00B37394">
              <w:rPr>
                <w:sz w:val="20"/>
                <w:szCs w:val="20"/>
              </w:rPr>
              <w:t>)</w:t>
            </w:r>
            <w:r w:rsidRPr="00B37394">
              <w:t xml:space="preserve"> </w:t>
            </w:r>
          </w:p>
        </w:tc>
        <w:tc>
          <w:tcPr>
            <w:tcW w:w="405" w:type="dxa"/>
            <w:vAlign w:val="center"/>
          </w:tcPr>
          <w:p w14:paraId="68A5A08F" w14:textId="77777777" w:rsidR="002F065C" w:rsidRDefault="002F065C" w:rsidP="006632CC">
            <w:pPr>
              <w:jc w:val="center"/>
              <w:rPr>
                <w:sz w:val="20"/>
                <w:szCs w:val="20"/>
              </w:rPr>
            </w:pPr>
            <w:r w:rsidRPr="00B37394">
              <w:rPr>
                <w:sz w:val="20"/>
                <w:szCs w:val="20"/>
              </w:rPr>
              <w:t>1</w:t>
            </w:r>
          </w:p>
        </w:tc>
        <w:tc>
          <w:tcPr>
            <w:tcW w:w="2694" w:type="dxa"/>
            <w:gridSpan w:val="2"/>
            <w:vAlign w:val="center"/>
          </w:tcPr>
          <w:p w14:paraId="350D6C0F" w14:textId="77777777" w:rsidR="002F065C" w:rsidRDefault="002F065C" w:rsidP="006632CC">
            <w:pPr>
              <w:jc w:val="center"/>
              <w:rPr>
                <w:sz w:val="20"/>
                <w:szCs w:val="20"/>
              </w:rPr>
            </w:pPr>
            <w:r w:rsidRPr="00B37394">
              <w:rPr>
                <w:sz w:val="20"/>
                <w:szCs w:val="20"/>
              </w:rPr>
              <w:t>D (diazepam-zolpidem)</w:t>
            </w:r>
          </w:p>
        </w:tc>
        <w:tc>
          <w:tcPr>
            <w:tcW w:w="419" w:type="dxa"/>
            <w:vAlign w:val="center"/>
          </w:tcPr>
          <w:p w14:paraId="5EF75AAE" w14:textId="77777777" w:rsidR="002F065C" w:rsidRDefault="002F065C" w:rsidP="006632CC">
            <w:pPr>
              <w:jc w:val="center"/>
              <w:rPr>
                <w:sz w:val="20"/>
                <w:szCs w:val="20"/>
              </w:rPr>
            </w:pPr>
            <w:r>
              <w:rPr>
                <w:sz w:val="20"/>
                <w:szCs w:val="20"/>
              </w:rPr>
              <w:t>6</w:t>
            </w:r>
          </w:p>
        </w:tc>
      </w:tr>
      <w:tr w:rsidR="002F065C" w:rsidRPr="00750739" w14:paraId="06FEE3E5" w14:textId="77777777" w:rsidTr="006632CC">
        <w:trPr>
          <w:trHeight w:val="163"/>
        </w:trPr>
        <w:tc>
          <w:tcPr>
            <w:tcW w:w="2814" w:type="dxa"/>
            <w:vMerge/>
            <w:vAlign w:val="center"/>
          </w:tcPr>
          <w:p w14:paraId="1801EE1B" w14:textId="77777777" w:rsidR="002F065C" w:rsidRPr="00B37394" w:rsidRDefault="002F065C" w:rsidP="006632CC">
            <w:pPr>
              <w:rPr>
                <w:b/>
                <w:bCs/>
                <w:sz w:val="20"/>
                <w:szCs w:val="20"/>
              </w:rPr>
            </w:pPr>
          </w:p>
        </w:tc>
        <w:tc>
          <w:tcPr>
            <w:tcW w:w="2676" w:type="dxa"/>
            <w:vMerge w:val="restart"/>
            <w:vAlign w:val="center"/>
          </w:tcPr>
          <w:p w14:paraId="1D1844A6" w14:textId="77777777" w:rsidR="002F065C" w:rsidRDefault="002F065C" w:rsidP="006632CC">
            <w:pPr>
              <w:jc w:val="center"/>
              <w:rPr>
                <w:sz w:val="20"/>
                <w:szCs w:val="20"/>
              </w:rPr>
            </w:pPr>
          </w:p>
        </w:tc>
        <w:tc>
          <w:tcPr>
            <w:tcW w:w="563" w:type="dxa"/>
            <w:vMerge w:val="restart"/>
            <w:vAlign w:val="center"/>
          </w:tcPr>
          <w:p w14:paraId="470E48AE" w14:textId="77777777" w:rsidR="002F065C" w:rsidRDefault="002F065C" w:rsidP="006632CC">
            <w:pPr>
              <w:jc w:val="center"/>
              <w:rPr>
                <w:sz w:val="20"/>
                <w:szCs w:val="20"/>
              </w:rPr>
            </w:pPr>
          </w:p>
        </w:tc>
        <w:tc>
          <w:tcPr>
            <w:tcW w:w="3100" w:type="dxa"/>
            <w:vAlign w:val="center"/>
          </w:tcPr>
          <w:p w14:paraId="0A0713C8" w14:textId="77777777" w:rsidR="002F065C" w:rsidRDefault="002F065C" w:rsidP="006632CC">
            <w:pPr>
              <w:jc w:val="center"/>
              <w:rPr>
                <w:sz w:val="20"/>
                <w:szCs w:val="20"/>
              </w:rPr>
            </w:pPr>
            <w:r>
              <w:rPr>
                <w:sz w:val="20"/>
                <w:szCs w:val="20"/>
              </w:rPr>
              <w:t>X (diclofenac-</w:t>
            </w:r>
            <w:proofErr w:type="spellStart"/>
            <w:r>
              <w:rPr>
                <w:sz w:val="20"/>
                <w:szCs w:val="20"/>
              </w:rPr>
              <w:t>ketoprofen</w:t>
            </w:r>
            <w:proofErr w:type="spellEnd"/>
            <w:r>
              <w:rPr>
                <w:sz w:val="20"/>
                <w:szCs w:val="20"/>
              </w:rPr>
              <w:t>)</w:t>
            </w:r>
          </w:p>
        </w:tc>
        <w:tc>
          <w:tcPr>
            <w:tcW w:w="495" w:type="dxa"/>
            <w:vAlign w:val="center"/>
          </w:tcPr>
          <w:p w14:paraId="4C8E8798" w14:textId="77777777" w:rsidR="002F065C" w:rsidRDefault="002F065C" w:rsidP="006632CC">
            <w:pPr>
              <w:jc w:val="center"/>
              <w:rPr>
                <w:sz w:val="20"/>
                <w:szCs w:val="20"/>
              </w:rPr>
            </w:pPr>
            <w:r>
              <w:rPr>
                <w:sz w:val="20"/>
                <w:szCs w:val="20"/>
              </w:rPr>
              <w:t>1</w:t>
            </w:r>
          </w:p>
        </w:tc>
        <w:tc>
          <w:tcPr>
            <w:tcW w:w="2607" w:type="dxa"/>
            <w:vAlign w:val="center"/>
          </w:tcPr>
          <w:p w14:paraId="12F4A4F1" w14:textId="77777777" w:rsidR="002F065C" w:rsidRDefault="002F065C" w:rsidP="006632CC">
            <w:pPr>
              <w:jc w:val="center"/>
              <w:rPr>
                <w:sz w:val="20"/>
                <w:szCs w:val="20"/>
              </w:rPr>
            </w:pPr>
            <w:r w:rsidRPr="00B37394">
              <w:rPr>
                <w:sz w:val="20"/>
                <w:szCs w:val="20"/>
              </w:rPr>
              <w:t>D (</w:t>
            </w:r>
            <w:proofErr w:type="spellStart"/>
            <w:r w:rsidRPr="00B37394">
              <w:rPr>
                <w:sz w:val="20"/>
                <w:szCs w:val="20"/>
              </w:rPr>
              <w:t>tapentadol-loratadine</w:t>
            </w:r>
            <w:proofErr w:type="spellEnd"/>
            <w:r w:rsidRPr="00B37394">
              <w:rPr>
                <w:sz w:val="20"/>
                <w:szCs w:val="20"/>
              </w:rPr>
              <w:t>)</w:t>
            </w:r>
          </w:p>
        </w:tc>
        <w:tc>
          <w:tcPr>
            <w:tcW w:w="405" w:type="dxa"/>
            <w:vAlign w:val="center"/>
          </w:tcPr>
          <w:p w14:paraId="4E687968" w14:textId="77777777" w:rsidR="002F065C" w:rsidRDefault="002F065C" w:rsidP="006632CC">
            <w:pPr>
              <w:jc w:val="center"/>
              <w:rPr>
                <w:sz w:val="20"/>
                <w:szCs w:val="20"/>
              </w:rPr>
            </w:pPr>
            <w:r w:rsidRPr="00B37394">
              <w:rPr>
                <w:sz w:val="20"/>
                <w:szCs w:val="20"/>
              </w:rPr>
              <w:t>1</w:t>
            </w:r>
          </w:p>
        </w:tc>
        <w:tc>
          <w:tcPr>
            <w:tcW w:w="2694" w:type="dxa"/>
            <w:gridSpan w:val="2"/>
            <w:vAlign w:val="center"/>
          </w:tcPr>
          <w:p w14:paraId="19066C0A" w14:textId="77777777" w:rsidR="002F065C" w:rsidRDefault="002F065C" w:rsidP="006632CC">
            <w:pPr>
              <w:jc w:val="center"/>
              <w:rPr>
                <w:sz w:val="20"/>
                <w:szCs w:val="20"/>
              </w:rPr>
            </w:pPr>
            <w:r w:rsidRPr="00B37394">
              <w:rPr>
                <w:sz w:val="20"/>
                <w:szCs w:val="20"/>
              </w:rPr>
              <w:t>D (</w:t>
            </w:r>
            <w:proofErr w:type="spellStart"/>
            <w:r w:rsidRPr="00B37394">
              <w:rPr>
                <w:sz w:val="20"/>
                <w:szCs w:val="20"/>
              </w:rPr>
              <w:t>oxazepam</w:t>
            </w:r>
            <w:proofErr w:type="spellEnd"/>
            <w:r w:rsidRPr="00B37394">
              <w:rPr>
                <w:sz w:val="20"/>
                <w:szCs w:val="20"/>
              </w:rPr>
              <w:t>-zolpidem)</w:t>
            </w:r>
          </w:p>
        </w:tc>
        <w:tc>
          <w:tcPr>
            <w:tcW w:w="419" w:type="dxa"/>
            <w:vAlign w:val="center"/>
          </w:tcPr>
          <w:p w14:paraId="266B8CA2" w14:textId="77777777" w:rsidR="002F065C" w:rsidRDefault="002F065C" w:rsidP="006632CC">
            <w:pPr>
              <w:jc w:val="center"/>
              <w:rPr>
                <w:sz w:val="20"/>
                <w:szCs w:val="20"/>
              </w:rPr>
            </w:pPr>
            <w:r>
              <w:rPr>
                <w:sz w:val="20"/>
                <w:szCs w:val="20"/>
              </w:rPr>
              <w:t>3</w:t>
            </w:r>
          </w:p>
        </w:tc>
      </w:tr>
      <w:tr w:rsidR="002F065C" w:rsidRPr="00750739" w14:paraId="7F633A4E" w14:textId="77777777" w:rsidTr="006632CC">
        <w:trPr>
          <w:trHeight w:val="163"/>
        </w:trPr>
        <w:tc>
          <w:tcPr>
            <w:tcW w:w="2814" w:type="dxa"/>
            <w:vMerge/>
            <w:vAlign w:val="center"/>
          </w:tcPr>
          <w:p w14:paraId="7B796EC7" w14:textId="77777777" w:rsidR="002F065C" w:rsidRPr="00B37394" w:rsidRDefault="002F065C" w:rsidP="006632CC">
            <w:pPr>
              <w:rPr>
                <w:b/>
                <w:bCs/>
                <w:sz w:val="20"/>
                <w:szCs w:val="20"/>
              </w:rPr>
            </w:pPr>
          </w:p>
        </w:tc>
        <w:tc>
          <w:tcPr>
            <w:tcW w:w="2676" w:type="dxa"/>
            <w:vMerge/>
            <w:vAlign w:val="center"/>
          </w:tcPr>
          <w:p w14:paraId="7C9BB709" w14:textId="77777777" w:rsidR="002F065C" w:rsidRDefault="002F065C" w:rsidP="006632CC">
            <w:pPr>
              <w:jc w:val="center"/>
              <w:rPr>
                <w:sz w:val="20"/>
                <w:szCs w:val="20"/>
              </w:rPr>
            </w:pPr>
          </w:p>
        </w:tc>
        <w:tc>
          <w:tcPr>
            <w:tcW w:w="563" w:type="dxa"/>
            <w:vMerge/>
            <w:vAlign w:val="center"/>
          </w:tcPr>
          <w:p w14:paraId="7CC9C017" w14:textId="77777777" w:rsidR="002F065C" w:rsidRDefault="002F065C" w:rsidP="006632CC">
            <w:pPr>
              <w:jc w:val="center"/>
              <w:rPr>
                <w:sz w:val="20"/>
                <w:szCs w:val="20"/>
              </w:rPr>
            </w:pPr>
          </w:p>
        </w:tc>
        <w:tc>
          <w:tcPr>
            <w:tcW w:w="3100" w:type="dxa"/>
            <w:vAlign w:val="center"/>
          </w:tcPr>
          <w:p w14:paraId="62DB1AE1" w14:textId="77777777" w:rsidR="002F065C" w:rsidRDefault="002F065C" w:rsidP="006632CC">
            <w:pPr>
              <w:jc w:val="center"/>
              <w:rPr>
                <w:sz w:val="20"/>
                <w:szCs w:val="20"/>
              </w:rPr>
            </w:pPr>
            <w:r w:rsidRPr="00B37394">
              <w:rPr>
                <w:sz w:val="20"/>
                <w:szCs w:val="20"/>
              </w:rPr>
              <w:t>X (</w:t>
            </w:r>
            <w:proofErr w:type="spellStart"/>
            <w:r w:rsidRPr="00B37394">
              <w:rPr>
                <w:sz w:val="20"/>
                <w:szCs w:val="20"/>
              </w:rPr>
              <w:t>piroxicam-ketoprofen</w:t>
            </w:r>
            <w:proofErr w:type="spellEnd"/>
            <w:r w:rsidRPr="00B37394">
              <w:rPr>
                <w:sz w:val="20"/>
                <w:szCs w:val="20"/>
              </w:rPr>
              <w:t>)</w:t>
            </w:r>
          </w:p>
        </w:tc>
        <w:tc>
          <w:tcPr>
            <w:tcW w:w="495" w:type="dxa"/>
            <w:vAlign w:val="center"/>
          </w:tcPr>
          <w:p w14:paraId="0AA31291" w14:textId="77777777" w:rsidR="002F065C" w:rsidRDefault="002F065C" w:rsidP="006632CC">
            <w:pPr>
              <w:jc w:val="center"/>
              <w:rPr>
                <w:sz w:val="20"/>
                <w:szCs w:val="20"/>
              </w:rPr>
            </w:pPr>
            <w:r>
              <w:rPr>
                <w:sz w:val="20"/>
                <w:szCs w:val="20"/>
              </w:rPr>
              <w:t>1</w:t>
            </w:r>
          </w:p>
        </w:tc>
        <w:tc>
          <w:tcPr>
            <w:tcW w:w="2607" w:type="dxa"/>
            <w:vAlign w:val="center"/>
          </w:tcPr>
          <w:p w14:paraId="2D0BFC93" w14:textId="77777777" w:rsidR="002F065C" w:rsidRDefault="002F065C" w:rsidP="006632CC">
            <w:pPr>
              <w:jc w:val="center"/>
              <w:rPr>
                <w:sz w:val="20"/>
                <w:szCs w:val="20"/>
              </w:rPr>
            </w:pPr>
            <w:r w:rsidRPr="00B37394">
              <w:rPr>
                <w:sz w:val="20"/>
                <w:szCs w:val="20"/>
              </w:rPr>
              <w:t>D (tramadol-</w:t>
            </w:r>
            <w:proofErr w:type="spellStart"/>
            <w:r w:rsidRPr="00B37394">
              <w:rPr>
                <w:sz w:val="20"/>
                <w:szCs w:val="20"/>
              </w:rPr>
              <w:t>moxonidine</w:t>
            </w:r>
            <w:proofErr w:type="spellEnd"/>
            <w:r w:rsidRPr="00B37394">
              <w:rPr>
                <w:sz w:val="20"/>
                <w:szCs w:val="20"/>
              </w:rPr>
              <w:t>)</w:t>
            </w:r>
          </w:p>
        </w:tc>
        <w:tc>
          <w:tcPr>
            <w:tcW w:w="405" w:type="dxa"/>
            <w:vAlign w:val="center"/>
          </w:tcPr>
          <w:p w14:paraId="3FE55A36" w14:textId="77777777" w:rsidR="002F065C" w:rsidRDefault="002F065C" w:rsidP="006632CC">
            <w:pPr>
              <w:jc w:val="center"/>
              <w:rPr>
                <w:sz w:val="20"/>
                <w:szCs w:val="20"/>
              </w:rPr>
            </w:pPr>
            <w:r w:rsidRPr="00B37394">
              <w:rPr>
                <w:sz w:val="20"/>
                <w:szCs w:val="20"/>
              </w:rPr>
              <w:t>3</w:t>
            </w:r>
          </w:p>
        </w:tc>
        <w:tc>
          <w:tcPr>
            <w:tcW w:w="2694" w:type="dxa"/>
            <w:gridSpan w:val="2"/>
            <w:vAlign w:val="center"/>
          </w:tcPr>
          <w:p w14:paraId="5CC2960B" w14:textId="77777777" w:rsidR="002F065C" w:rsidRDefault="002F065C" w:rsidP="006632CC">
            <w:pPr>
              <w:jc w:val="center"/>
              <w:rPr>
                <w:sz w:val="20"/>
                <w:szCs w:val="20"/>
              </w:rPr>
            </w:pPr>
            <w:r w:rsidRPr="00B37394">
              <w:rPr>
                <w:sz w:val="20"/>
                <w:szCs w:val="20"/>
              </w:rPr>
              <w:t>D (lorazepam-zolpidem)</w:t>
            </w:r>
          </w:p>
        </w:tc>
        <w:tc>
          <w:tcPr>
            <w:tcW w:w="419" w:type="dxa"/>
            <w:vAlign w:val="center"/>
          </w:tcPr>
          <w:p w14:paraId="30030854" w14:textId="77777777" w:rsidR="002F065C" w:rsidRDefault="002F065C" w:rsidP="006632CC">
            <w:pPr>
              <w:jc w:val="center"/>
              <w:rPr>
                <w:sz w:val="20"/>
                <w:szCs w:val="20"/>
              </w:rPr>
            </w:pPr>
            <w:r>
              <w:rPr>
                <w:sz w:val="20"/>
                <w:szCs w:val="20"/>
              </w:rPr>
              <w:t>1</w:t>
            </w:r>
          </w:p>
        </w:tc>
      </w:tr>
      <w:tr w:rsidR="002F065C" w:rsidRPr="00750739" w14:paraId="1D3763A6" w14:textId="77777777" w:rsidTr="006632CC">
        <w:trPr>
          <w:trHeight w:val="163"/>
        </w:trPr>
        <w:tc>
          <w:tcPr>
            <w:tcW w:w="2814" w:type="dxa"/>
            <w:vMerge/>
            <w:vAlign w:val="center"/>
          </w:tcPr>
          <w:p w14:paraId="1CC0C098" w14:textId="77777777" w:rsidR="002F065C" w:rsidRPr="00B37394" w:rsidRDefault="002F065C" w:rsidP="006632CC">
            <w:pPr>
              <w:rPr>
                <w:b/>
                <w:bCs/>
                <w:sz w:val="20"/>
                <w:szCs w:val="20"/>
              </w:rPr>
            </w:pPr>
          </w:p>
        </w:tc>
        <w:tc>
          <w:tcPr>
            <w:tcW w:w="2676" w:type="dxa"/>
            <w:vMerge/>
            <w:vAlign w:val="center"/>
          </w:tcPr>
          <w:p w14:paraId="29A93D3E" w14:textId="77777777" w:rsidR="002F065C" w:rsidRDefault="002F065C" w:rsidP="006632CC">
            <w:pPr>
              <w:jc w:val="center"/>
              <w:rPr>
                <w:sz w:val="20"/>
                <w:szCs w:val="20"/>
              </w:rPr>
            </w:pPr>
          </w:p>
        </w:tc>
        <w:tc>
          <w:tcPr>
            <w:tcW w:w="563" w:type="dxa"/>
            <w:vMerge/>
            <w:vAlign w:val="center"/>
          </w:tcPr>
          <w:p w14:paraId="5C9F4BF0" w14:textId="77777777" w:rsidR="002F065C" w:rsidRDefault="002F065C" w:rsidP="006632CC">
            <w:pPr>
              <w:jc w:val="center"/>
              <w:rPr>
                <w:sz w:val="20"/>
                <w:szCs w:val="20"/>
              </w:rPr>
            </w:pPr>
          </w:p>
        </w:tc>
        <w:tc>
          <w:tcPr>
            <w:tcW w:w="3100" w:type="dxa"/>
            <w:vAlign w:val="center"/>
          </w:tcPr>
          <w:p w14:paraId="66311CEA" w14:textId="77777777" w:rsidR="002F065C" w:rsidRDefault="002F065C" w:rsidP="006632CC">
            <w:pPr>
              <w:jc w:val="center"/>
              <w:rPr>
                <w:sz w:val="20"/>
                <w:szCs w:val="20"/>
              </w:rPr>
            </w:pPr>
            <w:r>
              <w:rPr>
                <w:sz w:val="20"/>
                <w:szCs w:val="20"/>
              </w:rPr>
              <w:t>X (celecoxib-ibuprofen)</w:t>
            </w:r>
          </w:p>
        </w:tc>
        <w:tc>
          <w:tcPr>
            <w:tcW w:w="495" w:type="dxa"/>
            <w:vAlign w:val="center"/>
          </w:tcPr>
          <w:p w14:paraId="052F17FA" w14:textId="77777777" w:rsidR="002F065C" w:rsidRDefault="002F065C" w:rsidP="006632CC">
            <w:pPr>
              <w:jc w:val="center"/>
              <w:rPr>
                <w:sz w:val="20"/>
                <w:szCs w:val="20"/>
              </w:rPr>
            </w:pPr>
            <w:r>
              <w:rPr>
                <w:sz w:val="20"/>
                <w:szCs w:val="20"/>
              </w:rPr>
              <w:t>1</w:t>
            </w:r>
          </w:p>
        </w:tc>
        <w:tc>
          <w:tcPr>
            <w:tcW w:w="2607" w:type="dxa"/>
            <w:vAlign w:val="center"/>
          </w:tcPr>
          <w:p w14:paraId="7AB77290" w14:textId="77777777" w:rsidR="002F065C" w:rsidRDefault="002F065C" w:rsidP="006632CC">
            <w:pPr>
              <w:jc w:val="center"/>
              <w:rPr>
                <w:sz w:val="20"/>
                <w:szCs w:val="20"/>
              </w:rPr>
            </w:pPr>
            <w:r w:rsidRPr="00B37394">
              <w:rPr>
                <w:sz w:val="20"/>
                <w:szCs w:val="20"/>
              </w:rPr>
              <w:t>D (</w:t>
            </w:r>
            <w:r>
              <w:rPr>
                <w:sz w:val="20"/>
                <w:szCs w:val="20"/>
              </w:rPr>
              <w:t>tramadol</w:t>
            </w:r>
            <w:r w:rsidRPr="00B37394">
              <w:rPr>
                <w:sz w:val="20"/>
                <w:szCs w:val="20"/>
              </w:rPr>
              <w:t>-</w:t>
            </w:r>
            <w:proofErr w:type="spellStart"/>
            <w:r w:rsidRPr="00B37394">
              <w:rPr>
                <w:sz w:val="20"/>
                <w:szCs w:val="20"/>
              </w:rPr>
              <w:t>promazine</w:t>
            </w:r>
            <w:proofErr w:type="spellEnd"/>
            <w:r w:rsidRPr="00B37394">
              <w:rPr>
                <w:sz w:val="20"/>
                <w:szCs w:val="20"/>
              </w:rPr>
              <w:t>)</w:t>
            </w:r>
          </w:p>
        </w:tc>
        <w:tc>
          <w:tcPr>
            <w:tcW w:w="405" w:type="dxa"/>
            <w:vAlign w:val="center"/>
          </w:tcPr>
          <w:p w14:paraId="6AB2E69C" w14:textId="77777777" w:rsidR="002F065C" w:rsidRDefault="002F065C" w:rsidP="006632CC">
            <w:pPr>
              <w:jc w:val="center"/>
              <w:rPr>
                <w:sz w:val="20"/>
                <w:szCs w:val="20"/>
              </w:rPr>
            </w:pPr>
            <w:r w:rsidRPr="00B37394">
              <w:rPr>
                <w:sz w:val="20"/>
                <w:szCs w:val="20"/>
              </w:rPr>
              <w:t>1</w:t>
            </w:r>
          </w:p>
        </w:tc>
        <w:tc>
          <w:tcPr>
            <w:tcW w:w="2694" w:type="dxa"/>
            <w:gridSpan w:val="2"/>
            <w:vAlign w:val="center"/>
          </w:tcPr>
          <w:p w14:paraId="6C45E8E1" w14:textId="77777777" w:rsidR="002F065C" w:rsidRDefault="002F065C" w:rsidP="006632CC">
            <w:pPr>
              <w:jc w:val="center"/>
              <w:rPr>
                <w:sz w:val="20"/>
                <w:szCs w:val="20"/>
              </w:rPr>
            </w:pPr>
            <w:r w:rsidRPr="00B37394">
              <w:rPr>
                <w:sz w:val="20"/>
                <w:szCs w:val="20"/>
              </w:rPr>
              <w:t>D (zolpidem-</w:t>
            </w:r>
            <w:proofErr w:type="spellStart"/>
            <w:r w:rsidRPr="00B37394">
              <w:rPr>
                <w:sz w:val="20"/>
                <w:szCs w:val="20"/>
              </w:rPr>
              <w:t>loratadine</w:t>
            </w:r>
            <w:proofErr w:type="spellEnd"/>
            <w:r w:rsidRPr="00B37394">
              <w:rPr>
                <w:sz w:val="20"/>
                <w:szCs w:val="20"/>
              </w:rPr>
              <w:t>)</w:t>
            </w:r>
          </w:p>
        </w:tc>
        <w:tc>
          <w:tcPr>
            <w:tcW w:w="419" w:type="dxa"/>
            <w:vAlign w:val="center"/>
          </w:tcPr>
          <w:p w14:paraId="5103E364" w14:textId="77777777" w:rsidR="002F065C" w:rsidRDefault="002F065C" w:rsidP="006632CC">
            <w:pPr>
              <w:jc w:val="center"/>
              <w:rPr>
                <w:sz w:val="20"/>
                <w:szCs w:val="20"/>
              </w:rPr>
            </w:pPr>
            <w:r w:rsidRPr="00B37394">
              <w:rPr>
                <w:sz w:val="20"/>
                <w:szCs w:val="20"/>
              </w:rPr>
              <w:t>2</w:t>
            </w:r>
          </w:p>
        </w:tc>
      </w:tr>
      <w:tr w:rsidR="002F065C" w:rsidRPr="00750739" w14:paraId="2055BD3E" w14:textId="77777777" w:rsidTr="006632CC">
        <w:trPr>
          <w:trHeight w:val="163"/>
        </w:trPr>
        <w:tc>
          <w:tcPr>
            <w:tcW w:w="2814" w:type="dxa"/>
            <w:vMerge/>
            <w:vAlign w:val="center"/>
          </w:tcPr>
          <w:p w14:paraId="70F6957E" w14:textId="77777777" w:rsidR="002F065C" w:rsidRPr="00B37394" w:rsidRDefault="002F065C" w:rsidP="006632CC">
            <w:pPr>
              <w:rPr>
                <w:b/>
                <w:bCs/>
                <w:sz w:val="20"/>
                <w:szCs w:val="20"/>
              </w:rPr>
            </w:pPr>
          </w:p>
        </w:tc>
        <w:tc>
          <w:tcPr>
            <w:tcW w:w="2676" w:type="dxa"/>
            <w:vMerge/>
            <w:vAlign w:val="center"/>
          </w:tcPr>
          <w:p w14:paraId="3ED1F9D6" w14:textId="77777777" w:rsidR="002F065C" w:rsidRDefault="002F065C" w:rsidP="006632CC">
            <w:pPr>
              <w:jc w:val="center"/>
              <w:rPr>
                <w:sz w:val="20"/>
                <w:szCs w:val="20"/>
              </w:rPr>
            </w:pPr>
          </w:p>
        </w:tc>
        <w:tc>
          <w:tcPr>
            <w:tcW w:w="563" w:type="dxa"/>
            <w:vMerge/>
            <w:vAlign w:val="center"/>
          </w:tcPr>
          <w:p w14:paraId="186A5259" w14:textId="77777777" w:rsidR="002F065C" w:rsidRDefault="002F065C" w:rsidP="006632CC">
            <w:pPr>
              <w:jc w:val="center"/>
              <w:rPr>
                <w:sz w:val="20"/>
                <w:szCs w:val="20"/>
              </w:rPr>
            </w:pPr>
          </w:p>
        </w:tc>
        <w:tc>
          <w:tcPr>
            <w:tcW w:w="3100" w:type="dxa"/>
            <w:vAlign w:val="center"/>
          </w:tcPr>
          <w:p w14:paraId="41E5DE5F" w14:textId="77777777" w:rsidR="002F065C" w:rsidRDefault="002F065C" w:rsidP="006632CC">
            <w:pPr>
              <w:jc w:val="center"/>
              <w:rPr>
                <w:sz w:val="20"/>
                <w:szCs w:val="20"/>
              </w:rPr>
            </w:pPr>
            <w:r w:rsidRPr="00B37394">
              <w:rPr>
                <w:sz w:val="20"/>
                <w:szCs w:val="20"/>
              </w:rPr>
              <w:t>D (ASA-ibuprofen)</w:t>
            </w:r>
          </w:p>
        </w:tc>
        <w:tc>
          <w:tcPr>
            <w:tcW w:w="495" w:type="dxa"/>
            <w:vAlign w:val="center"/>
          </w:tcPr>
          <w:p w14:paraId="2A90CBA3" w14:textId="77777777" w:rsidR="002F065C" w:rsidRDefault="002F065C" w:rsidP="006632CC">
            <w:pPr>
              <w:jc w:val="center"/>
              <w:rPr>
                <w:sz w:val="20"/>
                <w:szCs w:val="20"/>
              </w:rPr>
            </w:pPr>
            <w:r>
              <w:rPr>
                <w:sz w:val="20"/>
                <w:szCs w:val="20"/>
              </w:rPr>
              <w:t>10</w:t>
            </w:r>
          </w:p>
        </w:tc>
        <w:tc>
          <w:tcPr>
            <w:tcW w:w="2607" w:type="dxa"/>
            <w:vAlign w:val="center"/>
          </w:tcPr>
          <w:p w14:paraId="0FE0FFFD" w14:textId="77777777" w:rsidR="002F065C" w:rsidRDefault="002F065C" w:rsidP="006632CC">
            <w:pPr>
              <w:jc w:val="center"/>
              <w:rPr>
                <w:sz w:val="20"/>
                <w:szCs w:val="20"/>
              </w:rPr>
            </w:pPr>
            <w:r w:rsidRPr="00B37394">
              <w:rPr>
                <w:sz w:val="20"/>
                <w:szCs w:val="20"/>
              </w:rPr>
              <w:t>D (</w:t>
            </w:r>
            <w:proofErr w:type="spellStart"/>
            <w:r w:rsidRPr="00B37394">
              <w:rPr>
                <w:sz w:val="20"/>
                <w:szCs w:val="20"/>
              </w:rPr>
              <w:t>tapentadol-pregabalin</w:t>
            </w:r>
            <w:proofErr w:type="spellEnd"/>
            <w:r w:rsidRPr="00B37394">
              <w:rPr>
                <w:sz w:val="20"/>
                <w:szCs w:val="20"/>
              </w:rPr>
              <w:t>)</w:t>
            </w:r>
          </w:p>
        </w:tc>
        <w:tc>
          <w:tcPr>
            <w:tcW w:w="405" w:type="dxa"/>
            <w:vAlign w:val="center"/>
          </w:tcPr>
          <w:p w14:paraId="45C9433C" w14:textId="77777777" w:rsidR="002F065C" w:rsidRDefault="002F065C" w:rsidP="006632CC">
            <w:pPr>
              <w:jc w:val="center"/>
              <w:rPr>
                <w:sz w:val="20"/>
                <w:szCs w:val="20"/>
              </w:rPr>
            </w:pPr>
            <w:r w:rsidRPr="00B37394">
              <w:rPr>
                <w:sz w:val="20"/>
                <w:szCs w:val="20"/>
              </w:rPr>
              <w:t>1</w:t>
            </w:r>
          </w:p>
        </w:tc>
        <w:tc>
          <w:tcPr>
            <w:tcW w:w="2694" w:type="dxa"/>
            <w:gridSpan w:val="2"/>
            <w:vAlign w:val="center"/>
          </w:tcPr>
          <w:p w14:paraId="552522B9" w14:textId="77777777" w:rsidR="002F065C" w:rsidRDefault="002F065C" w:rsidP="006632CC">
            <w:pPr>
              <w:jc w:val="center"/>
              <w:rPr>
                <w:sz w:val="20"/>
                <w:szCs w:val="20"/>
              </w:rPr>
            </w:pPr>
            <w:r w:rsidRPr="00B37394">
              <w:rPr>
                <w:sz w:val="20"/>
                <w:szCs w:val="20"/>
              </w:rPr>
              <w:t>D (zolpidem-aripiprazole)</w:t>
            </w:r>
          </w:p>
        </w:tc>
        <w:tc>
          <w:tcPr>
            <w:tcW w:w="419" w:type="dxa"/>
            <w:vAlign w:val="center"/>
          </w:tcPr>
          <w:p w14:paraId="0CB1E974" w14:textId="77777777" w:rsidR="002F065C" w:rsidRDefault="002F065C" w:rsidP="006632CC">
            <w:pPr>
              <w:jc w:val="center"/>
              <w:rPr>
                <w:sz w:val="20"/>
                <w:szCs w:val="20"/>
              </w:rPr>
            </w:pPr>
            <w:r w:rsidRPr="00B37394">
              <w:rPr>
                <w:sz w:val="20"/>
                <w:szCs w:val="20"/>
              </w:rPr>
              <w:t>1</w:t>
            </w:r>
          </w:p>
        </w:tc>
      </w:tr>
      <w:tr w:rsidR="002F065C" w:rsidRPr="00750739" w14:paraId="1BC5FAEF" w14:textId="77777777" w:rsidTr="006632CC">
        <w:trPr>
          <w:trHeight w:val="163"/>
        </w:trPr>
        <w:tc>
          <w:tcPr>
            <w:tcW w:w="2814" w:type="dxa"/>
            <w:vMerge/>
            <w:vAlign w:val="center"/>
          </w:tcPr>
          <w:p w14:paraId="1449AC8C" w14:textId="77777777" w:rsidR="002F065C" w:rsidRPr="00B37394" w:rsidRDefault="002F065C" w:rsidP="006632CC">
            <w:pPr>
              <w:rPr>
                <w:b/>
                <w:bCs/>
                <w:sz w:val="20"/>
                <w:szCs w:val="20"/>
              </w:rPr>
            </w:pPr>
          </w:p>
        </w:tc>
        <w:tc>
          <w:tcPr>
            <w:tcW w:w="2676" w:type="dxa"/>
            <w:vMerge/>
            <w:vAlign w:val="center"/>
          </w:tcPr>
          <w:p w14:paraId="696D3319" w14:textId="77777777" w:rsidR="002F065C" w:rsidRDefault="002F065C" w:rsidP="006632CC">
            <w:pPr>
              <w:jc w:val="center"/>
              <w:rPr>
                <w:sz w:val="20"/>
                <w:szCs w:val="20"/>
              </w:rPr>
            </w:pPr>
          </w:p>
        </w:tc>
        <w:tc>
          <w:tcPr>
            <w:tcW w:w="563" w:type="dxa"/>
            <w:vMerge/>
            <w:vAlign w:val="center"/>
          </w:tcPr>
          <w:p w14:paraId="1D4E47C9" w14:textId="77777777" w:rsidR="002F065C" w:rsidRDefault="002F065C" w:rsidP="006632CC">
            <w:pPr>
              <w:jc w:val="center"/>
              <w:rPr>
                <w:sz w:val="20"/>
                <w:szCs w:val="20"/>
              </w:rPr>
            </w:pPr>
          </w:p>
        </w:tc>
        <w:tc>
          <w:tcPr>
            <w:tcW w:w="3100" w:type="dxa"/>
            <w:vAlign w:val="center"/>
          </w:tcPr>
          <w:p w14:paraId="5F24AD9A" w14:textId="77777777" w:rsidR="002F065C" w:rsidRDefault="002F065C" w:rsidP="006632CC">
            <w:pPr>
              <w:jc w:val="center"/>
              <w:rPr>
                <w:sz w:val="20"/>
                <w:szCs w:val="20"/>
              </w:rPr>
            </w:pPr>
            <w:r w:rsidRPr="00B37394">
              <w:rPr>
                <w:sz w:val="20"/>
                <w:szCs w:val="20"/>
              </w:rPr>
              <w:t>D (ASA-</w:t>
            </w:r>
            <w:proofErr w:type="spellStart"/>
            <w:r w:rsidRPr="00B37394">
              <w:rPr>
                <w:sz w:val="20"/>
                <w:szCs w:val="20"/>
              </w:rPr>
              <w:t>ketoprofen</w:t>
            </w:r>
            <w:proofErr w:type="spellEnd"/>
            <w:r w:rsidRPr="00B37394">
              <w:rPr>
                <w:sz w:val="20"/>
                <w:szCs w:val="20"/>
              </w:rPr>
              <w:t xml:space="preserve">) </w:t>
            </w:r>
          </w:p>
        </w:tc>
        <w:tc>
          <w:tcPr>
            <w:tcW w:w="495" w:type="dxa"/>
            <w:vAlign w:val="center"/>
          </w:tcPr>
          <w:p w14:paraId="1D24E702" w14:textId="77777777" w:rsidR="002F065C" w:rsidRDefault="002F065C" w:rsidP="006632CC">
            <w:pPr>
              <w:jc w:val="center"/>
              <w:rPr>
                <w:sz w:val="20"/>
                <w:szCs w:val="20"/>
              </w:rPr>
            </w:pPr>
            <w:r>
              <w:rPr>
                <w:sz w:val="20"/>
                <w:szCs w:val="20"/>
              </w:rPr>
              <w:t>6</w:t>
            </w:r>
          </w:p>
        </w:tc>
        <w:tc>
          <w:tcPr>
            <w:tcW w:w="2607" w:type="dxa"/>
            <w:vAlign w:val="center"/>
          </w:tcPr>
          <w:p w14:paraId="2BBEE715" w14:textId="77777777" w:rsidR="002F065C" w:rsidRDefault="002F065C" w:rsidP="006632CC">
            <w:pPr>
              <w:jc w:val="center"/>
              <w:rPr>
                <w:sz w:val="20"/>
                <w:szCs w:val="20"/>
              </w:rPr>
            </w:pPr>
            <w:r w:rsidRPr="00B37394">
              <w:rPr>
                <w:sz w:val="20"/>
                <w:szCs w:val="20"/>
              </w:rPr>
              <w:t>D (</w:t>
            </w:r>
            <w:proofErr w:type="spellStart"/>
            <w:r w:rsidRPr="00B37394">
              <w:rPr>
                <w:sz w:val="20"/>
                <w:szCs w:val="20"/>
              </w:rPr>
              <w:t>tapentadol</w:t>
            </w:r>
            <w:proofErr w:type="spellEnd"/>
            <w:r w:rsidRPr="00B37394">
              <w:rPr>
                <w:sz w:val="20"/>
                <w:szCs w:val="20"/>
              </w:rPr>
              <w:t>-quetiapine)</w:t>
            </w:r>
          </w:p>
        </w:tc>
        <w:tc>
          <w:tcPr>
            <w:tcW w:w="405" w:type="dxa"/>
            <w:vAlign w:val="center"/>
          </w:tcPr>
          <w:p w14:paraId="55B3E2AD" w14:textId="77777777" w:rsidR="002F065C" w:rsidRDefault="002F065C" w:rsidP="006632CC">
            <w:pPr>
              <w:jc w:val="center"/>
              <w:rPr>
                <w:sz w:val="20"/>
                <w:szCs w:val="20"/>
              </w:rPr>
            </w:pPr>
            <w:r w:rsidRPr="00B37394">
              <w:rPr>
                <w:sz w:val="20"/>
                <w:szCs w:val="20"/>
              </w:rPr>
              <w:t>1</w:t>
            </w:r>
          </w:p>
        </w:tc>
        <w:tc>
          <w:tcPr>
            <w:tcW w:w="2694" w:type="dxa"/>
            <w:gridSpan w:val="2"/>
            <w:vAlign w:val="center"/>
          </w:tcPr>
          <w:p w14:paraId="710BDCB6" w14:textId="77777777" w:rsidR="002F065C" w:rsidRDefault="002F065C" w:rsidP="006632CC">
            <w:pPr>
              <w:jc w:val="center"/>
              <w:rPr>
                <w:sz w:val="20"/>
                <w:szCs w:val="20"/>
              </w:rPr>
            </w:pPr>
            <w:r w:rsidRPr="00B37394">
              <w:rPr>
                <w:sz w:val="20"/>
                <w:szCs w:val="20"/>
              </w:rPr>
              <w:t>D (zolpidem-mirtazapine)</w:t>
            </w:r>
          </w:p>
        </w:tc>
        <w:tc>
          <w:tcPr>
            <w:tcW w:w="419" w:type="dxa"/>
            <w:vAlign w:val="center"/>
          </w:tcPr>
          <w:p w14:paraId="6F1F3876" w14:textId="77777777" w:rsidR="002F065C" w:rsidRDefault="002F065C" w:rsidP="006632CC">
            <w:pPr>
              <w:jc w:val="center"/>
              <w:rPr>
                <w:sz w:val="20"/>
                <w:szCs w:val="20"/>
              </w:rPr>
            </w:pPr>
            <w:r w:rsidRPr="00B37394">
              <w:rPr>
                <w:sz w:val="20"/>
                <w:szCs w:val="20"/>
              </w:rPr>
              <w:t>1</w:t>
            </w:r>
          </w:p>
        </w:tc>
      </w:tr>
      <w:tr w:rsidR="002F065C" w:rsidRPr="00750739" w14:paraId="1F9FC0C7" w14:textId="77777777" w:rsidTr="006632CC">
        <w:trPr>
          <w:trHeight w:val="163"/>
        </w:trPr>
        <w:tc>
          <w:tcPr>
            <w:tcW w:w="2814" w:type="dxa"/>
            <w:vMerge/>
            <w:vAlign w:val="center"/>
          </w:tcPr>
          <w:p w14:paraId="1538643D" w14:textId="77777777" w:rsidR="002F065C" w:rsidRPr="00B37394" w:rsidRDefault="002F065C" w:rsidP="006632CC">
            <w:pPr>
              <w:rPr>
                <w:b/>
                <w:bCs/>
                <w:sz w:val="20"/>
                <w:szCs w:val="20"/>
              </w:rPr>
            </w:pPr>
          </w:p>
        </w:tc>
        <w:tc>
          <w:tcPr>
            <w:tcW w:w="2676" w:type="dxa"/>
            <w:vMerge/>
            <w:vAlign w:val="center"/>
          </w:tcPr>
          <w:p w14:paraId="2F6A4197" w14:textId="77777777" w:rsidR="002F065C" w:rsidRDefault="002F065C" w:rsidP="006632CC">
            <w:pPr>
              <w:jc w:val="center"/>
              <w:rPr>
                <w:sz w:val="20"/>
                <w:szCs w:val="20"/>
              </w:rPr>
            </w:pPr>
          </w:p>
        </w:tc>
        <w:tc>
          <w:tcPr>
            <w:tcW w:w="563" w:type="dxa"/>
            <w:vMerge/>
            <w:vAlign w:val="center"/>
          </w:tcPr>
          <w:p w14:paraId="1A6317FF" w14:textId="77777777" w:rsidR="002F065C" w:rsidRDefault="002F065C" w:rsidP="006632CC">
            <w:pPr>
              <w:jc w:val="center"/>
              <w:rPr>
                <w:sz w:val="20"/>
                <w:szCs w:val="20"/>
              </w:rPr>
            </w:pPr>
          </w:p>
        </w:tc>
        <w:tc>
          <w:tcPr>
            <w:tcW w:w="3100" w:type="dxa"/>
            <w:vAlign w:val="center"/>
          </w:tcPr>
          <w:p w14:paraId="669C58D1" w14:textId="77777777" w:rsidR="002F065C" w:rsidRDefault="002F065C" w:rsidP="006632CC">
            <w:pPr>
              <w:jc w:val="center"/>
              <w:rPr>
                <w:sz w:val="20"/>
                <w:szCs w:val="20"/>
              </w:rPr>
            </w:pPr>
            <w:r w:rsidRPr="00B37394">
              <w:rPr>
                <w:sz w:val="20"/>
                <w:szCs w:val="20"/>
              </w:rPr>
              <w:t>D (ASA-diclofenac)</w:t>
            </w:r>
          </w:p>
        </w:tc>
        <w:tc>
          <w:tcPr>
            <w:tcW w:w="495" w:type="dxa"/>
            <w:vAlign w:val="center"/>
          </w:tcPr>
          <w:p w14:paraId="17083932" w14:textId="77777777" w:rsidR="002F065C" w:rsidRDefault="002F065C" w:rsidP="006632CC">
            <w:pPr>
              <w:jc w:val="center"/>
              <w:rPr>
                <w:sz w:val="20"/>
                <w:szCs w:val="20"/>
              </w:rPr>
            </w:pPr>
            <w:r>
              <w:rPr>
                <w:sz w:val="20"/>
                <w:szCs w:val="20"/>
              </w:rPr>
              <w:t>3</w:t>
            </w:r>
          </w:p>
        </w:tc>
        <w:tc>
          <w:tcPr>
            <w:tcW w:w="2607" w:type="dxa"/>
            <w:vAlign w:val="center"/>
          </w:tcPr>
          <w:p w14:paraId="318702E4" w14:textId="77777777" w:rsidR="002F065C" w:rsidRDefault="002F065C" w:rsidP="006632CC">
            <w:pPr>
              <w:jc w:val="center"/>
              <w:rPr>
                <w:sz w:val="20"/>
                <w:szCs w:val="20"/>
              </w:rPr>
            </w:pPr>
            <w:r w:rsidRPr="00B37394">
              <w:rPr>
                <w:sz w:val="20"/>
                <w:szCs w:val="20"/>
              </w:rPr>
              <w:t>D (tramadol-</w:t>
            </w:r>
            <w:proofErr w:type="spellStart"/>
            <w:r w:rsidRPr="00B37394">
              <w:rPr>
                <w:sz w:val="20"/>
                <w:szCs w:val="20"/>
              </w:rPr>
              <w:t>sulpirid</w:t>
            </w:r>
            <w:proofErr w:type="spellEnd"/>
            <w:r w:rsidRPr="00B37394">
              <w:rPr>
                <w:sz w:val="20"/>
                <w:szCs w:val="20"/>
              </w:rPr>
              <w:t>)</w:t>
            </w:r>
          </w:p>
        </w:tc>
        <w:tc>
          <w:tcPr>
            <w:tcW w:w="405" w:type="dxa"/>
            <w:vAlign w:val="center"/>
          </w:tcPr>
          <w:p w14:paraId="2386A27F" w14:textId="77777777" w:rsidR="002F065C" w:rsidRDefault="002F065C" w:rsidP="006632CC">
            <w:pPr>
              <w:jc w:val="center"/>
              <w:rPr>
                <w:sz w:val="20"/>
                <w:szCs w:val="20"/>
              </w:rPr>
            </w:pPr>
            <w:r w:rsidRPr="00B37394">
              <w:rPr>
                <w:sz w:val="20"/>
                <w:szCs w:val="20"/>
              </w:rPr>
              <w:t>1</w:t>
            </w:r>
          </w:p>
        </w:tc>
        <w:tc>
          <w:tcPr>
            <w:tcW w:w="2694" w:type="dxa"/>
            <w:gridSpan w:val="2"/>
            <w:vAlign w:val="center"/>
          </w:tcPr>
          <w:p w14:paraId="7F14A86A" w14:textId="77777777" w:rsidR="002F065C" w:rsidRDefault="002F065C" w:rsidP="006632CC">
            <w:pPr>
              <w:jc w:val="center"/>
              <w:rPr>
                <w:sz w:val="20"/>
                <w:szCs w:val="20"/>
              </w:rPr>
            </w:pPr>
            <w:r w:rsidRPr="00B37394">
              <w:rPr>
                <w:sz w:val="20"/>
                <w:szCs w:val="20"/>
              </w:rPr>
              <w:t>D (zolpidem-</w:t>
            </w:r>
            <w:proofErr w:type="spellStart"/>
            <w:r w:rsidRPr="00B37394">
              <w:rPr>
                <w:sz w:val="20"/>
                <w:szCs w:val="20"/>
              </w:rPr>
              <w:t>moxonidine</w:t>
            </w:r>
            <w:proofErr w:type="spellEnd"/>
            <w:r w:rsidRPr="00B37394">
              <w:rPr>
                <w:sz w:val="20"/>
                <w:szCs w:val="20"/>
              </w:rPr>
              <w:t>)</w:t>
            </w:r>
          </w:p>
        </w:tc>
        <w:tc>
          <w:tcPr>
            <w:tcW w:w="419" w:type="dxa"/>
            <w:vAlign w:val="center"/>
          </w:tcPr>
          <w:p w14:paraId="568DF93F" w14:textId="77777777" w:rsidR="002F065C" w:rsidRDefault="002F065C" w:rsidP="006632CC">
            <w:pPr>
              <w:jc w:val="center"/>
              <w:rPr>
                <w:sz w:val="20"/>
                <w:szCs w:val="20"/>
              </w:rPr>
            </w:pPr>
            <w:r w:rsidRPr="00B37394">
              <w:rPr>
                <w:sz w:val="20"/>
                <w:szCs w:val="20"/>
              </w:rPr>
              <w:t>1</w:t>
            </w:r>
          </w:p>
        </w:tc>
      </w:tr>
      <w:tr w:rsidR="002F065C" w:rsidRPr="00750739" w14:paraId="6CB1B80D" w14:textId="77777777" w:rsidTr="006632CC">
        <w:trPr>
          <w:trHeight w:val="163"/>
        </w:trPr>
        <w:tc>
          <w:tcPr>
            <w:tcW w:w="2814" w:type="dxa"/>
            <w:vMerge/>
            <w:vAlign w:val="center"/>
          </w:tcPr>
          <w:p w14:paraId="4EB3526E" w14:textId="77777777" w:rsidR="002F065C" w:rsidRPr="00B37394" w:rsidRDefault="002F065C" w:rsidP="006632CC">
            <w:pPr>
              <w:rPr>
                <w:b/>
                <w:bCs/>
                <w:sz w:val="20"/>
                <w:szCs w:val="20"/>
              </w:rPr>
            </w:pPr>
          </w:p>
        </w:tc>
        <w:tc>
          <w:tcPr>
            <w:tcW w:w="2676" w:type="dxa"/>
            <w:vMerge/>
            <w:vAlign w:val="center"/>
          </w:tcPr>
          <w:p w14:paraId="506E3262" w14:textId="77777777" w:rsidR="002F065C" w:rsidRDefault="002F065C" w:rsidP="006632CC">
            <w:pPr>
              <w:jc w:val="center"/>
              <w:rPr>
                <w:sz w:val="20"/>
                <w:szCs w:val="20"/>
              </w:rPr>
            </w:pPr>
          </w:p>
        </w:tc>
        <w:tc>
          <w:tcPr>
            <w:tcW w:w="563" w:type="dxa"/>
            <w:vMerge/>
            <w:vAlign w:val="center"/>
          </w:tcPr>
          <w:p w14:paraId="2E8FAD13" w14:textId="77777777" w:rsidR="002F065C" w:rsidRDefault="002F065C" w:rsidP="006632CC">
            <w:pPr>
              <w:jc w:val="center"/>
              <w:rPr>
                <w:sz w:val="20"/>
                <w:szCs w:val="20"/>
              </w:rPr>
            </w:pPr>
          </w:p>
        </w:tc>
        <w:tc>
          <w:tcPr>
            <w:tcW w:w="3100" w:type="dxa"/>
            <w:vAlign w:val="center"/>
          </w:tcPr>
          <w:p w14:paraId="58EF72B7" w14:textId="77777777" w:rsidR="002F065C" w:rsidRDefault="002F065C" w:rsidP="006632CC">
            <w:pPr>
              <w:jc w:val="center"/>
              <w:rPr>
                <w:sz w:val="20"/>
                <w:szCs w:val="20"/>
              </w:rPr>
            </w:pPr>
            <w:r w:rsidRPr="00B37394">
              <w:rPr>
                <w:sz w:val="20"/>
                <w:szCs w:val="20"/>
              </w:rPr>
              <w:t>D (ASA-naproxen)</w:t>
            </w:r>
          </w:p>
        </w:tc>
        <w:tc>
          <w:tcPr>
            <w:tcW w:w="495" w:type="dxa"/>
            <w:vAlign w:val="center"/>
          </w:tcPr>
          <w:p w14:paraId="7510B4E3" w14:textId="77777777" w:rsidR="002F065C" w:rsidRDefault="002F065C" w:rsidP="006632CC">
            <w:pPr>
              <w:jc w:val="center"/>
              <w:rPr>
                <w:sz w:val="20"/>
                <w:szCs w:val="20"/>
              </w:rPr>
            </w:pPr>
            <w:r>
              <w:rPr>
                <w:sz w:val="20"/>
                <w:szCs w:val="20"/>
              </w:rPr>
              <w:t>2</w:t>
            </w:r>
          </w:p>
        </w:tc>
        <w:tc>
          <w:tcPr>
            <w:tcW w:w="2607" w:type="dxa"/>
            <w:vAlign w:val="center"/>
          </w:tcPr>
          <w:p w14:paraId="1CF86393" w14:textId="77777777" w:rsidR="002F065C" w:rsidRDefault="002F065C" w:rsidP="006632CC">
            <w:pPr>
              <w:jc w:val="center"/>
              <w:rPr>
                <w:sz w:val="20"/>
                <w:szCs w:val="20"/>
              </w:rPr>
            </w:pPr>
          </w:p>
        </w:tc>
        <w:tc>
          <w:tcPr>
            <w:tcW w:w="405" w:type="dxa"/>
            <w:vAlign w:val="center"/>
          </w:tcPr>
          <w:p w14:paraId="0010C2AB" w14:textId="77777777" w:rsidR="002F065C" w:rsidRDefault="002F065C" w:rsidP="006632CC">
            <w:pPr>
              <w:jc w:val="center"/>
              <w:rPr>
                <w:sz w:val="20"/>
                <w:szCs w:val="20"/>
              </w:rPr>
            </w:pPr>
          </w:p>
        </w:tc>
        <w:tc>
          <w:tcPr>
            <w:tcW w:w="2694" w:type="dxa"/>
            <w:gridSpan w:val="2"/>
            <w:vAlign w:val="center"/>
          </w:tcPr>
          <w:p w14:paraId="1E08B972" w14:textId="77777777" w:rsidR="002F065C" w:rsidRDefault="002F065C" w:rsidP="006632CC">
            <w:pPr>
              <w:jc w:val="center"/>
              <w:rPr>
                <w:sz w:val="20"/>
                <w:szCs w:val="20"/>
              </w:rPr>
            </w:pPr>
            <w:r w:rsidRPr="00B37394">
              <w:rPr>
                <w:sz w:val="20"/>
                <w:szCs w:val="20"/>
              </w:rPr>
              <w:t>D (zolpidem-quetiapine)</w:t>
            </w:r>
          </w:p>
        </w:tc>
        <w:tc>
          <w:tcPr>
            <w:tcW w:w="419" w:type="dxa"/>
            <w:vAlign w:val="center"/>
          </w:tcPr>
          <w:p w14:paraId="4FBEFB0B" w14:textId="77777777" w:rsidR="002F065C" w:rsidRDefault="002F065C" w:rsidP="006632CC">
            <w:pPr>
              <w:jc w:val="center"/>
              <w:rPr>
                <w:sz w:val="20"/>
                <w:szCs w:val="20"/>
              </w:rPr>
            </w:pPr>
            <w:r w:rsidRPr="00B37394">
              <w:rPr>
                <w:sz w:val="20"/>
                <w:szCs w:val="20"/>
              </w:rPr>
              <w:t>1</w:t>
            </w:r>
          </w:p>
        </w:tc>
      </w:tr>
      <w:tr w:rsidR="002F065C" w:rsidRPr="00750739" w14:paraId="601C7C25" w14:textId="77777777" w:rsidTr="006632CC">
        <w:trPr>
          <w:trHeight w:val="163"/>
        </w:trPr>
        <w:tc>
          <w:tcPr>
            <w:tcW w:w="2814" w:type="dxa"/>
            <w:vMerge/>
            <w:vAlign w:val="center"/>
          </w:tcPr>
          <w:p w14:paraId="78EEA981" w14:textId="77777777" w:rsidR="002F065C" w:rsidRPr="00B37394" w:rsidRDefault="002F065C" w:rsidP="006632CC">
            <w:pPr>
              <w:rPr>
                <w:b/>
                <w:bCs/>
                <w:sz w:val="20"/>
                <w:szCs w:val="20"/>
              </w:rPr>
            </w:pPr>
          </w:p>
        </w:tc>
        <w:tc>
          <w:tcPr>
            <w:tcW w:w="2676" w:type="dxa"/>
            <w:vMerge/>
            <w:vAlign w:val="center"/>
          </w:tcPr>
          <w:p w14:paraId="76E9B185" w14:textId="77777777" w:rsidR="002F065C" w:rsidRDefault="002F065C" w:rsidP="006632CC">
            <w:pPr>
              <w:jc w:val="center"/>
              <w:rPr>
                <w:sz w:val="20"/>
                <w:szCs w:val="20"/>
              </w:rPr>
            </w:pPr>
          </w:p>
        </w:tc>
        <w:tc>
          <w:tcPr>
            <w:tcW w:w="563" w:type="dxa"/>
            <w:vMerge/>
            <w:vAlign w:val="center"/>
          </w:tcPr>
          <w:p w14:paraId="7E4C3EAA" w14:textId="77777777" w:rsidR="002F065C" w:rsidRDefault="002F065C" w:rsidP="006632CC">
            <w:pPr>
              <w:jc w:val="center"/>
              <w:rPr>
                <w:sz w:val="20"/>
                <w:szCs w:val="20"/>
              </w:rPr>
            </w:pPr>
          </w:p>
        </w:tc>
        <w:tc>
          <w:tcPr>
            <w:tcW w:w="3100" w:type="dxa"/>
            <w:vAlign w:val="center"/>
          </w:tcPr>
          <w:p w14:paraId="4E0CE9A2" w14:textId="77777777" w:rsidR="002F065C" w:rsidRDefault="002F065C" w:rsidP="006632CC">
            <w:pPr>
              <w:jc w:val="center"/>
              <w:rPr>
                <w:sz w:val="20"/>
                <w:szCs w:val="20"/>
              </w:rPr>
            </w:pPr>
            <w:r w:rsidRPr="00B37394">
              <w:rPr>
                <w:sz w:val="20"/>
                <w:szCs w:val="20"/>
              </w:rPr>
              <w:t>D (ASA-</w:t>
            </w:r>
            <w:proofErr w:type="spellStart"/>
            <w:r w:rsidRPr="00B37394">
              <w:rPr>
                <w:sz w:val="20"/>
                <w:szCs w:val="20"/>
              </w:rPr>
              <w:t>piroxicam</w:t>
            </w:r>
            <w:proofErr w:type="spellEnd"/>
            <w:r w:rsidRPr="00B37394">
              <w:rPr>
                <w:sz w:val="20"/>
                <w:szCs w:val="20"/>
              </w:rPr>
              <w:t>)</w:t>
            </w:r>
          </w:p>
        </w:tc>
        <w:tc>
          <w:tcPr>
            <w:tcW w:w="495" w:type="dxa"/>
            <w:vAlign w:val="center"/>
          </w:tcPr>
          <w:p w14:paraId="606BB8A7" w14:textId="77777777" w:rsidR="002F065C" w:rsidRDefault="002F065C" w:rsidP="006632CC">
            <w:pPr>
              <w:jc w:val="center"/>
              <w:rPr>
                <w:sz w:val="20"/>
                <w:szCs w:val="20"/>
              </w:rPr>
            </w:pPr>
            <w:r w:rsidRPr="00B37394">
              <w:rPr>
                <w:sz w:val="20"/>
                <w:szCs w:val="20"/>
              </w:rPr>
              <w:t>1</w:t>
            </w:r>
          </w:p>
        </w:tc>
        <w:tc>
          <w:tcPr>
            <w:tcW w:w="2607" w:type="dxa"/>
            <w:vAlign w:val="center"/>
          </w:tcPr>
          <w:p w14:paraId="1F97BF7A" w14:textId="77777777" w:rsidR="002F065C" w:rsidRDefault="002F065C" w:rsidP="006632CC">
            <w:pPr>
              <w:jc w:val="center"/>
              <w:rPr>
                <w:sz w:val="20"/>
                <w:szCs w:val="20"/>
              </w:rPr>
            </w:pPr>
          </w:p>
        </w:tc>
        <w:tc>
          <w:tcPr>
            <w:tcW w:w="405" w:type="dxa"/>
            <w:vAlign w:val="center"/>
          </w:tcPr>
          <w:p w14:paraId="1B9978E0" w14:textId="77777777" w:rsidR="002F065C" w:rsidRDefault="002F065C" w:rsidP="006632CC">
            <w:pPr>
              <w:jc w:val="center"/>
              <w:rPr>
                <w:sz w:val="20"/>
                <w:szCs w:val="20"/>
              </w:rPr>
            </w:pPr>
          </w:p>
        </w:tc>
        <w:tc>
          <w:tcPr>
            <w:tcW w:w="2694" w:type="dxa"/>
            <w:gridSpan w:val="2"/>
            <w:vAlign w:val="center"/>
          </w:tcPr>
          <w:p w14:paraId="69BEDCC6" w14:textId="77777777" w:rsidR="002F065C" w:rsidRDefault="002F065C" w:rsidP="006632CC">
            <w:pPr>
              <w:jc w:val="center"/>
              <w:rPr>
                <w:sz w:val="20"/>
                <w:szCs w:val="20"/>
              </w:rPr>
            </w:pPr>
            <w:r w:rsidRPr="00B37394">
              <w:rPr>
                <w:sz w:val="20"/>
                <w:szCs w:val="20"/>
              </w:rPr>
              <w:t>D (zolpidem-</w:t>
            </w:r>
            <w:proofErr w:type="spellStart"/>
            <w:r w:rsidRPr="00B37394">
              <w:rPr>
                <w:sz w:val="20"/>
                <w:szCs w:val="20"/>
              </w:rPr>
              <w:t>trazodon</w:t>
            </w:r>
            <w:proofErr w:type="spellEnd"/>
            <w:r w:rsidRPr="00B37394">
              <w:rPr>
                <w:sz w:val="20"/>
                <w:szCs w:val="20"/>
              </w:rPr>
              <w:t>)</w:t>
            </w:r>
          </w:p>
        </w:tc>
        <w:tc>
          <w:tcPr>
            <w:tcW w:w="419" w:type="dxa"/>
            <w:vAlign w:val="center"/>
          </w:tcPr>
          <w:p w14:paraId="5A2888FF" w14:textId="77777777" w:rsidR="002F065C" w:rsidRDefault="002F065C" w:rsidP="006632CC">
            <w:pPr>
              <w:jc w:val="center"/>
              <w:rPr>
                <w:sz w:val="20"/>
                <w:szCs w:val="20"/>
              </w:rPr>
            </w:pPr>
            <w:r w:rsidRPr="00B37394">
              <w:rPr>
                <w:sz w:val="20"/>
                <w:szCs w:val="20"/>
              </w:rPr>
              <w:t>1</w:t>
            </w:r>
          </w:p>
        </w:tc>
      </w:tr>
      <w:tr w:rsidR="002F065C" w:rsidRPr="00750739" w14:paraId="37D134FD" w14:textId="77777777" w:rsidTr="006632CC">
        <w:trPr>
          <w:trHeight w:val="163"/>
        </w:trPr>
        <w:tc>
          <w:tcPr>
            <w:tcW w:w="2814" w:type="dxa"/>
            <w:vMerge/>
            <w:vAlign w:val="center"/>
          </w:tcPr>
          <w:p w14:paraId="3FD38BA8" w14:textId="77777777" w:rsidR="002F065C" w:rsidRPr="00B37394" w:rsidRDefault="002F065C" w:rsidP="006632CC">
            <w:pPr>
              <w:rPr>
                <w:b/>
                <w:bCs/>
                <w:sz w:val="20"/>
                <w:szCs w:val="20"/>
              </w:rPr>
            </w:pPr>
          </w:p>
        </w:tc>
        <w:tc>
          <w:tcPr>
            <w:tcW w:w="2676" w:type="dxa"/>
            <w:vMerge/>
            <w:vAlign w:val="center"/>
          </w:tcPr>
          <w:p w14:paraId="31A17B4E" w14:textId="77777777" w:rsidR="002F065C" w:rsidRDefault="002F065C" w:rsidP="006632CC">
            <w:pPr>
              <w:jc w:val="center"/>
              <w:rPr>
                <w:sz w:val="20"/>
                <w:szCs w:val="20"/>
              </w:rPr>
            </w:pPr>
          </w:p>
        </w:tc>
        <w:tc>
          <w:tcPr>
            <w:tcW w:w="563" w:type="dxa"/>
            <w:vMerge/>
            <w:vAlign w:val="center"/>
          </w:tcPr>
          <w:p w14:paraId="1B043FEC" w14:textId="77777777" w:rsidR="002F065C" w:rsidRDefault="002F065C" w:rsidP="006632CC">
            <w:pPr>
              <w:jc w:val="center"/>
              <w:rPr>
                <w:sz w:val="20"/>
                <w:szCs w:val="20"/>
              </w:rPr>
            </w:pPr>
          </w:p>
        </w:tc>
        <w:tc>
          <w:tcPr>
            <w:tcW w:w="3100" w:type="dxa"/>
            <w:vAlign w:val="center"/>
          </w:tcPr>
          <w:p w14:paraId="0D14F962" w14:textId="77777777" w:rsidR="002F065C" w:rsidRDefault="002F065C" w:rsidP="006632CC">
            <w:pPr>
              <w:jc w:val="center"/>
              <w:rPr>
                <w:sz w:val="20"/>
                <w:szCs w:val="20"/>
              </w:rPr>
            </w:pPr>
            <w:r>
              <w:rPr>
                <w:sz w:val="20"/>
                <w:szCs w:val="20"/>
              </w:rPr>
              <w:t>D (ibuprofen-sertraline)</w:t>
            </w:r>
          </w:p>
        </w:tc>
        <w:tc>
          <w:tcPr>
            <w:tcW w:w="495" w:type="dxa"/>
            <w:vAlign w:val="center"/>
          </w:tcPr>
          <w:p w14:paraId="78AFE45D" w14:textId="77777777" w:rsidR="002F065C" w:rsidRDefault="002F065C" w:rsidP="006632CC">
            <w:pPr>
              <w:jc w:val="center"/>
              <w:rPr>
                <w:sz w:val="20"/>
                <w:szCs w:val="20"/>
              </w:rPr>
            </w:pPr>
            <w:r>
              <w:rPr>
                <w:sz w:val="20"/>
                <w:szCs w:val="20"/>
              </w:rPr>
              <w:t>3</w:t>
            </w:r>
          </w:p>
        </w:tc>
        <w:tc>
          <w:tcPr>
            <w:tcW w:w="5706" w:type="dxa"/>
            <w:gridSpan w:val="4"/>
            <w:vAlign w:val="center"/>
          </w:tcPr>
          <w:p w14:paraId="0ED8B3BB" w14:textId="77777777" w:rsidR="002F065C" w:rsidRDefault="002F065C" w:rsidP="006632CC">
            <w:pPr>
              <w:jc w:val="center"/>
              <w:rPr>
                <w:sz w:val="20"/>
                <w:szCs w:val="20"/>
              </w:rPr>
            </w:pPr>
            <w:r w:rsidRPr="00B37394">
              <w:rPr>
                <w:sz w:val="20"/>
                <w:szCs w:val="20"/>
              </w:rPr>
              <w:t>D (alprazolam-tramadol)</w:t>
            </w:r>
          </w:p>
        </w:tc>
        <w:tc>
          <w:tcPr>
            <w:tcW w:w="419" w:type="dxa"/>
            <w:vAlign w:val="center"/>
          </w:tcPr>
          <w:p w14:paraId="2A73CECC" w14:textId="77777777" w:rsidR="002F065C" w:rsidRDefault="002F065C" w:rsidP="006632CC">
            <w:pPr>
              <w:jc w:val="center"/>
              <w:rPr>
                <w:sz w:val="20"/>
                <w:szCs w:val="20"/>
              </w:rPr>
            </w:pPr>
            <w:r>
              <w:rPr>
                <w:sz w:val="20"/>
                <w:szCs w:val="20"/>
              </w:rPr>
              <w:t>13</w:t>
            </w:r>
          </w:p>
        </w:tc>
      </w:tr>
      <w:tr w:rsidR="002F065C" w:rsidRPr="00750739" w14:paraId="02969BA2" w14:textId="77777777" w:rsidTr="006632CC">
        <w:trPr>
          <w:trHeight w:val="29"/>
        </w:trPr>
        <w:tc>
          <w:tcPr>
            <w:tcW w:w="2814" w:type="dxa"/>
            <w:vMerge/>
            <w:vAlign w:val="center"/>
          </w:tcPr>
          <w:p w14:paraId="6FEA8F52" w14:textId="77777777" w:rsidR="002F065C" w:rsidRPr="00B37394" w:rsidRDefault="002F065C" w:rsidP="006632CC">
            <w:pPr>
              <w:rPr>
                <w:b/>
                <w:bCs/>
                <w:sz w:val="20"/>
                <w:szCs w:val="20"/>
              </w:rPr>
            </w:pPr>
          </w:p>
        </w:tc>
        <w:tc>
          <w:tcPr>
            <w:tcW w:w="2676" w:type="dxa"/>
            <w:vMerge/>
            <w:vAlign w:val="center"/>
          </w:tcPr>
          <w:p w14:paraId="14892C96" w14:textId="77777777" w:rsidR="002F065C" w:rsidRDefault="002F065C" w:rsidP="006632CC">
            <w:pPr>
              <w:jc w:val="center"/>
              <w:rPr>
                <w:sz w:val="20"/>
                <w:szCs w:val="20"/>
              </w:rPr>
            </w:pPr>
          </w:p>
        </w:tc>
        <w:tc>
          <w:tcPr>
            <w:tcW w:w="563" w:type="dxa"/>
            <w:vMerge/>
            <w:vAlign w:val="center"/>
          </w:tcPr>
          <w:p w14:paraId="6D802A44" w14:textId="77777777" w:rsidR="002F065C" w:rsidRDefault="002F065C" w:rsidP="006632CC">
            <w:pPr>
              <w:jc w:val="center"/>
              <w:rPr>
                <w:sz w:val="20"/>
                <w:szCs w:val="20"/>
              </w:rPr>
            </w:pPr>
          </w:p>
        </w:tc>
        <w:tc>
          <w:tcPr>
            <w:tcW w:w="3100" w:type="dxa"/>
            <w:vAlign w:val="center"/>
          </w:tcPr>
          <w:p w14:paraId="68E2603F" w14:textId="77777777" w:rsidR="002F065C" w:rsidRDefault="002F065C" w:rsidP="006632CC">
            <w:pPr>
              <w:jc w:val="center"/>
              <w:rPr>
                <w:sz w:val="20"/>
                <w:szCs w:val="20"/>
              </w:rPr>
            </w:pPr>
            <w:r>
              <w:rPr>
                <w:sz w:val="20"/>
                <w:szCs w:val="20"/>
              </w:rPr>
              <w:t>D (diclofenac-topical diclofenac)</w:t>
            </w:r>
          </w:p>
        </w:tc>
        <w:tc>
          <w:tcPr>
            <w:tcW w:w="495" w:type="dxa"/>
            <w:vAlign w:val="center"/>
          </w:tcPr>
          <w:p w14:paraId="4F93404E" w14:textId="77777777" w:rsidR="002F065C" w:rsidRDefault="002F065C" w:rsidP="006632CC">
            <w:pPr>
              <w:jc w:val="center"/>
              <w:rPr>
                <w:sz w:val="20"/>
                <w:szCs w:val="20"/>
              </w:rPr>
            </w:pPr>
            <w:r>
              <w:rPr>
                <w:sz w:val="20"/>
                <w:szCs w:val="20"/>
              </w:rPr>
              <w:t>2</w:t>
            </w:r>
          </w:p>
        </w:tc>
        <w:tc>
          <w:tcPr>
            <w:tcW w:w="5706" w:type="dxa"/>
            <w:gridSpan w:val="4"/>
            <w:vAlign w:val="center"/>
          </w:tcPr>
          <w:p w14:paraId="5F16CDFF" w14:textId="77777777" w:rsidR="002F065C" w:rsidRDefault="002F065C" w:rsidP="006632CC">
            <w:pPr>
              <w:jc w:val="center"/>
              <w:rPr>
                <w:sz w:val="20"/>
                <w:szCs w:val="20"/>
              </w:rPr>
            </w:pPr>
            <w:r w:rsidRPr="00B37394">
              <w:rPr>
                <w:sz w:val="20"/>
                <w:szCs w:val="20"/>
              </w:rPr>
              <w:t>D (diazepam-tramadol)</w:t>
            </w:r>
          </w:p>
        </w:tc>
        <w:tc>
          <w:tcPr>
            <w:tcW w:w="419" w:type="dxa"/>
            <w:vAlign w:val="center"/>
          </w:tcPr>
          <w:p w14:paraId="08E98B6D" w14:textId="77777777" w:rsidR="002F065C" w:rsidRDefault="002F065C" w:rsidP="006632CC">
            <w:pPr>
              <w:jc w:val="center"/>
              <w:rPr>
                <w:sz w:val="20"/>
                <w:szCs w:val="20"/>
              </w:rPr>
            </w:pPr>
            <w:r>
              <w:rPr>
                <w:sz w:val="20"/>
                <w:szCs w:val="20"/>
              </w:rPr>
              <w:t>7</w:t>
            </w:r>
          </w:p>
        </w:tc>
      </w:tr>
      <w:tr w:rsidR="002F065C" w:rsidRPr="00750739" w14:paraId="5679E5E2" w14:textId="77777777" w:rsidTr="006632CC">
        <w:trPr>
          <w:trHeight w:val="21"/>
        </w:trPr>
        <w:tc>
          <w:tcPr>
            <w:tcW w:w="2814" w:type="dxa"/>
            <w:vMerge/>
            <w:vAlign w:val="center"/>
          </w:tcPr>
          <w:p w14:paraId="66DD50D1" w14:textId="77777777" w:rsidR="002F065C" w:rsidRPr="00B37394" w:rsidRDefault="002F065C" w:rsidP="006632CC">
            <w:pPr>
              <w:rPr>
                <w:b/>
                <w:bCs/>
                <w:sz w:val="20"/>
                <w:szCs w:val="20"/>
              </w:rPr>
            </w:pPr>
          </w:p>
        </w:tc>
        <w:tc>
          <w:tcPr>
            <w:tcW w:w="2676" w:type="dxa"/>
            <w:vMerge/>
            <w:vAlign w:val="center"/>
          </w:tcPr>
          <w:p w14:paraId="53726042" w14:textId="77777777" w:rsidR="002F065C" w:rsidRDefault="002F065C" w:rsidP="006632CC">
            <w:pPr>
              <w:jc w:val="center"/>
              <w:rPr>
                <w:sz w:val="20"/>
                <w:szCs w:val="20"/>
              </w:rPr>
            </w:pPr>
          </w:p>
        </w:tc>
        <w:tc>
          <w:tcPr>
            <w:tcW w:w="563" w:type="dxa"/>
            <w:vMerge/>
            <w:vAlign w:val="center"/>
          </w:tcPr>
          <w:p w14:paraId="65E397E5" w14:textId="77777777" w:rsidR="002F065C" w:rsidRDefault="002F065C" w:rsidP="006632CC">
            <w:pPr>
              <w:jc w:val="center"/>
              <w:rPr>
                <w:sz w:val="20"/>
                <w:szCs w:val="20"/>
              </w:rPr>
            </w:pPr>
          </w:p>
        </w:tc>
        <w:tc>
          <w:tcPr>
            <w:tcW w:w="3100" w:type="dxa"/>
            <w:vAlign w:val="center"/>
          </w:tcPr>
          <w:p w14:paraId="674716D0" w14:textId="77777777" w:rsidR="002F065C" w:rsidRDefault="002F065C" w:rsidP="006632CC">
            <w:pPr>
              <w:jc w:val="center"/>
              <w:rPr>
                <w:sz w:val="20"/>
                <w:szCs w:val="20"/>
              </w:rPr>
            </w:pPr>
            <w:r>
              <w:rPr>
                <w:sz w:val="20"/>
                <w:szCs w:val="20"/>
              </w:rPr>
              <w:t>D (ibuprofen-</w:t>
            </w:r>
            <w:proofErr w:type="spellStart"/>
            <w:r>
              <w:rPr>
                <w:sz w:val="20"/>
                <w:szCs w:val="20"/>
              </w:rPr>
              <w:t>furosemid</w:t>
            </w:r>
            <w:proofErr w:type="spellEnd"/>
            <w:r>
              <w:rPr>
                <w:sz w:val="20"/>
                <w:szCs w:val="20"/>
              </w:rPr>
              <w:t>)</w:t>
            </w:r>
          </w:p>
        </w:tc>
        <w:tc>
          <w:tcPr>
            <w:tcW w:w="495" w:type="dxa"/>
            <w:vAlign w:val="center"/>
          </w:tcPr>
          <w:p w14:paraId="2D43159C" w14:textId="77777777" w:rsidR="002F065C" w:rsidRDefault="002F065C" w:rsidP="006632CC">
            <w:pPr>
              <w:jc w:val="center"/>
              <w:rPr>
                <w:sz w:val="20"/>
                <w:szCs w:val="20"/>
              </w:rPr>
            </w:pPr>
            <w:r>
              <w:rPr>
                <w:sz w:val="20"/>
                <w:szCs w:val="20"/>
              </w:rPr>
              <w:t>2</w:t>
            </w:r>
          </w:p>
        </w:tc>
        <w:tc>
          <w:tcPr>
            <w:tcW w:w="5706" w:type="dxa"/>
            <w:gridSpan w:val="4"/>
            <w:vAlign w:val="center"/>
          </w:tcPr>
          <w:p w14:paraId="01A0D8AB" w14:textId="77777777" w:rsidR="002F065C" w:rsidRDefault="002F065C" w:rsidP="006632CC">
            <w:pPr>
              <w:jc w:val="center"/>
              <w:rPr>
                <w:sz w:val="20"/>
                <w:szCs w:val="20"/>
              </w:rPr>
            </w:pPr>
            <w:r w:rsidRPr="00B37394">
              <w:rPr>
                <w:sz w:val="20"/>
                <w:szCs w:val="20"/>
              </w:rPr>
              <w:t>D (</w:t>
            </w:r>
            <w:proofErr w:type="spellStart"/>
            <w:r w:rsidRPr="00B37394">
              <w:rPr>
                <w:sz w:val="20"/>
                <w:szCs w:val="20"/>
              </w:rPr>
              <w:t>oxazepam</w:t>
            </w:r>
            <w:proofErr w:type="spellEnd"/>
            <w:r w:rsidRPr="00B37394">
              <w:rPr>
                <w:sz w:val="20"/>
                <w:szCs w:val="20"/>
              </w:rPr>
              <w:t>-tramadol)</w:t>
            </w:r>
          </w:p>
        </w:tc>
        <w:tc>
          <w:tcPr>
            <w:tcW w:w="419" w:type="dxa"/>
            <w:vAlign w:val="center"/>
          </w:tcPr>
          <w:p w14:paraId="12A4C72E" w14:textId="77777777" w:rsidR="002F065C" w:rsidRDefault="002F065C" w:rsidP="006632CC">
            <w:pPr>
              <w:jc w:val="center"/>
              <w:rPr>
                <w:sz w:val="20"/>
                <w:szCs w:val="20"/>
              </w:rPr>
            </w:pPr>
            <w:r>
              <w:rPr>
                <w:sz w:val="20"/>
                <w:szCs w:val="20"/>
              </w:rPr>
              <w:t>6</w:t>
            </w:r>
          </w:p>
        </w:tc>
      </w:tr>
      <w:tr w:rsidR="002F065C" w:rsidRPr="00750739" w14:paraId="657F45F3" w14:textId="77777777" w:rsidTr="006632CC">
        <w:trPr>
          <w:trHeight w:val="21"/>
        </w:trPr>
        <w:tc>
          <w:tcPr>
            <w:tcW w:w="2814" w:type="dxa"/>
            <w:vMerge/>
            <w:vAlign w:val="center"/>
          </w:tcPr>
          <w:p w14:paraId="1D7500F5" w14:textId="77777777" w:rsidR="002F065C" w:rsidRPr="00B37394" w:rsidRDefault="002F065C" w:rsidP="006632CC">
            <w:pPr>
              <w:rPr>
                <w:b/>
                <w:bCs/>
                <w:sz w:val="20"/>
                <w:szCs w:val="20"/>
              </w:rPr>
            </w:pPr>
          </w:p>
        </w:tc>
        <w:tc>
          <w:tcPr>
            <w:tcW w:w="2676" w:type="dxa"/>
            <w:vMerge/>
            <w:vAlign w:val="center"/>
          </w:tcPr>
          <w:p w14:paraId="2CB27DBD" w14:textId="77777777" w:rsidR="002F065C" w:rsidRDefault="002F065C" w:rsidP="006632CC">
            <w:pPr>
              <w:jc w:val="center"/>
              <w:rPr>
                <w:sz w:val="20"/>
                <w:szCs w:val="20"/>
              </w:rPr>
            </w:pPr>
          </w:p>
        </w:tc>
        <w:tc>
          <w:tcPr>
            <w:tcW w:w="563" w:type="dxa"/>
            <w:vMerge/>
            <w:vAlign w:val="center"/>
          </w:tcPr>
          <w:p w14:paraId="568E811E" w14:textId="77777777" w:rsidR="002F065C" w:rsidRDefault="002F065C" w:rsidP="006632CC">
            <w:pPr>
              <w:jc w:val="center"/>
              <w:rPr>
                <w:sz w:val="20"/>
                <w:szCs w:val="20"/>
              </w:rPr>
            </w:pPr>
          </w:p>
        </w:tc>
        <w:tc>
          <w:tcPr>
            <w:tcW w:w="3100" w:type="dxa"/>
            <w:vAlign w:val="center"/>
          </w:tcPr>
          <w:p w14:paraId="33FC4459" w14:textId="77777777" w:rsidR="002F065C" w:rsidRDefault="002F065C" w:rsidP="006632CC">
            <w:pPr>
              <w:jc w:val="center"/>
              <w:rPr>
                <w:sz w:val="20"/>
                <w:szCs w:val="20"/>
              </w:rPr>
            </w:pPr>
            <w:r>
              <w:rPr>
                <w:sz w:val="20"/>
                <w:szCs w:val="20"/>
              </w:rPr>
              <w:t>D (naproxen-furosemide)</w:t>
            </w:r>
          </w:p>
        </w:tc>
        <w:tc>
          <w:tcPr>
            <w:tcW w:w="495" w:type="dxa"/>
            <w:vAlign w:val="center"/>
          </w:tcPr>
          <w:p w14:paraId="6FD6EC1C" w14:textId="77777777" w:rsidR="002F065C" w:rsidRDefault="002F065C" w:rsidP="006632CC">
            <w:pPr>
              <w:jc w:val="center"/>
              <w:rPr>
                <w:sz w:val="20"/>
                <w:szCs w:val="20"/>
              </w:rPr>
            </w:pPr>
            <w:r>
              <w:rPr>
                <w:sz w:val="20"/>
                <w:szCs w:val="20"/>
              </w:rPr>
              <w:t>1</w:t>
            </w:r>
          </w:p>
        </w:tc>
        <w:tc>
          <w:tcPr>
            <w:tcW w:w="5706" w:type="dxa"/>
            <w:gridSpan w:val="4"/>
            <w:vAlign w:val="center"/>
          </w:tcPr>
          <w:p w14:paraId="232CEFF3" w14:textId="77777777" w:rsidR="002F065C" w:rsidRDefault="002F065C" w:rsidP="006632CC">
            <w:pPr>
              <w:jc w:val="center"/>
              <w:rPr>
                <w:sz w:val="20"/>
                <w:szCs w:val="20"/>
              </w:rPr>
            </w:pPr>
            <w:r w:rsidRPr="00B37394">
              <w:rPr>
                <w:sz w:val="20"/>
                <w:szCs w:val="20"/>
              </w:rPr>
              <w:t>D (zolpidem-tramadol)</w:t>
            </w:r>
          </w:p>
        </w:tc>
        <w:tc>
          <w:tcPr>
            <w:tcW w:w="419" w:type="dxa"/>
            <w:vAlign w:val="center"/>
          </w:tcPr>
          <w:p w14:paraId="0DFE07D6" w14:textId="77777777" w:rsidR="002F065C" w:rsidRDefault="002F065C" w:rsidP="006632CC">
            <w:pPr>
              <w:jc w:val="center"/>
              <w:rPr>
                <w:sz w:val="20"/>
                <w:szCs w:val="20"/>
              </w:rPr>
            </w:pPr>
            <w:r>
              <w:rPr>
                <w:sz w:val="20"/>
                <w:szCs w:val="20"/>
              </w:rPr>
              <w:t>6</w:t>
            </w:r>
          </w:p>
        </w:tc>
      </w:tr>
      <w:tr w:rsidR="002F065C" w:rsidRPr="00750739" w14:paraId="572D54B5" w14:textId="77777777" w:rsidTr="006632CC">
        <w:trPr>
          <w:trHeight w:val="21"/>
        </w:trPr>
        <w:tc>
          <w:tcPr>
            <w:tcW w:w="2814" w:type="dxa"/>
            <w:vMerge/>
            <w:vAlign w:val="center"/>
          </w:tcPr>
          <w:p w14:paraId="5EAB77BB" w14:textId="77777777" w:rsidR="002F065C" w:rsidRPr="00B37394" w:rsidRDefault="002F065C" w:rsidP="006632CC">
            <w:pPr>
              <w:rPr>
                <w:b/>
                <w:bCs/>
                <w:sz w:val="20"/>
                <w:szCs w:val="20"/>
              </w:rPr>
            </w:pPr>
          </w:p>
        </w:tc>
        <w:tc>
          <w:tcPr>
            <w:tcW w:w="2676" w:type="dxa"/>
            <w:vMerge/>
            <w:vAlign w:val="center"/>
          </w:tcPr>
          <w:p w14:paraId="731D35D2" w14:textId="77777777" w:rsidR="002F065C" w:rsidRDefault="002F065C" w:rsidP="006632CC">
            <w:pPr>
              <w:jc w:val="center"/>
              <w:rPr>
                <w:sz w:val="20"/>
                <w:szCs w:val="20"/>
              </w:rPr>
            </w:pPr>
          </w:p>
        </w:tc>
        <w:tc>
          <w:tcPr>
            <w:tcW w:w="563" w:type="dxa"/>
            <w:vMerge/>
            <w:vAlign w:val="center"/>
          </w:tcPr>
          <w:p w14:paraId="42A6A0EA" w14:textId="77777777" w:rsidR="002F065C" w:rsidRDefault="002F065C" w:rsidP="006632CC">
            <w:pPr>
              <w:jc w:val="center"/>
              <w:rPr>
                <w:sz w:val="20"/>
                <w:szCs w:val="20"/>
              </w:rPr>
            </w:pPr>
          </w:p>
        </w:tc>
        <w:tc>
          <w:tcPr>
            <w:tcW w:w="3100" w:type="dxa"/>
            <w:vAlign w:val="center"/>
          </w:tcPr>
          <w:p w14:paraId="0D7812F1" w14:textId="77777777" w:rsidR="002F065C" w:rsidRDefault="002F065C" w:rsidP="006632CC">
            <w:pPr>
              <w:jc w:val="center"/>
              <w:rPr>
                <w:sz w:val="20"/>
                <w:szCs w:val="20"/>
              </w:rPr>
            </w:pPr>
            <w:r>
              <w:rPr>
                <w:sz w:val="20"/>
                <w:szCs w:val="20"/>
              </w:rPr>
              <w:t>D (diclofenac-escitalopram)</w:t>
            </w:r>
          </w:p>
        </w:tc>
        <w:tc>
          <w:tcPr>
            <w:tcW w:w="495" w:type="dxa"/>
            <w:vAlign w:val="center"/>
          </w:tcPr>
          <w:p w14:paraId="527B6A89" w14:textId="77777777" w:rsidR="002F065C" w:rsidRDefault="002F065C" w:rsidP="006632CC">
            <w:pPr>
              <w:jc w:val="center"/>
              <w:rPr>
                <w:sz w:val="20"/>
                <w:szCs w:val="20"/>
              </w:rPr>
            </w:pPr>
            <w:r>
              <w:rPr>
                <w:sz w:val="20"/>
                <w:szCs w:val="20"/>
              </w:rPr>
              <w:t>1</w:t>
            </w:r>
          </w:p>
        </w:tc>
        <w:tc>
          <w:tcPr>
            <w:tcW w:w="5706" w:type="dxa"/>
            <w:gridSpan w:val="4"/>
            <w:vAlign w:val="center"/>
          </w:tcPr>
          <w:p w14:paraId="63B2F271" w14:textId="77777777" w:rsidR="002F065C" w:rsidRDefault="002F065C" w:rsidP="006632CC">
            <w:pPr>
              <w:jc w:val="center"/>
              <w:rPr>
                <w:sz w:val="20"/>
                <w:szCs w:val="20"/>
              </w:rPr>
            </w:pPr>
            <w:r>
              <w:rPr>
                <w:sz w:val="20"/>
                <w:szCs w:val="20"/>
              </w:rPr>
              <w:t>D (</w:t>
            </w:r>
            <w:proofErr w:type="spellStart"/>
            <w:r>
              <w:rPr>
                <w:sz w:val="20"/>
                <w:szCs w:val="20"/>
              </w:rPr>
              <w:t>nitrazepam</w:t>
            </w:r>
            <w:proofErr w:type="spellEnd"/>
            <w:r>
              <w:rPr>
                <w:sz w:val="20"/>
                <w:szCs w:val="20"/>
              </w:rPr>
              <w:t>-tramadol)</w:t>
            </w:r>
          </w:p>
        </w:tc>
        <w:tc>
          <w:tcPr>
            <w:tcW w:w="419" w:type="dxa"/>
            <w:vAlign w:val="center"/>
          </w:tcPr>
          <w:p w14:paraId="630BCFBC" w14:textId="77777777" w:rsidR="002F065C" w:rsidRDefault="002F065C" w:rsidP="006632CC">
            <w:pPr>
              <w:jc w:val="center"/>
              <w:rPr>
                <w:sz w:val="20"/>
                <w:szCs w:val="20"/>
              </w:rPr>
            </w:pPr>
            <w:r>
              <w:rPr>
                <w:sz w:val="20"/>
                <w:szCs w:val="20"/>
              </w:rPr>
              <w:t>3</w:t>
            </w:r>
          </w:p>
        </w:tc>
      </w:tr>
      <w:tr w:rsidR="002F065C" w:rsidRPr="00750739" w14:paraId="536C2653" w14:textId="77777777" w:rsidTr="006632CC">
        <w:trPr>
          <w:trHeight w:val="21"/>
        </w:trPr>
        <w:tc>
          <w:tcPr>
            <w:tcW w:w="2814" w:type="dxa"/>
            <w:vMerge/>
            <w:vAlign w:val="center"/>
          </w:tcPr>
          <w:p w14:paraId="011795CD" w14:textId="77777777" w:rsidR="002F065C" w:rsidRPr="00B37394" w:rsidRDefault="002F065C" w:rsidP="006632CC">
            <w:pPr>
              <w:rPr>
                <w:b/>
                <w:bCs/>
                <w:sz w:val="20"/>
                <w:szCs w:val="20"/>
              </w:rPr>
            </w:pPr>
          </w:p>
        </w:tc>
        <w:tc>
          <w:tcPr>
            <w:tcW w:w="2676" w:type="dxa"/>
            <w:vMerge/>
            <w:vAlign w:val="center"/>
          </w:tcPr>
          <w:p w14:paraId="00DA781F" w14:textId="77777777" w:rsidR="002F065C" w:rsidRDefault="002F065C" w:rsidP="006632CC">
            <w:pPr>
              <w:jc w:val="center"/>
              <w:rPr>
                <w:sz w:val="20"/>
                <w:szCs w:val="20"/>
              </w:rPr>
            </w:pPr>
          </w:p>
        </w:tc>
        <w:tc>
          <w:tcPr>
            <w:tcW w:w="563" w:type="dxa"/>
            <w:vMerge/>
            <w:vAlign w:val="center"/>
          </w:tcPr>
          <w:p w14:paraId="583EFBE7" w14:textId="77777777" w:rsidR="002F065C" w:rsidRDefault="002F065C" w:rsidP="006632CC">
            <w:pPr>
              <w:jc w:val="center"/>
              <w:rPr>
                <w:sz w:val="20"/>
                <w:szCs w:val="20"/>
              </w:rPr>
            </w:pPr>
          </w:p>
        </w:tc>
        <w:tc>
          <w:tcPr>
            <w:tcW w:w="3100" w:type="dxa"/>
            <w:vAlign w:val="center"/>
          </w:tcPr>
          <w:p w14:paraId="0352AC91" w14:textId="77777777" w:rsidR="002F065C" w:rsidRDefault="002F065C" w:rsidP="006632CC">
            <w:pPr>
              <w:jc w:val="center"/>
              <w:rPr>
                <w:sz w:val="20"/>
                <w:szCs w:val="20"/>
              </w:rPr>
            </w:pPr>
            <w:r>
              <w:rPr>
                <w:sz w:val="20"/>
                <w:szCs w:val="20"/>
              </w:rPr>
              <w:t>D (ibuprofen-escitalopram)</w:t>
            </w:r>
          </w:p>
        </w:tc>
        <w:tc>
          <w:tcPr>
            <w:tcW w:w="495" w:type="dxa"/>
            <w:vAlign w:val="center"/>
          </w:tcPr>
          <w:p w14:paraId="15B2E12A" w14:textId="77777777" w:rsidR="002F065C" w:rsidRDefault="002F065C" w:rsidP="006632CC">
            <w:pPr>
              <w:jc w:val="center"/>
              <w:rPr>
                <w:sz w:val="20"/>
                <w:szCs w:val="20"/>
              </w:rPr>
            </w:pPr>
            <w:r>
              <w:rPr>
                <w:sz w:val="20"/>
                <w:szCs w:val="20"/>
              </w:rPr>
              <w:t>1</w:t>
            </w:r>
          </w:p>
        </w:tc>
        <w:tc>
          <w:tcPr>
            <w:tcW w:w="5706" w:type="dxa"/>
            <w:gridSpan w:val="4"/>
            <w:vAlign w:val="center"/>
          </w:tcPr>
          <w:p w14:paraId="0A74BB5D" w14:textId="77777777" w:rsidR="002F065C" w:rsidRDefault="002F065C" w:rsidP="006632CC">
            <w:pPr>
              <w:jc w:val="center"/>
              <w:rPr>
                <w:sz w:val="20"/>
                <w:szCs w:val="20"/>
              </w:rPr>
            </w:pPr>
            <w:r>
              <w:rPr>
                <w:sz w:val="20"/>
                <w:szCs w:val="20"/>
              </w:rPr>
              <w:t>D (lorazepam-tramadol)</w:t>
            </w:r>
          </w:p>
        </w:tc>
        <w:tc>
          <w:tcPr>
            <w:tcW w:w="419" w:type="dxa"/>
            <w:vAlign w:val="center"/>
          </w:tcPr>
          <w:p w14:paraId="3B44A49E" w14:textId="77777777" w:rsidR="002F065C" w:rsidRDefault="002F065C" w:rsidP="006632CC">
            <w:pPr>
              <w:jc w:val="center"/>
              <w:rPr>
                <w:sz w:val="20"/>
                <w:szCs w:val="20"/>
              </w:rPr>
            </w:pPr>
            <w:r>
              <w:rPr>
                <w:sz w:val="20"/>
                <w:szCs w:val="20"/>
              </w:rPr>
              <w:t>1</w:t>
            </w:r>
          </w:p>
        </w:tc>
      </w:tr>
      <w:tr w:rsidR="002F065C" w:rsidRPr="00750739" w14:paraId="55537AC6" w14:textId="77777777" w:rsidTr="006632CC">
        <w:trPr>
          <w:trHeight w:val="21"/>
        </w:trPr>
        <w:tc>
          <w:tcPr>
            <w:tcW w:w="2814" w:type="dxa"/>
            <w:vMerge/>
            <w:vAlign w:val="center"/>
          </w:tcPr>
          <w:p w14:paraId="770731B0" w14:textId="77777777" w:rsidR="002F065C" w:rsidRPr="00B37394" w:rsidRDefault="002F065C" w:rsidP="006632CC">
            <w:pPr>
              <w:rPr>
                <w:b/>
                <w:bCs/>
                <w:sz w:val="20"/>
                <w:szCs w:val="20"/>
              </w:rPr>
            </w:pPr>
          </w:p>
        </w:tc>
        <w:tc>
          <w:tcPr>
            <w:tcW w:w="2676" w:type="dxa"/>
            <w:vMerge/>
            <w:vAlign w:val="center"/>
          </w:tcPr>
          <w:p w14:paraId="6A0A3096" w14:textId="77777777" w:rsidR="002F065C" w:rsidRDefault="002F065C" w:rsidP="006632CC">
            <w:pPr>
              <w:jc w:val="center"/>
              <w:rPr>
                <w:sz w:val="20"/>
                <w:szCs w:val="20"/>
              </w:rPr>
            </w:pPr>
          </w:p>
        </w:tc>
        <w:tc>
          <w:tcPr>
            <w:tcW w:w="563" w:type="dxa"/>
            <w:vMerge/>
            <w:vAlign w:val="center"/>
          </w:tcPr>
          <w:p w14:paraId="23F6C9E1" w14:textId="77777777" w:rsidR="002F065C" w:rsidRDefault="002F065C" w:rsidP="006632CC">
            <w:pPr>
              <w:jc w:val="center"/>
              <w:rPr>
                <w:sz w:val="20"/>
                <w:szCs w:val="20"/>
              </w:rPr>
            </w:pPr>
          </w:p>
        </w:tc>
        <w:tc>
          <w:tcPr>
            <w:tcW w:w="3100" w:type="dxa"/>
            <w:vAlign w:val="center"/>
          </w:tcPr>
          <w:p w14:paraId="4DAB78FB" w14:textId="77777777" w:rsidR="002F065C" w:rsidRDefault="002F065C" w:rsidP="006632CC">
            <w:pPr>
              <w:jc w:val="center"/>
              <w:rPr>
                <w:sz w:val="20"/>
                <w:szCs w:val="20"/>
              </w:rPr>
            </w:pPr>
            <w:r>
              <w:rPr>
                <w:sz w:val="20"/>
                <w:szCs w:val="20"/>
              </w:rPr>
              <w:t>D (</w:t>
            </w:r>
            <w:proofErr w:type="spellStart"/>
            <w:r>
              <w:rPr>
                <w:sz w:val="20"/>
                <w:szCs w:val="20"/>
              </w:rPr>
              <w:t>piroxicam-indapamide</w:t>
            </w:r>
            <w:proofErr w:type="spellEnd"/>
            <w:r>
              <w:rPr>
                <w:sz w:val="20"/>
                <w:szCs w:val="20"/>
              </w:rPr>
              <w:t>)</w:t>
            </w:r>
          </w:p>
        </w:tc>
        <w:tc>
          <w:tcPr>
            <w:tcW w:w="495" w:type="dxa"/>
            <w:vAlign w:val="center"/>
          </w:tcPr>
          <w:p w14:paraId="464D1085" w14:textId="77777777" w:rsidR="002F065C" w:rsidRDefault="002F065C" w:rsidP="006632CC">
            <w:pPr>
              <w:jc w:val="center"/>
              <w:rPr>
                <w:sz w:val="20"/>
                <w:szCs w:val="20"/>
              </w:rPr>
            </w:pPr>
            <w:r>
              <w:rPr>
                <w:sz w:val="20"/>
                <w:szCs w:val="20"/>
              </w:rPr>
              <w:t>1</w:t>
            </w:r>
          </w:p>
        </w:tc>
        <w:tc>
          <w:tcPr>
            <w:tcW w:w="5706" w:type="dxa"/>
            <w:gridSpan w:val="4"/>
            <w:vAlign w:val="center"/>
          </w:tcPr>
          <w:p w14:paraId="157FA845" w14:textId="77777777" w:rsidR="002F065C" w:rsidRDefault="002F065C" w:rsidP="006632CC">
            <w:pPr>
              <w:jc w:val="center"/>
              <w:rPr>
                <w:sz w:val="20"/>
                <w:szCs w:val="20"/>
              </w:rPr>
            </w:pPr>
            <w:r>
              <w:rPr>
                <w:sz w:val="20"/>
                <w:szCs w:val="20"/>
              </w:rPr>
              <w:t>D (zolpidem-</w:t>
            </w:r>
            <w:proofErr w:type="spellStart"/>
            <w:r>
              <w:rPr>
                <w:sz w:val="20"/>
                <w:szCs w:val="20"/>
              </w:rPr>
              <w:t>tapentadol</w:t>
            </w:r>
            <w:proofErr w:type="spellEnd"/>
            <w:r>
              <w:rPr>
                <w:sz w:val="20"/>
                <w:szCs w:val="20"/>
              </w:rPr>
              <w:t>)</w:t>
            </w:r>
          </w:p>
        </w:tc>
        <w:tc>
          <w:tcPr>
            <w:tcW w:w="419" w:type="dxa"/>
            <w:vAlign w:val="center"/>
          </w:tcPr>
          <w:p w14:paraId="5D670C66" w14:textId="77777777" w:rsidR="002F065C" w:rsidRDefault="002F065C" w:rsidP="006632CC">
            <w:pPr>
              <w:jc w:val="center"/>
              <w:rPr>
                <w:sz w:val="20"/>
                <w:szCs w:val="20"/>
              </w:rPr>
            </w:pPr>
            <w:r>
              <w:rPr>
                <w:sz w:val="20"/>
                <w:szCs w:val="20"/>
              </w:rPr>
              <w:t>1</w:t>
            </w:r>
          </w:p>
        </w:tc>
      </w:tr>
      <w:tr w:rsidR="002F065C" w:rsidRPr="00750739" w14:paraId="3EB3C8BF" w14:textId="77777777" w:rsidTr="006632CC">
        <w:trPr>
          <w:trHeight w:val="21"/>
        </w:trPr>
        <w:tc>
          <w:tcPr>
            <w:tcW w:w="2814" w:type="dxa"/>
            <w:vMerge/>
            <w:vAlign w:val="center"/>
          </w:tcPr>
          <w:p w14:paraId="7E99CFF9" w14:textId="77777777" w:rsidR="002F065C" w:rsidRPr="00B37394" w:rsidRDefault="002F065C" w:rsidP="006632CC">
            <w:pPr>
              <w:rPr>
                <w:b/>
                <w:bCs/>
                <w:sz w:val="20"/>
                <w:szCs w:val="20"/>
              </w:rPr>
            </w:pPr>
          </w:p>
        </w:tc>
        <w:tc>
          <w:tcPr>
            <w:tcW w:w="2676" w:type="dxa"/>
            <w:vMerge/>
            <w:vAlign w:val="center"/>
          </w:tcPr>
          <w:p w14:paraId="6DCC7FB0" w14:textId="77777777" w:rsidR="002F065C" w:rsidRDefault="002F065C" w:rsidP="006632CC">
            <w:pPr>
              <w:jc w:val="center"/>
              <w:rPr>
                <w:sz w:val="20"/>
                <w:szCs w:val="20"/>
              </w:rPr>
            </w:pPr>
          </w:p>
        </w:tc>
        <w:tc>
          <w:tcPr>
            <w:tcW w:w="563" w:type="dxa"/>
            <w:vMerge/>
            <w:vAlign w:val="center"/>
          </w:tcPr>
          <w:p w14:paraId="594B6312" w14:textId="77777777" w:rsidR="002F065C" w:rsidRDefault="002F065C" w:rsidP="006632CC">
            <w:pPr>
              <w:jc w:val="center"/>
              <w:rPr>
                <w:sz w:val="20"/>
                <w:szCs w:val="20"/>
              </w:rPr>
            </w:pPr>
          </w:p>
        </w:tc>
        <w:tc>
          <w:tcPr>
            <w:tcW w:w="3100" w:type="dxa"/>
            <w:vAlign w:val="center"/>
          </w:tcPr>
          <w:p w14:paraId="3C24852D" w14:textId="77777777" w:rsidR="002F065C" w:rsidRDefault="002F065C" w:rsidP="006632CC">
            <w:pPr>
              <w:jc w:val="center"/>
              <w:rPr>
                <w:sz w:val="20"/>
                <w:szCs w:val="20"/>
              </w:rPr>
            </w:pPr>
            <w:r>
              <w:rPr>
                <w:sz w:val="20"/>
                <w:szCs w:val="20"/>
              </w:rPr>
              <w:t>D (diclofenac- hydrochlorothiazide)</w:t>
            </w:r>
          </w:p>
        </w:tc>
        <w:tc>
          <w:tcPr>
            <w:tcW w:w="495" w:type="dxa"/>
            <w:vAlign w:val="center"/>
          </w:tcPr>
          <w:p w14:paraId="6015EECE" w14:textId="77777777" w:rsidR="002F065C" w:rsidRDefault="002F065C" w:rsidP="006632CC">
            <w:pPr>
              <w:jc w:val="center"/>
              <w:rPr>
                <w:sz w:val="20"/>
                <w:szCs w:val="20"/>
              </w:rPr>
            </w:pPr>
            <w:r>
              <w:rPr>
                <w:sz w:val="20"/>
                <w:szCs w:val="20"/>
              </w:rPr>
              <w:t>1</w:t>
            </w:r>
          </w:p>
        </w:tc>
        <w:tc>
          <w:tcPr>
            <w:tcW w:w="5706" w:type="dxa"/>
            <w:gridSpan w:val="4"/>
            <w:vAlign w:val="center"/>
          </w:tcPr>
          <w:p w14:paraId="44773E69" w14:textId="77777777" w:rsidR="002F065C" w:rsidRDefault="002F065C" w:rsidP="006632CC">
            <w:pPr>
              <w:jc w:val="center"/>
              <w:rPr>
                <w:sz w:val="20"/>
                <w:szCs w:val="20"/>
              </w:rPr>
            </w:pPr>
            <w:r>
              <w:rPr>
                <w:sz w:val="20"/>
                <w:szCs w:val="20"/>
              </w:rPr>
              <w:t>D (diazepam-</w:t>
            </w:r>
            <w:proofErr w:type="spellStart"/>
            <w:r>
              <w:rPr>
                <w:sz w:val="20"/>
                <w:szCs w:val="20"/>
              </w:rPr>
              <w:t>tapentadol</w:t>
            </w:r>
            <w:proofErr w:type="spellEnd"/>
            <w:r>
              <w:rPr>
                <w:sz w:val="20"/>
                <w:szCs w:val="20"/>
              </w:rPr>
              <w:t>)</w:t>
            </w:r>
          </w:p>
        </w:tc>
        <w:tc>
          <w:tcPr>
            <w:tcW w:w="419" w:type="dxa"/>
            <w:vAlign w:val="center"/>
          </w:tcPr>
          <w:p w14:paraId="2DA2195D" w14:textId="77777777" w:rsidR="002F065C" w:rsidRDefault="002F065C" w:rsidP="006632CC">
            <w:pPr>
              <w:jc w:val="center"/>
              <w:rPr>
                <w:sz w:val="20"/>
                <w:szCs w:val="20"/>
              </w:rPr>
            </w:pPr>
            <w:r>
              <w:rPr>
                <w:sz w:val="20"/>
                <w:szCs w:val="20"/>
              </w:rPr>
              <w:t>1</w:t>
            </w:r>
          </w:p>
        </w:tc>
      </w:tr>
      <w:tr w:rsidR="002F065C" w:rsidRPr="00750739" w14:paraId="1CAAAA16" w14:textId="77777777" w:rsidTr="006632CC">
        <w:trPr>
          <w:trHeight w:val="21"/>
        </w:trPr>
        <w:tc>
          <w:tcPr>
            <w:tcW w:w="2814" w:type="dxa"/>
            <w:vMerge/>
            <w:vAlign w:val="center"/>
          </w:tcPr>
          <w:p w14:paraId="12291790" w14:textId="77777777" w:rsidR="002F065C" w:rsidRPr="00B37394" w:rsidRDefault="002F065C" w:rsidP="006632CC">
            <w:pPr>
              <w:rPr>
                <w:b/>
                <w:bCs/>
                <w:sz w:val="20"/>
                <w:szCs w:val="20"/>
              </w:rPr>
            </w:pPr>
          </w:p>
        </w:tc>
        <w:tc>
          <w:tcPr>
            <w:tcW w:w="2676" w:type="dxa"/>
            <w:vMerge/>
            <w:vAlign w:val="center"/>
          </w:tcPr>
          <w:p w14:paraId="4D79B06D" w14:textId="77777777" w:rsidR="002F065C" w:rsidRDefault="002F065C" w:rsidP="006632CC">
            <w:pPr>
              <w:jc w:val="center"/>
              <w:rPr>
                <w:sz w:val="20"/>
                <w:szCs w:val="20"/>
              </w:rPr>
            </w:pPr>
          </w:p>
        </w:tc>
        <w:tc>
          <w:tcPr>
            <w:tcW w:w="563" w:type="dxa"/>
            <w:vMerge/>
            <w:vAlign w:val="center"/>
          </w:tcPr>
          <w:p w14:paraId="50721984" w14:textId="77777777" w:rsidR="002F065C" w:rsidRDefault="002F065C" w:rsidP="006632CC">
            <w:pPr>
              <w:jc w:val="center"/>
              <w:rPr>
                <w:sz w:val="20"/>
                <w:szCs w:val="20"/>
              </w:rPr>
            </w:pPr>
          </w:p>
        </w:tc>
        <w:tc>
          <w:tcPr>
            <w:tcW w:w="3100" w:type="dxa"/>
            <w:vAlign w:val="center"/>
          </w:tcPr>
          <w:p w14:paraId="4449C793" w14:textId="77777777" w:rsidR="002F065C" w:rsidRDefault="002F065C" w:rsidP="006632CC">
            <w:pPr>
              <w:jc w:val="center"/>
              <w:rPr>
                <w:sz w:val="20"/>
                <w:szCs w:val="20"/>
              </w:rPr>
            </w:pPr>
            <w:r>
              <w:rPr>
                <w:sz w:val="20"/>
                <w:szCs w:val="20"/>
              </w:rPr>
              <w:t>D (</w:t>
            </w:r>
            <w:proofErr w:type="spellStart"/>
            <w:r>
              <w:rPr>
                <w:sz w:val="20"/>
                <w:szCs w:val="20"/>
              </w:rPr>
              <w:t>dexketoprofen</w:t>
            </w:r>
            <w:proofErr w:type="spellEnd"/>
            <w:r>
              <w:rPr>
                <w:sz w:val="20"/>
                <w:szCs w:val="20"/>
              </w:rPr>
              <w:t>-methotrexate)</w:t>
            </w:r>
          </w:p>
        </w:tc>
        <w:tc>
          <w:tcPr>
            <w:tcW w:w="495" w:type="dxa"/>
            <w:vAlign w:val="center"/>
          </w:tcPr>
          <w:p w14:paraId="5D7A3E73" w14:textId="77777777" w:rsidR="002F065C" w:rsidRDefault="002F065C" w:rsidP="006632CC">
            <w:pPr>
              <w:jc w:val="center"/>
              <w:rPr>
                <w:sz w:val="20"/>
                <w:szCs w:val="20"/>
              </w:rPr>
            </w:pPr>
            <w:r>
              <w:rPr>
                <w:sz w:val="20"/>
                <w:szCs w:val="20"/>
              </w:rPr>
              <w:t>1</w:t>
            </w:r>
          </w:p>
        </w:tc>
        <w:tc>
          <w:tcPr>
            <w:tcW w:w="5706" w:type="dxa"/>
            <w:gridSpan w:val="4"/>
            <w:vMerge w:val="restart"/>
            <w:vAlign w:val="center"/>
          </w:tcPr>
          <w:p w14:paraId="35BA98C5" w14:textId="77777777" w:rsidR="002F065C" w:rsidRDefault="002F065C" w:rsidP="006632CC">
            <w:pPr>
              <w:jc w:val="center"/>
              <w:rPr>
                <w:sz w:val="20"/>
                <w:szCs w:val="20"/>
              </w:rPr>
            </w:pPr>
          </w:p>
        </w:tc>
        <w:tc>
          <w:tcPr>
            <w:tcW w:w="419" w:type="dxa"/>
            <w:vMerge w:val="restart"/>
            <w:vAlign w:val="center"/>
          </w:tcPr>
          <w:p w14:paraId="528392FC" w14:textId="77777777" w:rsidR="002F065C" w:rsidRDefault="002F065C" w:rsidP="006632CC">
            <w:pPr>
              <w:jc w:val="center"/>
              <w:rPr>
                <w:sz w:val="20"/>
                <w:szCs w:val="20"/>
              </w:rPr>
            </w:pPr>
          </w:p>
        </w:tc>
      </w:tr>
      <w:tr w:rsidR="002F065C" w:rsidRPr="00750739" w14:paraId="0E14E269" w14:textId="77777777" w:rsidTr="006632CC">
        <w:trPr>
          <w:trHeight w:val="21"/>
        </w:trPr>
        <w:tc>
          <w:tcPr>
            <w:tcW w:w="2814" w:type="dxa"/>
            <w:vMerge/>
            <w:vAlign w:val="center"/>
          </w:tcPr>
          <w:p w14:paraId="5A4BCDFB" w14:textId="77777777" w:rsidR="002F065C" w:rsidRPr="00B37394" w:rsidRDefault="002F065C" w:rsidP="006632CC">
            <w:pPr>
              <w:rPr>
                <w:b/>
                <w:bCs/>
                <w:sz w:val="20"/>
                <w:szCs w:val="20"/>
              </w:rPr>
            </w:pPr>
          </w:p>
        </w:tc>
        <w:tc>
          <w:tcPr>
            <w:tcW w:w="2676" w:type="dxa"/>
            <w:vMerge/>
            <w:vAlign w:val="center"/>
          </w:tcPr>
          <w:p w14:paraId="2929F4AB" w14:textId="77777777" w:rsidR="002F065C" w:rsidRDefault="002F065C" w:rsidP="006632CC">
            <w:pPr>
              <w:jc w:val="center"/>
              <w:rPr>
                <w:sz w:val="20"/>
                <w:szCs w:val="20"/>
              </w:rPr>
            </w:pPr>
          </w:p>
        </w:tc>
        <w:tc>
          <w:tcPr>
            <w:tcW w:w="563" w:type="dxa"/>
            <w:vMerge/>
            <w:vAlign w:val="center"/>
          </w:tcPr>
          <w:p w14:paraId="499C1FD5" w14:textId="77777777" w:rsidR="002F065C" w:rsidRDefault="002F065C" w:rsidP="006632CC">
            <w:pPr>
              <w:jc w:val="center"/>
              <w:rPr>
                <w:sz w:val="20"/>
                <w:szCs w:val="20"/>
              </w:rPr>
            </w:pPr>
          </w:p>
        </w:tc>
        <w:tc>
          <w:tcPr>
            <w:tcW w:w="3100" w:type="dxa"/>
            <w:vAlign w:val="center"/>
          </w:tcPr>
          <w:p w14:paraId="057E14CF" w14:textId="77777777" w:rsidR="002F065C" w:rsidRDefault="002F065C" w:rsidP="006632CC">
            <w:pPr>
              <w:jc w:val="center"/>
              <w:rPr>
                <w:sz w:val="20"/>
                <w:szCs w:val="20"/>
              </w:rPr>
            </w:pPr>
            <w:r w:rsidRPr="00385F2B">
              <w:rPr>
                <w:sz w:val="20"/>
                <w:szCs w:val="20"/>
              </w:rPr>
              <w:t>D (</w:t>
            </w:r>
            <w:proofErr w:type="spellStart"/>
            <w:r w:rsidRPr="00385F2B">
              <w:rPr>
                <w:sz w:val="20"/>
                <w:szCs w:val="20"/>
              </w:rPr>
              <w:t>dexketoprofen</w:t>
            </w:r>
            <w:proofErr w:type="spellEnd"/>
            <w:r w:rsidRPr="00385F2B">
              <w:rPr>
                <w:sz w:val="20"/>
                <w:szCs w:val="20"/>
              </w:rPr>
              <w:t>-rivaroxaban)</w:t>
            </w:r>
          </w:p>
        </w:tc>
        <w:tc>
          <w:tcPr>
            <w:tcW w:w="495" w:type="dxa"/>
            <w:vAlign w:val="center"/>
          </w:tcPr>
          <w:p w14:paraId="50F1084A" w14:textId="77777777" w:rsidR="002F065C" w:rsidRDefault="002F065C" w:rsidP="006632CC">
            <w:pPr>
              <w:jc w:val="center"/>
              <w:rPr>
                <w:sz w:val="20"/>
                <w:szCs w:val="20"/>
              </w:rPr>
            </w:pPr>
            <w:r>
              <w:rPr>
                <w:sz w:val="20"/>
                <w:szCs w:val="20"/>
              </w:rPr>
              <w:t>1</w:t>
            </w:r>
          </w:p>
        </w:tc>
        <w:tc>
          <w:tcPr>
            <w:tcW w:w="5706" w:type="dxa"/>
            <w:gridSpan w:val="4"/>
            <w:vMerge/>
            <w:vAlign w:val="center"/>
          </w:tcPr>
          <w:p w14:paraId="49D7D679" w14:textId="77777777" w:rsidR="002F065C" w:rsidRDefault="002F065C" w:rsidP="006632CC">
            <w:pPr>
              <w:jc w:val="center"/>
              <w:rPr>
                <w:sz w:val="20"/>
                <w:szCs w:val="20"/>
              </w:rPr>
            </w:pPr>
          </w:p>
        </w:tc>
        <w:tc>
          <w:tcPr>
            <w:tcW w:w="419" w:type="dxa"/>
            <w:vMerge/>
            <w:vAlign w:val="center"/>
          </w:tcPr>
          <w:p w14:paraId="784BC6C1" w14:textId="77777777" w:rsidR="002F065C" w:rsidRDefault="002F065C" w:rsidP="006632CC">
            <w:pPr>
              <w:jc w:val="center"/>
              <w:rPr>
                <w:sz w:val="20"/>
                <w:szCs w:val="20"/>
              </w:rPr>
            </w:pPr>
          </w:p>
        </w:tc>
      </w:tr>
      <w:tr w:rsidR="002F065C" w:rsidRPr="00750739" w14:paraId="28C60875" w14:textId="77777777" w:rsidTr="006632CC">
        <w:trPr>
          <w:trHeight w:val="21"/>
        </w:trPr>
        <w:tc>
          <w:tcPr>
            <w:tcW w:w="2814" w:type="dxa"/>
            <w:vMerge/>
            <w:vAlign w:val="center"/>
          </w:tcPr>
          <w:p w14:paraId="523E9934" w14:textId="77777777" w:rsidR="002F065C" w:rsidRPr="00B37394" w:rsidRDefault="002F065C" w:rsidP="006632CC">
            <w:pPr>
              <w:rPr>
                <w:b/>
                <w:bCs/>
                <w:sz w:val="20"/>
                <w:szCs w:val="20"/>
              </w:rPr>
            </w:pPr>
          </w:p>
        </w:tc>
        <w:tc>
          <w:tcPr>
            <w:tcW w:w="2676" w:type="dxa"/>
            <w:vMerge/>
            <w:vAlign w:val="center"/>
          </w:tcPr>
          <w:p w14:paraId="46884F89" w14:textId="77777777" w:rsidR="002F065C" w:rsidRDefault="002F065C" w:rsidP="006632CC">
            <w:pPr>
              <w:jc w:val="center"/>
              <w:rPr>
                <w:sz w:val="20"/>
                <w:szCs w:val="20"/>
              </w:rPr>
            </w:pPr>
          </w:p>
        </w:tc>
        <w:tc>
          <w:tcPr>
            <w:tcW w:w="563" w:type="dxa"/>
            <w:vMerge/>
            <w:vAlign w:val="center"/>
          </w:tcPr>
          <w:p w14:paraId="766006F8" w14:textId="77777777" w:rsidR="002F065C" w:rsidRDefault="002F065C" w:rsidP="006632CC">
            <w:pPr>
              <w:jc w:val="center"/>
              <w:rPr>
                <w:sz w:val="20"/>
                <w:szCs w:val="20"/>
              </w:rPr>
            </w:pPr>
          </w:p>
        </w:tc>
        <w:tc>
          <w:tcPr>
            <w:tcW w:w="3100" w:type="dxa"/>
            <w:vAlign w:val="center"/>
          </w:tcPr>
          <w:p w14:paraId="5CF84DE1" w14:textId="77777777" w:rsidR="002F065C" w:rsidRDefault="002F065C" w:rsidP="006632CC">
            <w:pPr>
              <w:jc w:val="center"/>
              <w:rPr>
                <w:sz w:val="20"/>
                <w:szCs w:val="20"/>
              </w:rPr>
            </w:pPr>
            <w:r>
              <w:rPr>
                <w:sz w:val="20"/>
                <w:szCs w:val="20"/>
              </w:rPr>
              <w:t>D (</w:t>
            </w:r>
            <w:proofErr w:type="spellStart"/>
            <w:r>
              <w:rPr>
                <w:sz w:val="20"/>
                <w:szCs w:val="20"/>
              </w:rPr>
              <w:t>dexketoprofen</w:t>
            </w:r>
            <w:proofErr w:type="spellEnd"/>
            <w:r>
              <w:rPr>
                <w:sz w:val="20"/>
                <w:szCs w:val="20"/>
              </w:rPr>
              <w:t>-rivaroxaban)</w:t>
            </w:r>
          </w:p>
        </w:tc>
        <w:tc>
          <w:tcPr>
            <w:tcW w:w="495" w:type="dxa"/>
            <w:vAlign w:val="center"/>
          </w:tcPr>
          <w:p w14:paraId="3CD09F42" w14:textId="77777777" w:rsidR="002F065C" w:rsidRDefault="002F065C" w:rsidP="006632CC">
            <w:pPr>
              <w:jc w:val="center"/>
              <w:rPr>
                <w:sz w:val="20"/>
                <w:szCs w:val="20"/>
              </w:rPr>
            </w:pPr>
            <w:r>
              <w:rPr>
                <w:sz w:val="20"/>
                <w:szCs w:val="20"/>
              </w:rPr>
              <w:t>1</w:t>
            </w:r>
          </w:p>
        </w:tc>
        <w:tc>
          <w:tcPr>
            <w:tcW w:w="5706" w:type="dxa"/>
            <w:gridSpan w:val="4"/>
            <w:vMerge/>
            <w:vAlign w:val="center"/>
          </w:tcPr>
          <w:p w14:paraId="2A7A7DBF" w14:textId="77777777" w:rsidR="002F065C" w:rsidRDefault="002F065C" w:rsidP="006632CC">
            <w:pPr>
              <w:jc w:val="center"/>
              <w:rPr>
                <w:sz w:val="20"/>
                <w:szCs w:val="20"/>
              </w:rPr>
            </w:pPr>
          </w:p>
        </w:tc>
        <w:tc>
          <w:tcPr>
            <w:tcW w:w="419" w:type="dxa"/>
            <w:vMerge/>
            <w:vAlign w:val="center"/>
          </w:tcPr>
          <w:p w14:paraId="3836C8E7" w14:textId="77777777" w:rsidR="002F065C" w:rsidRDefault="002F065C" w:rsidP="006632CC">
            <w:pPr>
              <w:jc w:val="center"/>
              <w:rPr>
                <w:sz w:val="20"/>
                <w:szCs w:val="20"/>
              </w:rPr>
            </w:pPr>
          </w:p>
        </w:tc>
      </w:tr>
      <w:tr w:rsidR="002F065C" w:rsidRPr="00750739" w14:paraId="2D0D020D" w14:textId="77777777" w:rsidTr="006632CC">
        <w:trPr>
          <w:trHeight w:val="21"/>
        </w:trPr>
        <w:tc>
          <w:tcPr>
            <w:tcW w:w="2814" w:type="dxa"/>
            <w:vMerge/>
            <w:vAlign w:val="center"/>
          </w:tcPr>
          <w:p w14:paraId="503F2F5E" w14:textId="77777777" w:rsidR="002F065C" w:rsidRPr="00B37394" w:rsidRDefault="002F065C" w:rsidP="006632CC">
            <w:pPr>
              <w:rPr>
                <w:b/>
                <w:bCs/>
                <w:sz w:val="20"/>
                <w:szCs w:val="20"/>
              </w:rPr>
            </w:pPr>
          </w:p>
        </w:tc>
        <w:tc>
          <w:tcPr>
            <w:tcW w:w="2676" w:type="dxa"/>
            <w:vMerge/>
            <w:vAlign w:val="center"/>
          </w:tcPr>
          <w:p w14:paraId="23091233" w14:textId="77777777" w:rsidR="002F065C" w:rsidRDefault="002F065C" w:rsidP="006632CC">
            <w:pPr>
              <w:jc w:val="center"/>
              <w:rPr>
                <w:sz w:val="20"/>
                <w:szCs w:val="20"/>
              </w:rPr>
            </w:pPr>
          </w:p>
        </w:tc>
        <w:tc>
          <w:tcPr>
            <w:tcW w:w="563" w:type="dxa"/>
            <w:vMerge/>
            <w:vAlign w:val="center"/>
          </w:tcPr>
          <w:p w14:paraId="2E0BFB55" w14:textId="77777777" w:rsidR="002F065C" w:rsidRDefault="002F065C" w:rsidP="006632CC">
            <w:pPr>
              <w:jc w:val="center"/>
              <w:rPr>
                <w:sz w:val="20"/>
                <w:szCs w:val="20"/>
              </w:rPr>
            </w:pPr>
          </w:p>
        </w:tc>
        <w:tc>
          <w:tcPr>
            <w:tcW w:w="3100" w:type="dxa"/>
            <w:vAlign w:val="center"/>
          </w:tcPr>
          <w:p w14:paraId="1CB5A653" w14:textId="77777777" w:rsidR="002F065C" w:rsidRDefault="002F065C" w:rsidP="006632CC">
            <w:pPr>
              <w:jc w:val="center"/>
              <w:rPr>
                <w:sz w:val="20"/>
                <w:szCs w:val="20"/>
              </w:rPr>
            </w:pPr>
            <w:r>
              <w:rPr>
                <w:sz w:val="20"/>
                <w:szCs w:val="20"/>
              </w:rPr>
              <w:t>D (ibuprofen-rivaroxaban)</w:t>
            </w:r>
          </w:p>
        </w:tc>
        <w:tc>
          <w:tcPr>
            <w:tcW w:w="495" w:type="dxa"/>
            <w:vAlign w:val="center"/>
          </w:tcPr>
          <w:p w14:paraId="7FBA8BB3" w14:textId="77777777" w:rsidR="002F065C" w:rsidRDefault="002F065C" w:rsidP="006632CC">
            <w:pPr>
              <w:jc w:val="center"/>
              <w:rPr>
                <w:sz w:val="20"/>
                <w:szCs w:val="20"/>
              </w:rPr>
            </w:pPr>
            <w:r>
              <w:rPr>
                <w:sz w:val="20"/>
                <w:szCs w:val="20"/>
              </w:rPr>
              <w:t>1</w:t>
            </w:r>
          </w:p>
        </w:tc>
        <w:tc>
          <w:tcPr>
            <w:tcW w:w="5706" w:type="dxa"/>
            <w:gridSpan w:val="4"/>
            <w:vMerge/>
            <w:vAlign w:val="center"/>
          </w:tcPr>
          <w:p w14:paraId="328E5228" w14:textId="77777777" w:rsidR="002F065C" w:rsidRDefault="002F065C" w:rsidP="006632CC">
            <w:pPr>
              <w:jc w:val="center"/>
              <w:rPr>
                <w:sz w:val="20"/>
                <w:szCs w:val="20"/>
              </w:rPr>
            </w:pPr>
          </w:p>
        </w:tc>
        <w:tc>
          <w:tcPr>
            <w:tcW w:w="419" w:type="dxa"/>
            <w:vMerge/>
            <w:vAlign w:val="center"/>
          </w:tcPr>
          <w:p w14:paraId="18F29363" w14:textId="77777777" w:rsidR="002F065C" w:rsidRDefault="002F065C" w:rsidP="006632CC">
            <w:pPr>
              <w:jc w:val="center"/>
              <w:rPr>
                <w:sz w:val="20"/>
                <w:szCs w:val="20"/>
              </w:rPr>
            </w:pPr>
          </w:p>
        </w:tc>
      </w:tr>
      <w:tr w:rsidR="002F065C" w:rsidRPr="00750739" w14:paraId="519D45FB" w14:textId="77777777" w:rsidTr="006632CC">
        <w:trPr>
          <w:trHeight w:val="21"/>
        </w:trPr>
        <w:tc>
          <w:tcPr>
            <w:tcW w:w="2814" w:type="dxa"/>
            <w:vMerge/>
            <w:vAlign w:val="center"/>
          </w:tcPr>
          <w:p w14:paraId="67147254" w14:textId="77777777" w:rsidR="002F065C" w:rsidRPr="00B37394" w:rsidRDefault="002F065C" w:rsidP="006632CC">
            <w:pPr>
              <w:rPr>
                <w:b/>
                <w:bCs/>
                <w:sz w:val="20"/>
                <w:szCs w:val="20"/>
              </w:rPr>
            </w:pPr>
          </w:p>
        </w:tc>
        <w:tc>
          <w:tcPr>
            <w:tcW w:w="2676" w:type="dxa"/>
            <w:vMerge/>
            <w:vAlign w:val="center"/>
          </w:tcPr>
          <w:p w14:paraId="1672F6E8" w14:textId="77777777" w:rsidR="002F065C" w:rsidRDefault="002F065C" w:rsidP="006632CC">
            <w:pPr>
              <w:jc w:val="center"/>
              <w:rPr>
                <w:sz w:val="20"/>
                <w:szCs w:val="20"/>
              </w:rPr>
            </w:pPr>
          </w:p>
        </w:tc>
        <w:tc>
          <w:tcPr>
            <w:tcW w:w="563" w:type="dxa"/>
            <w:vMerge/>
            <w:vAlign w:val="center"/>
          </w:tcPr>
          <w:p w14:paraId="5376D575" w14:textId="77777777" w:rsidR="002F065C" w:rsidRDefault="002F065C" w:rsidP="006632CC">
            <w:pPr>
              <w:jc w:val="center"/>
              <w:rPr>
                <w:sz w:val="20"/>
                <w:szCs w:val="20"/>
              </w:rPr>
            </w:pPr>
          </w:p>
        </w:tc>
        <w:tc>
          <w:tcPr>
            <w:tcW w:w="3100" w:type="dxa"/>
            <w:vAlign w:val="center"/>
          </w:tcPr>
          <w:p w14:paraId="10E7C5AB" w14:textId="77777777" w:rsidR="002F065C" w:rsidRDefault="002F065C" w:rsidP="006632CC">
            <w:pPr>
              <w:jc w:val="center"/>
              <w:rPr>
                <w:sz w:val="20"/>
                <w:szCs w:val="20"/>
              </w:rPr>
            </w:pPr>
            <w:r w:rsidRPr="00DD3F9D">
              <w:rPr>
                <w:sz w:val="20"/>
                <w:szCs w:val="20"/>
              </w:rPr>
              <w:t xml:space="preserve">D </w:t>
            </w:r>
            <w:r>
              <w:rPr>
                <w:sz w:val="20"/>
                <w:szCs w:val="20"/>
              </w:rPr>
              <w:t>(diclofenac-warfarin)</w:t>
            </w:r>
          </w:p>
        </w:tc>
        <w:tc>
          <w:tcPr>
            <w:tcW w:w="495" w:type="dxa"/>
            <w:vAlign w:val="center"/>
          </w:tcPr>
          <w:p w14:paraId="2696F4A2" w14:textId="77777777" w:rsidR="002F065C" w:rsidRDefault="002F065C" w:rsidP="006632CC">
            <w:pPr>
              <w:jc w:val="center"/>
              <w:rPr>
                <w:sz w:val="20"/>
                <w:szCs w:val="20"/>
              </w:rPr>
            </w:pPr>
            <w:r>
              <w:rPr>
                <w:sz w:val="20"/>
                <w:szCs w:val="20"/>
              </w:rPr>
              <w:t>1</w:t>
            </w:r>
          </w:p>
        </w:tc>
        <w:tc>
          <w:tcPr>
            <w:tcW w:w="5706" w:type="dxa"/>
            <w:gridSpan w:val="4"/>
            <w:vMerge/>
            <w:vAlign w:val="center"/>
          </w:tcPr>
          <w:p w14:paraId="0833B795" w14:textId="77777777" w:rsidR="002F065C" w:rsidRDefault="002F065C" w:rsidP="006632CC">
            <w:pPr>
              <w:jc w:val="center"/>
              <w:rPr>
                <w:sz w:val="20"/>
                <w:szCs w:val="20"/>
              </w:rPr>
            </w:pPr>
          </w:p>
        </w:tc>
        <w:tc>
          <w:tcPr>
            <w:tcW w:w="419" w:type="dxa"/>
            <w:vMerge/>
            <w:vAlign w:val="center"/>
          </w:tcPr>
          <w:p w14:paraId="4316829B" w14:textId="77777777" w:rsidR="002F065C" w:rsidRDefault="002F065C" w:rsidP="006632CC">
            <w:pPr>
              <w:jc w:val="center"/>
              <w:rPr>
                <w:sz w:val="20"/>
                <w:szCs w:val="20"/>
              </w:rPr>
            </w:pPr>
          </w:p>
        </w:tc>
      </w:tr>
      <w:tr w:rsidR="002F065C" w:rsidRPr="00750739" w14:paraId="6191226F" w14:textId="77777777" w:rsidTr="006632CC">
        <w:trPr>
          <w:trHeight w:val="21"/>
        </w:trPr>
        <w:tc>
          <w:tcPr>
            <w:tcW w:w="2814" w:type="dxa"/>
            <w:vMerge/>
            <w:vAlign w:val="center"/>
          </w:tcPr>
          <w:p w14:paraId="19928793" w14:textId="77777777" w:rsidR="002F065C" w:rsidRPr="00B37394" w:rsidRDefault="002F065C" w:rsidP="006632CC">
            <w:pPr>
              <w:rPr>
                <w:b/>
                <w:bCs/>
                <w:sz w:val="20"/>
                <w:szCs w:val="20"/>
              </w:rPr>
            </w:pPr>
          </w:p>
        </w:tc>
        <w:tc>
          <w:tcPr>
            <w:tcW w:w="2676" w:type="dxa"/>
            <w:vMerge/>
            <w:vAlign w:val="center"/>
          </w:tcPr>
          <w:p w14:paraId="2567E0A1" w14:textId="77777777" w:rsidR="002F065C" w:rsidRDefault="002F065C" w:rsidP="006632CC">
            <w:pPr>
              <w:jc w:val="center"/>
              <w:rPr>
                <w:sz w:val="20"/>
                <w:szCs w:val="20"/>
              </w:rPr>
            </w:pPr>
          </w:p>
        </w:tc>
        <w:tc>
          <w:tcPr>
            <w:tcW w:w="563" w:type="dxa"/>
            <w:vMerge/>
            <w:vAlign w:val="center"/>
          </w:tcPr>
          <w:p w14:paraId="1D214C3E" w14:textId="77777777" w:rsidR="002F065C" w:rsidRDefault="002F065C" w:rsidP="006632CC">
            <w:pPr>
              <w:jc w:val="center"/>
              <w:rPr>
                <w:sz w:val="20"/>
                <w:szCs w:val="20"/>
              </w:rPr>
            </w:pPr>
          </w:p>
        </w:tc>
        <w:tc>
          <w:tcPr>
            <w:tcW w:w="3100" w:type="dxa"/>
            <w:vAlign w:val="center"/>
          </w:tcPr>
          <w:p w14:paraId="2176B281" w14:textId="77777777" w:rsidR="002F065C" w:rsidRDefault="002F065C" w:rsidP="006632CC">
            <w:pPr>
              <w:jc w:val="center"/>
              <w:rPr>
                <w:sz w:val="20"/>
                <w:szCs w:val="20"/>
              </w:rPr>
            </w:pPr>
            <w:r>
              <w:rPr>
                <w:sz w:val="20"/>
                <w:szCs w:val="20"/>
              </w:rPr>
              <w:t xml:space="preserve">D </w:t>
            </w:r>
            <w:r w:rsidRPr="00DD3F9D">
              <w:rPr>
                <w:sz w:val="20"/>
                <w:szCs w:val="20"/>
              </w:rPr>
              <w:t>(ibuprofen-warfarin)</w:t>
            </w:r>
          </w:p>
        </w:tc>
        <w:tc>
          <w:tcPr>
            <w:tcW w:w="495" w:type="dxa"/>
            <w:vAlign w:val="center"/>
          </w:tcPr>
          <w:p w14:paraId="61AAB961" w14:textId="77777777" w:rsidR="002F065C" w:rsidRDefault="002F065C" w:rsidP="006632CC">
            <w:pPr>
              <w:jc w:val="center"/>
              <w:rPr>
                <w:sz w:val="20"/>
                <w:szCs w:val="20"/>
              </w:rPr>
            </w:pPr>
            <w:r>
              <w:rPr>
                <w:sz w:val="20"/>
                <w:szCs w:val="20"/>
              </w:rPr>
              <w:t>1</w:t>
            </w:r>
          </w:p>
        </w:tc>
        <w:tc>
          <w:tcPr>
            <w:tcW w:w="5706" w:type="dxa"/>
            <w:gridSpan w:val="4"/>
            <w:vMerge/>
            <w:vAlign w:val="center"/>
          </w:tcPr>
          <w:p w14:paraId="6D96B91E" w14:textId="77777777" w:rsidR="002F065C" w:rsidRDefault="002F065C" w:rsidP="006632CC">
            <w:pPr>
              <w:jc w:val="center"/>
              <w:rPr>
                <w:sz w:val="20"/>
                <w:szCs w:val="20"/>
              </w:rPr>
            </w:pPr>
          </w:p>
        </w:tc>
        <w:tc>
          <w:tcPr>
            <w:tcW w:w="419" w:type="dxa"/>
            <w:vMerge/>
            <w:vAlign w:val="center"/>
          </w:tcPr>
          <w:p w14:paraId="4A48AFE8" w14:textId="77777777" w:rsidR="002F065C" w:rsidRDefault="002F065C" w:rsidP="006632CC">
            <w:pPr>
              <w:jc w:val="center"/>
              <w:rPr>
                <w:sz w:val="20"/>
                <w:szCs w:val="20"/>
              </w:rPr>
            </w:pPr>
          </w:p>
        </w:tc>
      </w:tr>
      <w:tr w:rsidR="002F065C" w:rsidRPr="00750739" w14:paraId="7973E08B" w14:textId="77777777" w:rsidTr="006632CC">
        <w:trPr>
          <w:trHeight w:val="21"/>
        </w:trPr>
        <w:tc>
          <w:tcPr>
            <w:tcW w:w="2814" w:type="dxa"/>
            <w:vMerge/>
            <w:vAlign w:val="center"/>
          </w:tcPr>
          <w:p w14:paraId="17E2DD49" w14:textId="77777777" w:rsidR="002F065C" w:rsidRPr="00B37394" w:rsidRDefault="002F065C" w:rsidP="006632CC">
            <w:pPr>
              <w:rPr>
                <w:b/>
                <w:bCs/>
                <w:sz w:val="20"/>
                <w:szCs w:val="20"/>
              </w:rPr>
            </w:pPr>
          </w:p>
        </w:tc>
        <w:tc>
          <w:tcPr>
            <w:tcW w:w="2676" w:type="dxa"/>
            <w:vMerge/>
            <w:vAlign w:val="center"/>
          </w:tcPr>
          <w:p w14:paraId="754FEEA4" w14:textId="77777777" w:rsidR="002F065C" w:rsidRDefault="002F065C" w:rsidP="006632CC">
            <w:pPr>
              <w:jc w:val="center"/>
              <w:rPr>
                <w:sz w:val="20"/>
                <w:szCs w:val="20"/>
              </w:rPr>
            </w:pPr>
          </w:p>
        </w:tc>
        <w:tc>
          <w:tcPr>
            <w:tcW w:w="563" w:type="dxa"/>
            <w:vMerge/>
            <w:vAlign w:val="center"/>
          </w:tcPr>
          <w:p w14:paraId="16830177" w14:textId="77777777" w:rsidR="002F065C" w:rsidRDefault="002F065C" w:rsidP="006632CC">
            <w:pPr>
              <w:jc w:val="center"/>
              <w:rPr>
                <w:sz w:val="20"/>
                <w:szCs w:val="20"/>
              </w:rPr>
            </w:pPr>
          </w:p>
        </w:tc>
        <w:tc>
          <w:tcPr>
            <w:tcW w:w="3100" w:type="dxa"/>
            <w:vAlign w:val="center"/>
          </w:tcPr>
          <w:p w14:paraId="3ADBFDAF" w14:textId="77777777" w:rsidR="002F065C" w:rsidRDefault="002F065C" w:rsidP="006632CC">
            <w:pPr>
              <w:jc w:val="center"/>
              <w:rPr>
                <w:sz w:val="20"/>
                <w:szCs w:val="20"/>
              </w:rPr>
            </w:pPr>
            <w:r>
              <w:rPr>
                <w:sz w:val="20"/>
                <w:szCs w:val="20"/>
              </w:rPr>
              <w:t>D (naproxen-warfarin)</w:t>
            </w:r>
          </w:p>
        </w:tc>
        <w:tc>
          <w:tcPr>
            <w:tcW w:w="495" w:type="dxa"/>
            <w:vAlign w:val="center"/>
          </w:tcPr>
          <w:p w14:paraId="249FF90B" w14:textId="77777777" w:rsidR="002F065C" w:rsidRDefault="002F065C" w:rsidP="006632CC">
            <w:pPr>
              <w:jc w:val="center"/>
              <w:rPr>
                <w:sz w:val="20"/>
                <w:szCs w:val="20"/>
              </w:rPr>
            </w:pPr>
            <w:r>
              <w:rPr>
                <w:sz w:val="20"/>
                <w:szCs w:val="20"/>
              </w:rPr>
              <w:t>1</w:t>
            </w:r>
          </w:p>
        </w:tc>
        <w:tc>
          <w:tcPr>
            <w:tcW w:w="5706" w:type="dxa"/>
            <w:gridSpan w:val="4"/>
            <w:vMerge/>
            <w:vAlign w:val="center"/>
          </w:tcPr>
          <w:p w14:paraId="2821E600" w14:textId="77777777" w:rsidR="002F065C" w:rsidRDefault="002F065C" w:rsidP="006632CC">
            <w:pPr>
              <w:jc w:val="center"/>
              <w:rPr>
                <w:sz w:val="20"/>
                <w:szCs w:val="20"/>
              </w:rPr>
            </w:pPr>
          </w:p>
        </w:tc>
        <w:tc>
          <w:tcPr>
            <w:tcW w:w="419" w:type="dxa"/>
            <w:vMerge/>
            <w:vAlign w:val="center"/>
          </w:tcPr>
          <w:p w14:paraId="37816105" w14:textId="77777777" w:rsidR="002F065C" w:rsidRDefault="002F065C" w:rsidP="006632CC">
            <w:pPr>
              <w:jc w:val="center"/>
              <w:rPr>
                <w:sz w:val="20"/>
                <w:szCs w:val="20"/>
              </w:rPr>
            </w:pPr>
          </w:p>
        </w:tc>
      </w:tr>
      <w:tr w:rsidR="002F065C" w:rsidRPr="00750739" w14:paraId="16870A48" w14:textId="77777777" w:rsidTr="006632CC">
        <w:trPr>
          <w:trHeight w:val="686"/>
        </w:trPr>
        <w:tc>
          <w:tcPr>
            <w:tcW w:w="2814" w:type="dxa"/>
            <w:vMerge w:val="restart"/>
            <w:vAlign w:val="center"/>
          </w:tcPr>
          <w:p w14:paraId="6D7A2BA1" w14:textId="77777777" w:rsidR="002F065C" w:rsidRPr="00B37394" w:rsidRDefault="002F065C" w:rsidP="006632CC">
            <w:pPr>
              <w:jc w:val="center"/>
              <w:rPr>
                <w:b/>
                <w:bCs/>
                <w:sz w:val="20"/>
                <w:szCs w:val="20"/>
              </w:rPr>
            </w:pPr>
            <w:r>
              <w:rPr>
                <w:b/>
                <w:bCs/>
                <w:sz w:val="20"/>
                <w:szCs w:val="20"/>
              </w:rPr>
              <w:t>additional information</w:t>
            </w:r>
          </w:p>
        </w:tc>
        <w:tc>
          <w:tcPr>
            <w:tcW w:w="3239" w:type="dxa"/>
            <w:gridSpan w:val="2"/>
            <w:vAlign w:val="center"/>
          </w:tcPr>
          <w:p w14:paraId="02E8B880" w14:textId="77777777" w:rsidR="002F065C" w:rsidRDefault="002F065C" w:rsidP="006632CC">
            <w:pPr>
              <w:jc w:val="center"/>
              <w:rPr>
                <w:sz w:val="20"/>
                <w:szCs w:val="20"/>
              </w:rPr>
            </w:pPr>
            <w:r>
              <w:rPr>
                <w:sz w:val="20"/>
                <w:szCs w:val="20"/>
              </w:rPr>
              <w:t>4.09</w:t>
            </w:r>
            <w:r w:rsidRPr="00750739">
              <w:rPr>
                <w:sz w:val="20"/>
                <w:szCs w:val="20"/>
              </w:rPr>
              <w:t>% (n=</w:t>
            </w:r>
            <w:r>
              <w:rPr>
                <w:sz w:val="20"/>
                <w:szCs w:val="20"/>
              </w:rPr>
              <w:t>5/122</w:t>
            </w:r>
            <w:r w:rsidRPr="00750739">
              <w:rPr>
                <w:sz w:val="20"/>
                <w:szCs w:val="20"/>
              </w:rPr>
              <w:t>) reported PRN us</w:t>
            </w:r>
            <w:r>
              <w:rPr>
                <w:sz w:val="20"/>
                <w:szCs w:val="20"/>
              </w:rPr>
              <w:t>e</w:t>
            </w:r>
          </w:p>
        </w:tc>
        <w:tc>
          <w:tcPr>
            <w:tcW w:w="3595" w:type="dxa"/>
            <w:gridSpan w:val="2"/>
            <w:vAlign w:val="center"/>
          </w:tcPr>
          <w:p w14:paraId="34FAC777" w14:textId="77777777" w:rsidR="002F065C" w:rsidRDefault="002F065C" w:rsidP="006632CC">
            <w:pPr>
              <w:jc w:val="center"/>
              <w:rPr>
                <w:sz w:val="20"/>
                <w:szCs w:val="20"/>
              </w:rPr>
            </w:pPr>
            <w:r>
              <w:rPr>
                <w:sz w:val="20"/>
                <w:szCs w:val="20"/>
              </w:rPr>
              <w:t>18.92</w:t>
            </w:r>
            <w:r w:rsidRPr="00750739">
              <w:rPr>
                <w:sz w:val="20"/>
                <w:szCs w:val="20"/>
              </w:rPr>
              <w:t>% (n=</w:t>
            </w:r>
            <w:r>
              <w:rPr>
                <w:sz w:val="20"/>
                <w:szCs w:val="20"/>
              </w:rPr>
              <w:t>21/111</w:t>
            </w:r>
            <w:r w:rsidRPr="00750739">
              <w:rPr>
                <w:sz w:val="20"/>
                <w:szCs w:val="20"/>
              </w:rPr>
              <w:t>) reported PRN us</w:t>
            </w:r>
            <w:r>
              <w:rPr>
                <w:sz w:val="20"/>
                <w:szCs w:val="20"/>
              </w:rPr>
              <w:t>e</w:t>
            </w:r>
          </w:p>
        </w:tc>
        <w:tc>
          <w:tcPr>
            <w:tcW w:w="3062" w:type="dxa"/>
            <w:gridSpan w:val="3"/>
            <w:vAlign w:val="center"/>
          </w:tcPr>
          <w:p w14:paraId="13C2E638" w14:textId="77777777" w:rsidR="002F065C" w:rsidRDefault="002F065C" w:rsidP="006632CC">
            <w:pPr>
              <w:jc w:val="center"/>
              <w:rPr>
                <w:sz w:val="20"/>
                <w:szCs w:val="20"/>
              </w:rPr>
            </w:pPr>
            <w:r w:rsidRPr="00750739">
              <w:rPr>
                <w:sz w:val="20"/>
                <w:szCs w:val="20"/>
              </w:rPr>
              <w:t>23.33% (n=14</w:t>
            </w:r>
            <w:r>
              <w:rPr>
                <w:sz w:val="20"/>
                <w:szCs w:val="20"/>
              </w:rPr>
              <w:t>/60</w:t>
            </w:r>
            <w:r w:rsidRPr="00750739">
              <w:rPr>
                <w:sz w:val="20"/>
                <w:szCs w:val="20"/>
              </w:rPr>
              <w:t>) reported PRN use</w:t>
            </w:r>
          </w:p>
        </w:tc>
        <w:tc>
          <w:tcPr>
            <w:tcW w:w="3063" w:type="dxa"/>
            <w:gridSpan w:val="2"/>
            <w:vAlign w:val="center"/>
          </w:tcPr>
          <w:p w14:paraId="3706AF7C" w14:textId="77777777" w:rsidR="002F065C" w:rsidRDefault="002F065C" w:rsidP="006632CC">
            <w:pPr>
              <w:jc w:val="center"/>
              <w:rPr>
                <w:sz w:val="20"/>
                <w:szCs w:val="20"/>
              </w:rPr>
            </w:pPr>
            <w:r w:rsidRPr="00750739">
              <w:rPr>
                <w:sz w:val="20"/>
                <w:szCs w:val="20"/>
              </w:rPr>
              <w:t>26.</w:t>
            </w:r>
            <w:r>
              <w:rPr>
                <w:sz w:val="20"/>
                <w:szCs w:val="20"/>
              </w:rPr>
              <w:t>80</w:t>
            </w:r>
            <w:r w:rsidRPr="00750739">
              <w:rPr>
                <w:sz w:val="20"/>
                <w:szCs w:val="20"/>
              </w:rPr>
              <w:t>% (n=4</w:t>
            </w:r>
            <w:r>
              <w:rPr>
                <w:sz w:val="20"/>
                <w:szCs w:val="20"/>
              </w:rPr>
              <w:t>1/154</w:t>
            </w:r>
            <w:r w:rsidRPr="00750739">
              <w:rPr>
                <w:sz w:val="20"/>
                <w:szCs w:val="20"/>
              </w:rPr>
              <w:t>) reported PRN use</w:t>
            </w:r>
          </w:p>
        </w:tc>
      </w:tr>
      <w:tr w:rsidR="002F065C" w:rsidRPr="00750739" w14:paraId="501CE56A" w14:textId="77777777" w:rsidTr="006632CC">
        <w:trPr>
          <w:trHeight w:val="21"/>
        </w:trPr>
        <w:tc>
          <w:tcPr>
            <w:tcW w:w="2814" w:type="dxa"/>
            <w:vMerge/>
            <w:vAlign w:val="center"/>
          </w:tcPr>
          <w:p w14:paraId="55A224A7" w14:textId="77777777" w:rsidR="002F065C" w:rsidRPr="00750739" w:rsidRDefault="002F065C" w:rsidP="006632CC">
            <w:pPr>
              <w:jc w:val="center"/>
              <w:rPr>
                <w:b/>
                <w:bCs/>
                <w:sz w:val="20"/>
                <w:szCs w:val="20"/>
              </w:rPr>
            </w:pPr>
          </w:p>
        </w:tc>
        <w:tc>
          <w:tcPr>
            <w:tcW w:w="3239" w:type="dxa"/>
            <w:gridSpan w:val="2"/>
            <w:vAlign w:val="center"/>
          </w:tcPr>
          <w:p w14:paraId="4864F2DC" w14:textId="77777777" w:rsidR="002F065C" w:rsidRDefault="002F065C" w:rsidP="006632CC">
            <w:pPr>
              <w:jc w:val="center"/>
              <w:rPr>
                <w:sz w:val="20"/>
                <w:szCs w:val="20"/>
              </w:rPr>
            </w:pPr>
            <w:r w:rsidRPr="00750739">
              <w:rPr>
                <w:sz w:val="20"/>
                <w:szCs w:val="20"/>
              </w:rPr>
              <w:t>50.00% (n=61</w:t>
            </w:r>
            <w:r>
              <w:rPr>
                <w:sz w:val="20"/>
                <w:szCs w:val="20"/>
              </w:rPr>
              <w:t>/122</w:t>
            </w:r>
            <w:r w:rsidRPr="00750739">
              <w:rPr>
                <w:sz w:val="20"/>
                <w:szCs w:val="20"/>
              </w:rPr>
              <w:t xml:space="preserve">) of users reported GI symptoms </w:t>
            </w:r>
          </w:p>
          <w:p w14:paraId="63C5B3BE" w14:textId="77777777" w:rsidR="002F065C" w:rsidRPr="00750739" w:rsidRDefault="002F065C" w:rsidP="006632CC">
            <w:pPr>
              <w:jc w:val="center"/>
              <w:rPr>
                <w:sz w:val="20"/>
                <w:szCs w:val="20"/>
              </w:rPr>
            </w:pPr>
            <w:r w:rsidRPr="00750739">
              <w:rPr>
                <w:sz w:val="20"/>
                <w:szCs w:val="20"/>
              </w:rPr>
              <w:t>17.21% (n=21</w:t>
            </w:r>
            <w:r>
              <w:rPr>
                <w:sz w:val="20"/>
                <w:szCs w:val="20"/>
              </w:rPr>
              <w:t>/122</w:t>
            </w:r>
            <w:r w:rsidRPr="00750739">
              <w:rPr>
                <w:sz w:val="20"/>
                <w:szCs w:val="20"/>
              </w:rPr>
              <w:t>)</w:t>
            </w:r>
          </w:p>
          <w:p w14:paraId="328D675A" w14:textId="77777777" w:rsidR="002F065C" w:rsidRPr="00750739" w:rsidRDefault="002F065C" w:rsidP="006632CC">
            <w:pPr>
              <w:jc w:val="center"/>
              <w:rPr>
                <w:sz w:val="20"/>
                <w:szCs w:val="20"/>
              </w:rPr>
            </w:pPr>
            <w:r w:rsidRPr="00750739">
              <w:rPr>
                <w:sz w:val="20"/>
                <w:szCs w:val="20"/>
              </w:rPr>
              <w:t xml:space="preserve">needs PPI for </w:t>
            </w:r>
            <w:proofErr w:type="spellStart"/>
            <w:r w:rsidRPr="00750739">
              <w:rPr>
                <w:sz w:val="20"/>
                <w:szCs w:val="20"/>
              </w:rPr>
              <w:t>gastroprotection</w:t>
            </w:r>
            <w:proofErr w:type="spellEnd"/>
            <w:r w:rsidRPr="00750739">
              <w:rPr>
                <w:sz w:val="20"/>
                <w:szCs w:val="20"/>
              </w:rPr>
              <w:t xml:space="preserve"> but had it prescribed for other diagnosis</w:t>
            </w:r>
          </w:p>
        </w:tc>
        <w:tc>
          <w:tcPr>
            <w:tcW w:w="3595" w:type="dxa"/>
            <w:gridSpan w:val="2"/>
            <w:vAlign w:val="center"/>
          </w:tcPr>
          <w:p w14:paraId="75C2ADAD" w14:textId="77777777" w:rsidR="002F065C" w:rsidRDefault="002F065C" w:rsidP="006632CC">
            <w:pPr>
              <w:jc w:val="center"/>
              <w:rPr>
                <w:sz w:val="20"/>
                <w:szCs w:val="20"/>
              </w:rPr>
            </w:pPr>
            <w:r w:rsidRPr="00750739">
              <w:rPr>
                <w:sz w:val="20"/>
                <w:szCs w:val="20"/>
              </w:rPr>
              <w:t>In 6.30% (n=7</w:t>
            </w:r>
            <w:r>
              <w:rPr>
                <w:sz w:val="20"/>
                <w:szCs w:val="20"/>
              </w:rPr>
              <w:t>/111</w:t>
            </w:r>
            <w:r w:rsidRPr="00750739">
              <w:rPr>
                <w:sz w:val="20"/>
                <w:szCs w:val="20"/>
              </w:rPr>
              <w:t>) users adverse effects could be associated with use of other medicines</w:t>
            </w:r>
          </w:p>
        </w:tc>
        <w:tc>
          <w:tcPr>
            <w:tcW w:w="3062" w:type="dxa"/>
            <w:gridSpan w:val="3"/>
            <w:vAlign w:val="center"/>
          </w:tcPr>
          <w:p w14:paraId="488DB8B6" w14:textId="77777777" w:rsidR="002F065C" w:rsidRDefault="002F065C" w:rsidP="006632CC">
            <w:pPr>
              <w:jc w:val="center"/>
              <w:rPr>
                <w:sz w:val="20"/>
                <w:szCs w:val="20"/>
              </w:rPr>
            </w:pPr>
            <w:r w:rsidRPr="00750739">
              <w:rPr>
                <w:sz w:val="20"/>
                <w:szCs w:val="20"/>
              </w:rPr>
              <w:t xml:space="preserve">In </w:t>
            </w:r>
            <w:r>
              <w:rPr>
                <w:sz w:val="20"/>
                <w:szCs w:val="20"/>
              </w:rPr>
              <w:t>30.00</w:t>
            </w:r>
            <w:r w:rsidRPr="00750739">
              <w:rPr>
                <w:sz w:val="20"/>
                <w:szCs w:val="20"/>
              </w:rPr>
              <w:t>% (n=</w:t>
            </w:r>
            <w:r>
              <w:rPr>
                <w:sz w:val="20"/>
                <w:szCs w:val="20"/>
              </w:rPr>
              <w:t>18/60)</w:t>
            </w:r>
            <w:r w:rsidRPr="00750739">
              <w:rPr>
                <w:sz w:val="20"/>
                <w:szCs w:val="20"/>
              </w:rPr>
              <w:t xml:space="preserve"> users adverse effects could be associated with use of other medicines</w:t>
            </w:r>
          </w:p>
        </w:tc>
        <w:tc>
          <w:tcPr>
            <w:tcW w:w="3063" w:type="dxa"/>
            <w:gridSpan w:val="2"/>
            <w:vAlign w:val="center"/>
          </w:tcPr>
          <w:p w14:paraId="7FF4097C" w14:textId="77777777" w:rsidR="002F065C" w:rsidRDefault="002F065C" w:rsidP="006632CC">
            <w:pPr>
              <w:jc w:val="center"/>
              <w:rPr>
                <w:sz w:val="20"/>
                <w:szCs w:val="20"/>
              </w:rPr>
            </w:pPr>
            <w:r w:rsidRPr="00750739">
              <w:rPr>
                <w:sz w:val="20"/>
                <w:szCs w:val="20"/>
              </w:rPr>
              <w:t xml:space="preserve">In </w:t>
            </w:r>
            <w:r>
              <w:rPr>
                <w:sz w:val="20"/>
                <w:szCs w:val="20"/>
              </w:rPr>
              <w:t>35.71</w:t>
            </w:r>
            <w:r w:rsidRPr="00750739">
              <w:rPr>
                <w:sz w:val="20"/>
                <w:szCs w:val="20"/>
              </w:rPr>
              <w:t>% (n=</w:t>
            </w:r>
            <w:r>
              <w:rPr>
                <w:sz w:val="20"/>
                <w:szCs w:val="20"/>
              </w:rPr>
              <w:t>55/154</w:t>
            </w:r>
            <w:r w:rsidRPr="00750739">
              <w:rPr>
                <w:sz w:val="20"/>
                <w:szCs w:val="20"/>
              </w:rPr>
              <w:t>) adverse effects could be associated with use of other medicines</w:t>
            </w:r>
          </w:p>
        </w:tc>
      </w:tr>
    </w:tbl>
    <w:p w14:paraId="7F99E7A6" w14:textId="77777777" w:rsidR="002F065C" w:rsidRDefault="002F065C" w:rsidP="002F065C">
      <w:pPr>
        <w:jc w:val="both"/>
      </w:pPr>
      <w:r>
        <w:rPr>
          <w:i/>
          <w:iCs/>
          <w:sz w:val="18"/>
          <w:szCs w:val="18"/>
        </w:rPr>
        <w:t xml:space="preserve">PPI- </w:t>
      </w:r>
      <w:r w:rsidRPr="007E1DBF">
        <w:rPr>
          <w:i/>
          <w:iCs/>
          <w:sz w:val="18"/>
          <w:szCs w:val="18"/>
        </w:rPr>
        <w:t>proton pump inhibitors, NSAID</w:t>
      </w:r>
      <w:r>
        <w:rPr>
          <w:i/>
          <w:iCs/>
          <w:sz w:val="18"/>
          <w:szCs w:val="18"/>
        </w:rPr>
        <w:t xml:space="preserve">- </w:t>
      </w:r>
      <w:r w:rsidRPr="007E1DBF">
        <w:rPr>
          <w:i/>
          <w:iCs/>
          <w:sz w:val="18"/>
          <w:szCs w:val="18"/>
        </w:rPr>
        <w:t xml:space="preserve">nonsteroidal anti-inflammatory drugs, </w:t>
      </w:r>
      <w:r>
        <w:rPr>
          <w:i/>
          <w:iCs/>
          <w:sz w:val="18"/>
          <w:szCs w:val="18"/>
        </w:rPr>
        <w:t>OPI-o</w:t>
      </w:r>
      <w:r w:rsidRPr="007E1DBF">
        <w:rPr>
          <w:i/>
          <w:iCs/>
          <w:sz w:val="18"/>
          <w:szCs w:val="18"/>
        </w:rPr>
        <w:t>pioid analgesics</w:t>
      </w:r>
      <w:r>
        <w:rPr>
          <w:i/>
          <w:iCs/>
          <w:sz w:val="18"/>
          <w:szCs w:val="18"/>
        </w:rPr>
        <w:t xml:space="preserve">, BZN- </w:t>
      </w:r>
      <w:r w:rsidRPr="007E1DBF">
        <w:rPr>
          <w:i/>
          <w:iCs/>
          <w:sz w:val="18"/>
          <w:szCs w:val="18"/>
        </w:rPr>
        <w:t>benzodiazepine receptor agonists</w:t>
      </w:r>
      <w:r>
        <w:rPr>
          <w:i/>
          <w:iCs/>
          <w:sz w:val="18"/>
          <w:szCs w:val="18"/>
        </w:rPr>
        <w:t xml:space="preserve">, DDI- </w:t>
      </w:r>
      <w:r w:rsidRPr="00F051F6">
        <w:rPr>
          <w:i/>
          <w:iCs/>
          <w:sz w:val="18"/>
          <w:szCs w:val="18"/>
        </w:rPr>
        <w:t>drug-drug interaction</w:t>
      </w:r>
      <w:r>
        <w:rPr>
          <w:i/>
          <w:iCs/>
          <w:sz w:val="18"/>
          <w:szCs w:val="18"/>
        </w:rPr>
        <w:t xml:space="preserve">, ADE- adverse drug effects, PRN- pro re </w:t>
      </w:r>
      <w:proofErr w:type="spellStart"/>
      <w:r>
        <w:rPr>
          <w:i/>
          <w:iCs/>
          <w:sz w:val="18"/>
          <w:szCs w:val="18"/>
        </w:rPr>
        <w:t>nata</w:t>
      </w:r>
      <w:proofErr w:type="spellEnd"/>
      <w:r>
        <w:rPr>
          <w:i/>
          <w:iCs/>
          <w:sz w:val="18"/>
          <w:szCs w:val="18"/>
        </w:rPr>
        <w:t xml:space="preserve"> use, ASA- acetylsalicylic acid</w:t>
      </w:r>
    </w:p>
    <w:p w14:paraId="4E58CAD5" w14:textId="77777777" w:rsidR="002F065C" w:rsidRPr="00B37394" w:rsidRDefault="002F065C" w:rsidP="002F065C"/>
    <w:p w14:paraId="089AA901" w14:textId="7F3BA5E1" w:rsidR="001E5124" w:rsidRDefault="001E5124" w:rsidP="001A7710"/>
    <w:sectPr w:rsidR="001E5124" w:rsidSect="0060781C">
      <w:type w:val="nextPag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33FBF"/>
    <w:multiLevelType w:val="hybridMultilevel"/>
    <w:tmpl w:val="9D2E9188"/>
    <w:lvl w:ilvl="0" w:tplc="861A3D50">
      <w:start w:val="1"/>
      <w:numFmt w:val="lowerLetter"/>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DE2CAE"/>
    <w:multiLevelType w:val="hybridMultilevel"/>
    <w:tmpl w:val="2228D4B6"/>
    <w:lvl w:ilvl="0" w:tplc="CCEABA9A">
      <w:start w:val="1"/>
      <w:numFmt w:val="lowerLetter"/>
      <w:lvlText w:val="%1)"/>
      <w:lvlJc w:val="left"/>
      <w:pPr>
        <w:ind w:left="720" w:hanging="360"/>
      </w:pPr>
      <w:rPr>
        <w:b w:val="0"/>
        <w:bCs w:val="0"/>
      </w:rPr>
    </w:lvl>
    <w:lvl w:ilvl="1" w:tplc="E70C7D0A">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67897"/>
    <w:multiLevelType w:val="hybridMultilevel"/>
    <w:tmpl w:val="BF9A1200"/>
    <w:lvl w:ilvl="0" w:tplc="909E85F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763395"/>
    <w:multiLevelType w:val="hybridMultilevel"/>
    <w:tmpl w:val="50AA2408"/>
    <w:lvl w:ilvl="0" w:tplc="041A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B56290"/>
    <w:multiLevelType w:val="hybridMultilevel"/>
    <w:tmpl w:val="3B687C84"/>
    <w:lvl w:ilvl="0" w:tplc="594AD2F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9E2B58"/>
    <w:multiLevelType w:val="hybridMultilevel"/>
    <w:tmpl w:val="0276E4FE"/>
    <w:lvl w:ilvl="0" w:tplc="DC8A4F6C">
      <w:start w:val="1"/>
      <w:numFmt w:val="lowerLetter"/>
      <w:lvlText w:val="%1)"/>
      <w:lvlJc w:val="left"/>
      <w:pPr>
        <w:ind w:left="720" w:hanging="360"/>
      </w:pPr>
      <w:rPr>
        <w:rFonts w:hint="default"/>
        <w:b w:val="0"/>
        <w:bCs w:val="0"/>
      </w:rPr>
    </w:lvl>
    <w:lvl w:ilvl="1" w:tplc="6000689C">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287897"/>
    <w:multiLevelType w:val="hybridMultilevel"/>
    <w:tmpl w:val="30208096"/>
    <w:lvl w:ilvl="0" w:tplc="8DC660BA">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E31C1C"/>
    <w:multiLevelType w:val="hybridMultilevel"/>
    <w:tmpl w:val="F14ED34C"/>
    <w:lvl w:ilvl="0" w:tplc="FFFFFFFF">
      <w:start w:val="1"/>
      <w:numFmt w:val="lowerLetter"/>
      <w:lvlText w:val="%1)"/>
      <w:lvlJc w:val="left"/>
      <w:pPr>
        <w:ind w:left="720" w:hanging="360"/>
      </w:pPr>
      <w:rPr>
        <w:b w:val="0"/>
        <w:bCs w:val="0"/>
      </w:rPr>
    </w:lvl>
    <w:lvl w:ilvl="1" w:tplc="90988530">
      <w:start w:val="1"/>
      <w:numFmt w:val="lowerLetter"/>
      <w:lvlText w:val="%2."/>
      <w:lvlJc w:val="left"/>
      <w:pPr>
        <w:ind w:left="1440" w:hanging="360"/>
      </w:pPr>
      <w:rPr>
        <w:b w:val="0"/>
        <w:bCs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CC5615A"/>
    <w:multiLevelType w:val="hybridMultilevel"/>
    <w:tmpl w:val="2294CFD6"/>
    <w:lvl w:ilvl="0" w:tplc="C4C2BE52">
      <w:start w:val="1"/>
      <w:numFmt w:val="lowerLetter"/>
      <w:lvlText w:val="%1)"/>
      <w:lvlJc w:val="left"/>
      <w:pPr>
        <w:ind w:left="720" w:hanging="360"/>
      </w:pPr>
      <w:rPr>
        <w:rFonts w:hint="default"/>
        <w:b w:val="0"/>
        <w:bCs w:val="0"/>
      </w:rPr>
    </w:lvl>
    <w:lvl w:ilvl="1" w:tplc="C604279E">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8"/>
  </w:num>
  <w:num w:numId="3">
    <w:abstractNumId w:val="0"/>
  </w:num>
  <w:num w:numId="4">
    <w:abstractNumId w:val="1"/>
  </w:num>
  <w:num w:numId="5">
    <w:abstractNumId w:val="7"/>
  </w:num>
  <w:num w:numId="6">
    <w:abstractNumId w:val="4"/>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4C3"/>
    <w:rsid w:val="00000BA3"/>
    <w:rsid w:val="000050CC"/>
    <w:rsid w:val="00010E63"/>
    <w:rsid w:val="0001444B"/>
    <w:rsid w:val="000148F0"/>
    <w:rsid w:val="00014E7C"/>
    <w:rsid w:val="00022F1C"/>
    <w:rsid w:val="00025F43"/>
    <w:rsid w:val="00035324"/>
    <w:rsid w:val="00037C16"/>
    <w:rsid w:val="00037DEE"/>
    <w:rsid w:val="000423BC"/>
    <w:rsid w:val="000445E3"/>
    <w:rsid w:val="00047D6A"/>
    <w:rsid w:val="00052958"/>
    <w:rsid w:val="00052DDE"/>
    <w:rsid w:val="0005309C"/>
    <w:rsid w:val="000650C5"/>
    <w:rsid w:val="00067F1F"/>
    <w:rsid w:val="00071766"/>
    <w:rsid w:val="00072930"/>
    <w:rsid w:val="0007372D"/>
    <w:rsid w:val="00075673"/>
    <w:rsid w:val="000912CA"/>
    <w:rsid w:val="00097D50"/>
    <w:rsid w:val="000A18CB"/>
    <w:rsid w:val="000A4C67"/>
    <w:rsid w:val="000A62AD"/>
    <w:rsid w:val="000B0557"/>
    <w:rsid w:val="000B2AF0"/>
    <w:rsid w:val="000B6AC9"/>
    <w:rsid w:val="000C282B"/>
    <w:rsid w:val="000C70E4"/>
    <w:rsid w:val="000D07AF"/>
    <w:rsid w:val="000D09FA"/>
    <w:rsid w:val="000D1D90"/>
    <w:rsid w:val="000D1D93"/>
    <w:rsid w:val="000D5488"/>
    <w:rsid w:val="000E0561"/>
    <w:rsid w:val="000E4E2C"/>
    <w:rsid w:val="000E5477"/>
    <w:rsid w:val="000F0545"/>
    <w:rsid w:val="000F5BC2"/>
    <w:rsid w:val="000F68E9"/>
    <w:rsid w:val="000F7C11"/>
    <w:rsid w:val="00103001"/>
    <w:rsid w:val="001219AC"/>
    <w:rsid w:val="00123424"/>
    <w:rsid w:val="0012708C"/>
    <w:rsid w:val="00127DF6"/>
    <w:rsid w:val="00132449"/>
    <w:rsid w:val="00132671"/>
    <w:rsid w:val="0013434F"/>
    <w:rsid w:val="00136F3C"/>
    <w:rsid w:val="00142DCE"/>
    <w:rsid w:val="001432C1"/>
    <w:rsid w:val="001450D5"/>
    <w:rsid w:val="00146249"/>
    <w:rsid w:val="00146650"/>
    <w:rsid w:val="001529DD"/>
    <w:rsid w:val="00157F17"/>
    <w:rsid w:val="0017105C"/>
    <w:rsid w:val="00171088"/>
    <w:rsid w:val="00171ECB"/>
    <w:rsid w:val="001731FA"/>
    <w:rsid w:val="00173C29"/>
    <w:rsid w:val="00175CDD"/>
    <w:rsid w:val="00175CF2"/>
    <w:rsid w:val="00177736"/>
    <w:rsid w:val="00177758"/>
    <w:rsid w:val="001807C9"/>
    <w:rsid w:val="0019180B"/>
    <w:rsid w:val="001925FF"/>
    <w:rsid w:val="00192CE5"/>
    <w:rsid w:val="00193796"/>
    <w:rsid w:val="00197482"/>
    <w:rsid w:val="001A016E"/>
    <w:rsid w:val="001A7710"/>
    <w:rsid w:val="001B428A"/>
    <w:rsid w:val="001B5707"/>
    <w:rsid w:val="001C0B66"/>
    <w:rsid w:val="001C1FE4"/>
    <w:rsid w:val="001C4625"/>
    <w:rsid w:val="001D2079"/>
    <w:rsid w:val="001D6376"/>
    <w:rsid w:val="001E5124"/>
    <w:rsid w:val="001E524B"/>
    <w:rsid w:val="001E7F84"/>
    <w:rsid w:val="001F082A"/>
    <w:rsid w:val="001F3963"/>
    <w:rsid w:val="001F719C"/>
    <w:rsid w:val="0020228F"/>
    <w:rsid w:val="00204657"/>
    <w:rsid w:val="00205E49"/>
    <w:rsid w:val="00210FED"/>
    <w:rsid w:val="0021494E"/>
    <w:rsid w:val="00217F60"/>
    <w:rsid w:val="00224ECE"/>
    <w:rsid w:val="002252A9"/>
    <w:rsid w:val="00226755"/>
    <w:rsid w:val="002273AA"/>
    <w:rsid w:val="00231186"/>
    <w:rsid w:val="002334F1"/>
    <w:rsid w:val="00234BFC"/>
    <w:rsid w:val="00236015"/>
    <w:rsid w:val="00241D62"/>
    <w:rsid w:val="00245221"/>
    <w:rsid w:val="00254231"/>
    <w:rsid w:val="00264FEF"/>
    <w:rsid w:val="00265010"/>
    <w:rsid w:val="002740C0"/>
    <w:rsid w:val="002751C7"/>
    <w:rsid w:val="00276017"/>
    <w:rsid w:val="00276DDD"/>
    <w:rsid w:val="00277392"/>
    <w:rsid w:val="00280B7C"/>
    <w:rsid w:val="00285B42"/>
    <w:rsid w:val="00291EA1"/>
    <w:rsid w:val="00292785"/>
    <w:rsid w:val="002A0D78"/>
    <w:rsid w:val="002B59FA"/>
    <w:rsid w:val="002B62E3"/>
    <w:rsid w:val="002C355A"/>
    <w:rsid w:val="002D093C"/>
    <w:rsid w:val="002D0E76"/>
    <w:rsid w:val="002E0EE2"/>
    <w:rsid w:val="002E1E96"/>
    <w:rsid w:val="002E20C2"/>
    <w:rsid w:val="002E48D6"/>
    <w:rsid w:val="002E4D4D"/>
    <w:rsid w:val="002E7FE5"/>
    <w:rsid w:val="002F065C"/>
    <w:rsid w:val="002F79E6"/>
    <w:rsid w:val="0031027B"/>
    <w:rsid w:val="00311AC6"/>
    <w:rsid w:val="003136F2"/>
    <w:rsid w:val="00314692"/>
    <w:rsid w:val="00317444"/>
    <w:rsid w:val="00317831"/>
    <w:rsid w:val="00321000"/>
    <w:rsid w:val="003216A6"/>
    <w:rsid w:val="003219F6"/>
    <w:rsid w:val="00324C16"/>
    <w:rsid w:val="00326B55"/>
    <w:rsid w:val="0033356A"/>
    <w:rsid w:val="0033775C"/>
    <w:rsid w:val="00352AF5"/>
    <w:rsid w:val="00353722"/>
    <w:rsid w:val="00356792"/>
    <w:rsid w:val="0036080E"/>
    <w:rsid w:val="00364126"/>
    <w:rsid w:val="00364D04"/>
    <w:rsid w:val="003676FE"/>
    <w:rsid w:val="003716C1"/>
    <w:rsid w:val="00371DC9"/>
    <w:rsid w:val="00373F55"/>
    <w:rsid w:val="003772B3"/>
    <w:rsid w:val="00380087"/>
    <w:rsid w:val="003818A1"/>
    <w:rsid w:val="003841D3"/>
    <w:rsid w:val="003860A6"/>
    <w:rsid w:val="003937CF"/>
    <w:rsid w:val="003962D3"/>
    <w:rsid w:val="00396345"/>
    <w:rsid w:val="003A1A5D"/>
    <w:rsid w:val="003A4BEA"/>
    <w:rsid w:val="003A5B83"/>
    <w:rsid w:val="003B11D2"/>
    <w:rsid w:val="003B2C01"/>
    <w:rsid w:val="003B3226"/>
    <w:rsid w:val="003B4311"/>
    <w:rsid w:val="003B5214"/>
    <w:rsid w:val="003B67A6"/>
    <w:rsid w:val="003B6C24"/>
    <w:rsid w:val="003C613E"/>
    <w:rsid w:val="003D2A33"/>
    <w:rsid w:val="003D6959"/>
    <w:rsid w:val="003E666D"/>
    <w:rsid w:val="003E6E26"/>
    <w:rsid w:val="003F0059"/>
    <w:rsid w:val="003F2E93"/>
    <w:rsid w:val="003F5421"/>
    <w:rsid w:val="003F590B"/>
    <w:rsid w:val="004003B6"/>
    <w:rsid w:val="00401342"/>
    <w:rsid w:val="004061EF"/>
    <w:rsid w:val="004114B8"/>
    <w:rsid w:val="0041472C"/>
    <w:rsid w:val="00422A85"/>
    <w:rsid w:val="004230A9"/>
    <w:rsid w:val="004264FC"/>
    <w:rsid w:val="00436DFA"/>
    <w:rsid w:val="0044354A"/>
    <w:rsid w:val="004438CA"/>
    <w:rsid w:val="00446578"/>
    <w:rsid w:val="00450FAD"/>
    <w:rsid w:val="00455134"/>
    <w:rsid w:val="004575B6"/>
    <w:rsid w:val="00457A2C"/>
    <w:rsid w:val="00463895"/>
    <w:rsid w:val="00463FB6"/>
    <w:rsid w:val="00465055"/>
    <w:rsid w:val="004706A9"/>
    <w:rsid w:val="004712A5"/>
    <w:rsid w:val="00473BDF"/>
    <w:rsid w:val="0048413D"/>
    <w:rsid w:val="004909F1"/>
    <w:rsid w:val="004953DF"/>
    <w:rsid w:val="00496AC8"/>
    <w:rsid w:val="00497B07"/>
    <w:rsid w:val="004A21C1"/>
    <w:rsid w:val="004A32DF"/>
    <w:rsid w:val="004B0C1A"/>
    <w:rsid w:val="004B3F51"/>
    <w:rsid w:val="004B4450"/>
    <w:rsid w:val="004C3C30"/>
    <w:rsid w:val="004C3E35"/>
    <w:rsid w:val="004C6CF3"/>
    <w:rsid w:val="004E6691"/>
    <w:rsid w:val="004F12E4"/>
    <w:rsid w:val="004F2314"/>
    <w:rsid w:val="00501141"/>
    <w:rsid w:val="00503013"/>
    <w:rsid w:val="00505CFA"/>
    <w:rsid w:val="005062B4"/>
    <w:rsid w:val="00510103"/>
    <w:rsid w:val="00516ECF"/>
    <w:rsid w:val="005224BD"/>
    <w:rsid w:val="00523654"/>
    <w:rsid w:val="0052662E"/>
    <w:rsid w:val="0053199C"/>
    <w:rsid w:val="00533197"/>
    <w:rsid w:val="005371A9"/>
    <w:rsid w:val="005434C3"/>
    <w:rsid w:val="005524EE"/>
    <w:rsid w:val="00554648"/>
    <w:rsid w:val="005563DB"/>
    <w:rsid w:val="005613B9"/>
    <w:rsid w:val="00563E78"/>
    <w:rsid w:val="0056554C"/>
    <w:rsid w:val="00567233"/>
    <w:rsid w:val="00573D59"/>
    <w:rsid w:val="00574E61"/>
    <w:rsid w:val="00575485"/>
    <w:rsid w:val="005823E8"/>
    <w:rsid w:val="00582B09"/>
    <w:rsid w:val="00591564"/>
    <w:rsid w:val="005A37EB"/>
    <w:rsid w:val="005A4A7C"/>
    <w:rsid w:val="005B0C5C"/>
    <w:rsid w:val="005B10C4"/>
    <w:rsid w:val="005B152B"/>
    <w:rsid w:val="005B1613"/>
    <w:rsid w:val="005B6B9C"/>
    <w:rsid w:val="005C011A"/>
    <w:rsid w:val="005C0ABC"/>
    <w:rsid w:val="005C2BF9"/>
    <w:rsid w:val="005D359B"/>
    <w:rsid w:val="005D77DE"/>
    <w:rsid w:val="005D7B2B"/>
    <w:rsid w:val="005E089C"/>
    <w:rsid w:val="005E1FBF"/>
    <w:rsid w:val="005E4724"/>
    <w:rsid w:val="005F75F5"/>
    <w:rsid w:val="0060472B"/>
    <w:rsid w:val="00605884"/>
    <w:rsid w:val="0060686D"/>
    <w:rsid w:val="0060738A"/>
    <w:rsid w:val="00607458"/>
    <w:rsid w:val="0060781C"/>
    <w:rsid w:val="006111E7"/>
    <w:rsid w:val="00615BDC"/>
    <w:rsid w:val="00620B6D"/>
    <w:rsid w:val="006216C6"/>
    <w:rsid w:val="006216FA"/>
    <w:rsid w:val="00631613"/>
    <w:rsid w:val="006326CE"/>
    <w:rsid w:val="00633145"/>
    <w:rsid w:val="0063612A"/>
    <w:rsid w:val="00637D01"/>
    <w:rsid w:val="00641A9C"/>
    <w:rsid w:val="00643C0F"/>
    <w:rsid w:val="006449C5"/>
    <w:rsid w:val="0066032B"/>
    <w:rsid w:val="0066071A"/>
    <w:rsid w:val="00660C2E"/>
    <w:rsid w:val="00662666"/>
    <w:rsid w:val="00663E4D"/>
    <w:rsid w:val="006671F6"/>
    <w:rsid w:val="00667C55"/>
    <w:rsid w:val="0069243A"/>
    <w:rsid w:val="006A37D9"/>
    <w:rsid w:val="006B3CF4"/>
    <w:rsid w:val="006B7357"/>
    <w:rsid w:val="006C04BF"/>
    <w:rsid w:val="006C14D3"/>
    <w:rsid w:val="006C15A7"/>
    <w:rsid w:val="006C3142"/>
    <w:rsid w:val="006C425D"/>
    <w:rsid w:val="006C5DA7"/>
    <w:rsid w:val="006E5857"/>
    <w:rsid w:val="006E5D5D"/>
    <w:rsid w:val="006E7840"/>
    <w:rsid w:val="00705CF0"/>
    <w:rsid w:val="007068AA"/>
    <w:rsid w:val="00715368"/>
    <w:rsid w:val="00717931"/>
    <w:rsid w:val="007211ED"/>
    <w:rsid w:val="00722F9C"/>
    <w:rsid w:val="00725FD2"/>
    <w:rsid w:val="00727198"/>
    <w:rsid w:val="00727DF4"/>
    <w:rsid w:val="00734ECC"/>
    <w:rsid w:val="007351F3"/>
    <w:rsid w:val="007414C6"/>
    <w:rsid w:val="00742F3C"/>
    <w:rsid w:val="00746718"/>
    <w:rsid w:val="00747243"/>
    <w:rsid w:val="00755D15"/>
    <w:rsid w:val="00756CFE"/>
    <w:rsid w:val="007601D7"/>
    <w:rsid w:val="007605AD"/>
    <w:rsid w:val="0076196A"/>
    <w:rsid w:val="007642C5"/>
    <w:rsid w:val="007671E0"/>
    <w:rsid w:val="00772767"/>
    <w:rsid w:val="00772B68"/>
    <w:rsid w:val="00774806"/>
    <w:rsid w:val="007817ED"/>
    <w:rsid w:val="0078284B"/>
    <w:rsid w:val="00785BCA"/>
    <w:rsid w:val="00793923"/>
    <w:rsid w:val="007940A4"/>
    <w:rsid w:val="00795D81"/>
    <w:rsid w:val="0079641A"/>
    <w:rsid w:val="007977B2"/>
    <w:rsid w:val="007A22BD"/>
    <w:rsid w:val="007A25BB"/>
    <w:rsid w:val="007A3C48"/>
    <w:rsid w:val="007B214D"/>
    <w:rsid w:val="007B3496"/>
    <w:rsid w:val="007B3FB9"/>
    <w:rsid w:val="007C0D32"/>
    <w:rsid w:val="007C1DB0"/>
    <w:rsid w:val="007C26B3"/>
    <w:rsid w:val="007C458D"/>
    <w:rsid w:val="007C4CE5"/>
    <w:rsid w:val="007C7F13"/>
    <w:rsid w:val="007D00D8"/>
    <w:rsid w:val="007D2763"/>
    <w:rsid w:val="007D2FCB"/>
    <w:rsid w:val="007D3AC8"/>
    <w:rsid w:val="007D4EF5"/>
    <w:rsid w:val="007D5B29"/>
    <w:rsid w:val="007D6809"/>
    <w:rsid w:val="007D7B67"/>
    <w:rsid w:val="007E5D8C"/>
    <w:rsid w:val="007E60A3"/>
    <w:rsid w:val="007F4642"/>
    <w:rsid w:val="007F5A6E"/>
    <w:rsid w:val="007F5AA2"/>
    <w:rsid w:val="007F7C65"/>
    <w:rsid w:val="00801C29"/>
    <w:rsid w:val="008077B0"/>
    <w:rsid w:val="00814420"/>
    <w:rsid w:val="00817489"/>
    <w:rsid w:val="00821E90"/>
    <w:rsid w:val="00823DB1"/>
    <w:rsid w:val="00827CBD"/>
    <w:rsid w:val="0083127C"/>
    <w:rsid w:val="00835FE1"/>
    <w:rsid w:val="008421BA"/>
    <w:rsid w:val="00842680"/>
    <w:rsid w:val="008477C8"/>
    <w:rsid w:val="00847CBC"/>
    <w:rsid w:val="00856ADD"/>
    <w:rsid w:val="00866ABB"/>
    <w:rsid w:val="00870882"/>
    <w:rsid w:val="00870A52"/>
    <w:rsid w:val="008759D3"/>
    <w:rsid w:val="00876331"/>
    <w:rsid w:val="008768F2"/>
    <w:rsid w:val="00876F16"/>
    <w:rsid w:val="0088333F"/>
    <w:rsid w:val="00892A28"/>
    <w:rsid w:val="00893713"/>
    <w:rsid w:val="00895CCC"/>
    <w:rsid w:val="00896EA1"/>
    <w:rsid w:val="008A12D8"/>
    <w:rsid w:val="008A5E8B"/>
    <w:rsid w:val="008A62FF"/>
    <w:rsid w:val="008A690E"/>
    <w:rsid w:val="008A6B83"/>
    <w:rsid w:val="008B0926"/>
    <w:rsid w:val="008B0EB1"/>
    <w:rsid w:val="008B39BF"/>
    <w:rsid w:val="008B47DE"/>
    <w:rsid w:val="008B7992"/>
    <w:rsid w:val="008C1565"/>
    <w:rsid w:val="008C4EC8"/>
    <w:rsid w:val="008C59DC"/>
    <w:rsid w:val="008C6737"/>
    <w:rsid w:val="008C7273"/>
    <w:rsid w:val="008D01EB"/>
    <w:rsid w:val="008D0F4A"/>
    <w:rsid w:val="008D1D69"/>
    <w:rsid w:val="008D4025"/>
    <w:rsid w:val="008D53CC"/>
    <w:rsid w:val="008E0F4A"/>
    <w:rsid w:val="008E13AE"/>
    <w:rsid w:val="008E1F3B"/>
    <w:rsid w:val="008E3827"/>
    <w:rsid w:val="008E6589"/>
    <w:rsid w:val="008F310A"/>
    <w:rsid w:val="008F4DBD"/>
    <w:rsid w:val="008F558E"/>
    <w:rsid w:val="008F5B6B"/>
    <w:rsid w:val="00905E3D"/>
    <w:rsid w:val="0090732C"/>
    <w:rsid w:val="0091554F"/>
    <w:rsid w:val="00917441"/>
    <w:rsid w:val="009204C2"/>
    <w:rsid w:val="00923620"/>
    <w:rsid w:val="009309FC"/>
    <w:rsid w:val="00932E07"/>
    <w:rsid w:val="00933C44"/>
    <w:rsid w:val="009400CF"/>
    <w:rsid w:val="009422A8"/>
    <w:rsid w:val="00942C88"/>
    <w:rsid w:val="009467D6"/>
    <w:rsid w:val="0095288C"/>
    <w:rsid w:val="009534EC"/>
    <w:rsid w:val="009604CD"/>
    <w:rsid w:val="00961682"/>
    <w:rsid w:val="00961AA3"/>
    <w:rsid w:val="00963DD6"/>
    <w:rsid w:val="0096549A"/>
    <w:rsid w:val="0096637B"/>
    <w:rsid w:val="009667B4"/>
    <w:rsid w:val="009672B6"/>
    <w:rsid w:val="00972106"/>
    <w:rsid w:val="00973783"/>
    <w:rsid w:val="00976630"/>
    <w:rsid w:val="00981070"/>
    <w:rsid w:val="009811E6"/>
    <w:rsid w:val="00982485"/>
    <w:rsid w:val="009842E7"/>
    <w:rsid w:val="00985BE9"/>
    <w:rsid w:val="00986FB9"/>
    <w:rsid w:val="009901BB"/>
    <w:rsid w:val="00990EBF"/>
    <w:rsid w:val="009933FB"/>
    <w:rsid w:val="00993D5F"/>
    <w:rsid w:val="0099511C"/>
    <w:rsid w:val="009973A9"/>
    <w:rsid w:val="009975ED"/>
    <w:rsid w:val="00997DE7"/>
    <w:rsid w:val="009A2608"/>
    <w:rsid w:val="009B45FE"/>
    <w:rsid w:val="009C466F"/>
    <w:rsid w:val="009D0EFE"/>
    <w:rsid w:val="009D1716"/>
    <w:rsid w:val="009D4618"/>
    <w:rsid w:val="009D7181"/>
    <w:rsid w:val="009E4D1F"/>
    <w:rsid w:val="009E78DD"/>
    <w:rsid w:val="009F3C4F"/>
    <w:rsid w:val="00A04994"/>
    <w:rsid w:val="00A10FBC"/>
    <w:rsid w:val="00A1284F"/>
    <w:rsid w:val="00A13AEF"/>
    <w:rsid w:val="00A17018"/>
    <w:rsid w:val="00A2402E"/>
    <w:rsid w:val="00A25FA9"/>
    <w:rsid w:val="00A35FA1"/>
    <w:rsid w:val="00A401B8"/>
    <w:rsid w:val="00A40AE3"/>
    <w:rsid w:val="00A42717"/>
    <w:rsid w:val="00A4439C"/>
    <w:rsid w:val="00A46104"/>
    <w:rsid w:val="00A66C21"/>
    <w:rsid w:val="00A66C54"/>
    <w:rsid w:val="00A725FE"/>
    <w:rsid w:val="00A72BFF"/>
    <w:rsid w:val="00A736C5"/>
    <w:rsid w:val="00A77402"/>
    <w:rsid w:val="00A83585"/>
    <w:rsid w:val="00A9237E"/>
    <w:rsid w:val="00A9450A"/>
    <w:rsid w:val="00A94B90"/>
    <w:rsid w:val="00AA5F06"/>
    <w:rsid w:val="00AB3E46"/>
    <w:rsid w:val="00AC0E03"/>
    <w:rsid w:val="00AC0F64"/>
    <w:rsid w:val="00AC1BCC"/>
    <w:rsid w:val="00AC4567"/>
    <w:rsid w:val="00AD02FF"/>
    <w:rsid w:val="00AD0F5A"/>
    <w:rsid w:val="00AD17DB"/>
    <w:rsid w:val="00AD2579"/>
    <w:rsid w:val="00AD4F33"/>
    <w:rsid w:val="00AD5D27"/>
    <w:rsid w:val="00AD5FAC"/>
    <w:rsid w:val="00AE157E"/>
    <w:rsid w:val="00AE1AD7"/>
    <w:rsid w:val="00AE2EC2"/>
    <w:rsid w:val="00AF0EEB"/>
    <w:rsid w:val="00AF2B2E"/>
    <w:rsid w:val="00B04DDA"/>
    <w:rsid w:val="00B06C85"/>
    <w:rsid w:val="00B10D1F"/>
    <w:rsid w:val="00B1268F"/>
    <w:rsid w:val="00B247B4"/>
    <w:rsid w:val="00B27467"/>
    <w:rsid w:val="00B331C5"/>
    <w:rsid w:val="00B35622"/>
    <w:rsid w:val="00B4145F"/>
    <w:rsid w:val="00B414AB"/>
    <w:rsid w:val="00B4185B"/>
    <w:rsid w:val="00B41D71"/>
    <w:rsid w:val="00B44BD0"/>
    <w:rsid w:val="00B468AB"/>
    <w:rsid w:val="00B565C5"/>
    <w:rsid w:val="00B57DE0"/>
    <w:rsid w:val="00B60BC6"/>
    <w:rsid w:val="00B622A2"/>
    <w:rsid w:val="00B667A6"/>
    <w:rsid w:val="00B74E22"/>
    <w:rsid w:val="00B7690E"/>
    <w:rsid w:val="00B76FDC"/>
    <w:rsid w:val="00B81170"/>
    <w:rsid w:val="00B84F2A"/>
    <w:rsid w:val="00B853BA"/>
    <w:rsid w:val="00B86785"/>
    <w:rsid w:val="00B87435"/>
    <w:rsid w:val="00B9245B"/>
    <w:rsid w:val="00B9604E"/>
    <w:rsid w:val="00B96B0E"/>
    <w:rsid w:val="00BA1C0E"/>
    <w:rsid w:val="00BB0C07"/>
    <w:rsid w:val="00BB1461"/>
    <w:rsid w:val="00BB1E4C"/>
    <w:rsid w:val="00BB211E"/>
    <w:rsid w:val="00BB3950"/>
    <w:rsid w:val="00BC1ABD"/>
    <w:rsid w:val="00BD0952"/>
    <w:rsid w:val="00BD4F30"/>
    <w:rsid w:val="00BD50B1"/>
    <w:rsid w:val="00BD6F42"/>
    <w:rsid w:val="00BE0745"/>
    <w:rsid w:val="00BE3055"/>
    <w:rsid w:val="00BE647D"/>
    <w:rsid w:val="00BF10A0"/>
    <w:rsid w:val="00BF148C"/>
    <w:rsid w:val="00BF5CCC"/>
    <w:rsid w:val="00BF6CCE"/>
    <w:rsid w:val="00C127D3"/>
    <w:rsid w:val="00C129D4"/>
    <w:rsid w:val="00C16A12"/>
    <w:rsid w:val="00C226E2"/>
    <w:rsid w:val="00C238E5"/>
    <w:rsid w:val="00C25F80"/>
    <w:rsid w:val="00C31AF5"/>
    <w:rsid w:val="00C3385A"/>
    <w:rsid w:val="00C36D7F"/>
    <w:rsid w:val="00C37A29"/>
    <w:rsid w:val="00C40496"/>
    <w:rsid w:val="00C408E4"/>
    <w:rsid w:val="00C4092B"/>
    <w:rsid w:val="00C443C1"/>
    <w:rsid w:val="00C47D49"/>
    <w:rsid w:val="00C50221"/>
    <w:rsid w:val="00C511B4"/>
    <w:rsid w:val="00C51912"/>
    <w:rsid w:val="00C52929"/>
    <w:rsid w:val="00C537A9"/>
    <w:rsid w:val="00C64820"/>
    <w:rsid w:val="00C65F8C"/>
    <w:rsid w:val="00C717D0"/>
    <w:rsid w:val="00C772F7"/>
    <w:rsid w:val="00C82C8E"/>
    <w:rsid w:val="00C8455E"/>
    <w:rsid w:val="00C869B1"/>
    <w:rsid w:val="00C8786A"/>
    <w:rsid w:val="00C93E24"/>
    <w:rsid w:val="00C96B75"/>
    <w:rsid w:val="00C97EB1"/>
    <w:rsid w:val="00C97F8C"/>
    <w:rsid w:val="00CA00EC"/>
    <w:rsid w:val="00CB03EF"/>
    <w:rsid w:val="00CB0621"/>
    <w:rsid w:val="00CC19A3"/>
    <w:rsid w:val="00CC2856"/>
    <w:rsid w:val="00CC2B0E"/>
    <w:rsid w:val="00CC57B3"/>
    <w:rsid w:val="00CC5F6C"/>
    <w:rsid w:val="00CD0C61"/>
    <w:rsid w:val="00CD148B"/>
    <w:rsid w:val="00CD7A63"/>
    <w:rsid w:val="00CE3069"/>
    <w:rsid w:val="00CE7490"/>
    <w:rsid w:val="00CF7BC5"/>
    <w:rsid w:val="00D000EA"/>
    <w:rsid w:val="00D00876"/>
    <w:rsid w:val="00D05786"/>
    <w:rsid w:val="00D116FF"/>
    <w:rsid w:val="00D1354E"/>
    <w:rsid w:val="00D16B0E"/>
    <w:rsid w:val="00D23173"/>
    <w:rsid w:val="00D31325"/>
    <w:rsid w:val="00D35DBE"/>
    <w:rsid w:val="00D36BE4"/>
    <w:rsid w:val="00D45AA5"/>
    <w:rsid w:val="00D503EF"/>
    <w:rsid w:val="00D54C0A"/>
    <w:rsid w:val="00D60A52"/>
    <w:rsid w:val="00D62ABD"/>
    <w:rsid w:val="00D63F35"/>
    <w:rsid w:val="00D6479C"/>
    <w:rsid w:val="00D707E0"/>
    <w:rsid w:val="00D71BD5"/>
    <w:rsid w:val="00D80EB6"/>
    <w:rsid w:val="00D83E26"/>
    <w:rsid w:val="00D84B3D"/>
    <w:rsid w:val="00D90832"/>
    <w:rsid w:val="00D90BA6"/>
    <w:rsid w:val="00D9149E"/>
    <w:rsid w:val="00D9257C"/>
    <w:rsid w:val="00D93D51"/>
    <w:rsid w:val="00D9482D"/>
    <w:rsid w:val="00D950BD"/>
    <w:rsid w:val="00D950E2"/>
    <w:rsid w:val="00DA0397"/>
    <w:rsid w:val="00DA200B"/>
    <w:rsid w:val="00DA292A"/>
    <w:rsid w:val="00DA6207"/>
    <w:rsid w:val="00DA64B3"/>
    <w:rsid w:val="00DA67DE"/>
    <w:rsid w:val="00DB0BF6"/>
    <w:rsid w:val="00DB15CE"/>
    <w:rsid w:val="00DB256C"/>
    <w:rsid w:val="00DB2DF3"/>
    <w:rsid w:val="00DC7717"/>
    <w:rsid w:val="00DD3B8F"/>
    <w:rsid w:val="00DD7930"/>
    <w:rsid w:val="00DE27DE"/>
    <w:rsid w:val="00DF12CD"/>
    <w:rsid w:val="00DF7B55"/>
    <w:rsid w:val="00E072BB"/>
    <w:rsid w:val="00E116B5"/>
    <w:rsid w:val="00E12AD2"/>
    <w:rsid w:val="00E21642"/>
    <w:rsid w:val="00E23D42"/>
    <w:rsid w:val="00E26277"/>
    <w:rsid w:val="00E2640C"/>
    <w:rsid w:val="00E33B56"/>
    <w:rsid w:val="00E369C8"/>
    <w:rsid w:val="00E42F0F"/>
    <w:rsid w:val="00E4347B"/>
    <w:rsid w:val="00E435F2"/>
    <w:rsid w:val="00E45AD4"/>
    <w:rsid w:val="00E461FB"/>
    <w:rsid w:val="00E46AFD"/>
    <w:rsid w:val="00E544CA"/>
    <w:rsid w:val="00E57D01"/>
    <w:rsid w:val="00E655AC"/>
    <w:rsid w:val="00E710E5"/>
    <w:rsid w:val="00E71FE7"/>
    <w:rsid w:val="00E86192"/>
    <w:rsid w:val="00E86ACA"/>
    <w:rsid w:val="00E86E9C"/>
    <w:rsid w:val="00E8757E"/>
    <w:rsid w:val="00E90736"/>
    <w:rsid w:val="00E92B25"/>
    <w:rsid w:val="00E946FF"/>
    <w:rsid w:val="00E95610"/>
    <w:rsid w:val="00EA0B05"/>
    <w:rsid w:val="00EA16C9"/>
    <w:rsid w:val="00EA543D"/>
    <w:rsid w:val="00EA7006"/>
    <w:rsid w:val="00EB2E62"/>
    <w:rsid w:val="00EB4209"/>
    <w:rsid w:val="00EB57BF"/>
    <w:rsid w:val="00EC1804"/>
    <w:rsid w:val="00EC30F2"/>
    <w:rsid w:val="00EC59CB"/>
    <w:rsid w:val="00EC6814"/>
    <w:rsid w:val="00ED19EB"/>
    <w:rsid w:val="00ED2741"/>
    <w:rsid w:val="00ED5099"/>
    <w:rsid w:val="00EE4175"/>
    <w:rsid w:val="00EF3CA1"/>
    <w:rsid w:val="00EF5E66"/>
    <w:rsid w:val="00EF6A27"/>
    <w:rsid w:val="00EF74B6"/>
    <w:rsid w:val="00F00781"/>
    <w:rsid w:val="00F01996"/>
    <w:rsid w:val="00F02EFA"/>
    <w:rsid w:val="00F12627"/>
    <w:rsid w:val="00F13F72"/>
    <w:rsid w:val="00F144BA"/>
    <w:rsid w:val="00F24D3A"/>
    <w:rsid w:val="00F2560E"/>
    <w:rsid w:val="00F2748F"/>
    <w:rsid w:val="00F37C87"/>
    <w:rsid w:val="00F42E0D"/>
    <w:rsid w:val="00F449C3"/>
    <w:rsid w:val="00F4612F"/>
    <w:rsid w:val="00F510D8"/>
    <w:rsid w:val="00F5227B"/>
    <w:rsid w:val="00F61C5A"/>
    <w:rsid w:val="00F63BAC"/>
    <w:rsid w:val="00F65F92"/>
    <w:rsid w:val="00F71639"/>
    <w:rsid w:val="00F7219C"/>
    <w:rsid w:val="00F725F5"/>
    <w:rsid w:val="00F758EF"/>
    <w:rsid w:val="00F75A01"/>
    <w:rsid w:val="00F821CC"/>
    <w:rsid w:val="00F8433B"/>
    <w:rsid w:val="00F9100D"/>
    <w:rsid w:val="00F91608"/>
    <w:rsid w:val="00F93F93"/>
    <w:rsid w:val="00F96A46"/>
    <w:rsid w:val="00FA061E"/>
    <w:rsid w:val="00FA44D6"/>
    <w:rsid w:val="00FA6511"/>
    <w:rsid w:val="00FB13ED"/>
    <w:rsid w:val="00FB21F8"/>
    <w:rsid w:val="00FB4042"/>
    <w:rsid w:val="00FB4360"/>
    <w:rsid w:val="00FB6466"/>
    <w:rsid w:val="00FC0F3E"/>
    <w:rsid w:val="00FC1BE2"/>
    <w:rsid w:val="00FC4068"/>
    <w:rsid w:val="00FC7783"/>
    <w:rsid w:val="00FD38EE"/>
    <w:rsid w:val="00FD39DA"/>
    <w:rsid w:val="00FD3EC4"/>
    <w:rsid w:val="00FD599E"/>
    <w:rsid w:val="00FD7D33"/>
    <w:rsid w:val="00FD7E02"/>
    <w:rsid w:val="00FE1974"/>
    <w:rsid w:val="00FE2F2F"/>
    <w:rsid w:val="00FE32FC"/>
    <w:rsid w:val="00FE5081"/>
    <w:rsid w:val="00FE7D26"/>
    <w:rsid w:val="00FF1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EBA19"/>
  <w15:chartTrackingRefBased/>
  <w15:docId w15:val="{C6A66A8E-BB07-44D1-BC68-F11AD3B6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079"/>
    <w:pPr>
      <w:ind w:left="720"/>
      <w:contextualSpacing/>
    </w:pPr>
  </w:style>
  <w:style w:type="table" w:styleId="TableGrid">
    <w:name w:val="Table Grid"/>
    <w:basedOn w:val="TableNormal"/>
    <w:uiPriority w:val="39"/>
    <w:rsid w:val="005C2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7198"/>
    <w:rPr>
      <w:sz w:val="16"/>
      <w:szCs w:val="16"/>
    </w:rPr>
  </w:style>
  <w:style w:type="paragraph" w:styleId="CommentText">
    <w:name w:val="annotation text"/>
    <w:basedOn w:val="Normal"/>
    <w:link w:val="CommentTextChar"/>
    <w:uiPriority w:val="99"/>
    <w:unhideWhenUsed/>
    <w:rsid w:val="00727198"/>
    <w:pPr>
      <w:spacing w:line="240" w:lineRule="auto"/>
    </w:pPr>
    <w:rPr>
      <w:sz w:val="20"/>
      <w:szCs w:val="20"/>
    </w:rPr>
  </w:style>
  <w:style w:type="character" w:customStyle="1" w:styleId="CommentTextChar">
    <w:name w:val="Comment Text Char"/>
    <w:basedOn w:val="DefaultParagraphFont"/>
    <w:link w:val="CommentText"/>
    <w:uiPriority w:val="99"/>
    <w:rsid w:val="00727198"/>
    <w:rPr>
      <w:sz w:val="20"/>
      <w:szCs w:val="20"/>
    </w:rPr>
  </w:style>
  <w:style w:type="paragraph" w:styleId="CommentSubject">
    <w:name w:val="annotation subject"/>
    <w:basedOn w:val="CommentText"/>
    <w:next w:val="CommentText"/>
    <w:link w:val="CommentSubjectChar"/>
    <w:uiPriority w:val="99"/>
    <w:semiHidden/>
    <w:unhideWhenUsed/>
    <w:rsid w:val="00727198"/>
    <w:rPr>
      <w:b/>
      <w:bCs/>
    </w:rPr>
  </w:style>
  <w:style w:type="character" w:customStyle="1" w:styleId="CommentSubjectChar">
    <w:name w:val="Comment Subject Char"/>
    <w:basedOn w:val="CommentTextChar"/>
    <w:link w:val="CommentSubject"/>
    <w:uiPriority w:val="99"/>
    <w:semiHidden/>
    <w:rsid w:val="00727198"/>
    <w:rPr>
      <w:b/>
      <w:bCs/>
      <w:sz w:val="20"/>
      <w:szCs w:val="20"/>
    </w:rPr>
  </w:style>
  <w:style w:type="character" w:styleId="Hyperlink">
    <w:name w:val="Hyperlink"/>
    <w:basedOn w:val="DefaultParagraphFont"/>
    <w:uiPriority w:val="99"/>
    <w:unhideWhenUsed/>
    <w:rsid w:val="003841D3"/>
    <w:rPr>
      <w:color w:val="0563C1" w:themeColor="hyperlink"/>
      <w:u w:val="single"/>
    </w:rPr>
  </w:style>
  <w:style w:type="character" w:customStyle="1" w:styleId="UnresolvedMention">
    <w:name w:val="Unresolved Mention"/>
    <w:basedOn w:val="DefaultParagraphFont"/>
    <w:uiPriority w:val="99"/>
    <w:semiHidden/>
    <w:unhideWhenUsed/>
    <w:rsid w:val="003841D3"/>
    <w:rPr>
      <w:color w:val="605E5C"/>
      <w:shd w:val="clear" w:color="auto" w:fill="E1DFDD"/>
    </w:rPr>
  </w:style>
  <w:style w:type="table" w:styleId="PlainTable2">
    <w:name w:val="Plain Table 2"/>
    <w:basedOn w:val="TableNormal"/>
    <w:uiPriority w:val="42"/>
    <w:rsid w:val="00C3385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C3385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10434">
      <w:bodyDiv w:val="1"/>
      <w:marLeft w:val="0"/>
      <w:marRight w:val="0"/>
      <w:marTop w:val="0"/>
      <w:marBottom w:val="0"/>
      <w:divBdr>
        <w:top w:val="none" w:sz="0" w:space="0" w:color="auto"/>
        <w:left w:val="none" w:sz="0" w:space="0" w:color="auto"/>
        <w:bottom w:val="none" w:sz="0" w:space="0" w:color="auto"/>
        <w:right w:val="none" w:sz="0" w:space="0" w:color="auto"/>
      </w:divBdr>
      <w:divsChild>
        <w:div w:id="536695630">
          <w:marLeft w:val="0"/>
          <w:marRight w:val="0"/>
          <w:marTop w:val="0"/>
          <w:marBottom w:val="0"/>
          <w:divBdr>
            <w:top w:val="none" w:sz="0" w:space="0" w:color="auto"/>
            <w:left w:val="none" w:sz="0" w:space="0" w:color="auto"/>
            <w:bottom w:val="none" w:sz="0" w:space="0" w:color="auto"/>
            <w:right w:val="none" w:sz="0" w:space="0" w:color="auto"/>
          </w:divBdr>
          <w:divsChild>
            <w:div w:id="132103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3437">
      <w:bodyDiv w:val="1"/>
      <w:marLeft w:val="0"/>
      <w:marRight w:val="0"/>
      <w:marTop w:val="0"/>
      <w:marBottom w:val="0"/>
      <w:divBdr>
        <w:top w:val="none" w:sz="0" w:space="0" w:color="auto"/>
        <w:left w:val="none" w:sz="0" w:space="0" w:color="auto"/>
        <w:bottom w:val="none" w:sz="0" w:space="0" w:color="auto"/>
        <w:right w:val="none" w:sz="0" w:space="0" w:color="auto"/>
      </w:divBdr>
      <w:divsChild>
        <w:div w:id="1842430799">
          <w:marLeft w:val="0"/>
          <w:marRight w:val="0"/>
          <w:marTop w:val="0"/>
          <w:marBottom w:val="0"/>
          <w:divBdr>
            <w:top w:val="none" w:sz="0" w:space="0" w:color="auto"/>
            <w:left w:val="none" w:sz="0" w:space="0" w:color="auto"/>
            <w:bottom w:val="none" w:sz="0" w:space="0" w:color="auto"/>
            <w:right w:val="none" w:sz="0" w:space="0" w:color="auto"/>
          </w:divBdr>
          <w:divsChild>
            <w:div w:id="5710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DBB14-730A-4C47-8558-5B21AC654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20251</Words>
  <Characters>115431</Characters>
  <Application>Microsoft Office Word</Application>
  <DocSecurity>0</DocSecurity>
  <Lines>961</Lines>
  <Paragraphs>270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135412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Buzancic</dc:creator>
  <cp:keywords/>
  <dc:description/>
  <cp:lastModifiedBy>Jeevajothi Subramaniyan</cp:lastModifiedBy>
  <cp:revision>15</cp:revision>
  <cp:lastPrinted>2024-02-14T09:04:00Z</cp:lastPrinted>
  <dcterms:created xsi:type="dcterms:W3CDTF">2023-11-17T19:06:00Z</dcterms:created>
  <dcterms:modified xsi:type="dcterms:W3CDTF">2024-03-12T04:36:00Z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http://csl.mendeley.com/styles/515104031/american-chemical-society</vt:lpwstr>
  </property>
  <property fmtid="{D5CDD505-2E9C-101B-9397-08002B2CF9AE}" pid="3" name="Mendeley Recent Style Name 0_1">
    <vt:lpwstr>American Chemical Society - iva buzancic</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http://www.zotero.org/styles/journal-of-the-american-pharmacists-association</vt:lpwstr>
  </property>
  <property fmtid="{D5CDD505-2E9C-101B-9397-08002B2CF9AE}" pid="9" name="Mendeley Recent Style Name 3_1">
    <vt:lpwstr>Journal of the American Pharmacists Association</vt:lpwstr>
  </property>
  <property fmtid="{D5CDD505-2E9C-101B-9397-08002B2CF9AE}" pid="10" name="Mendeley Recent Style Id 4_1">
    <vt:lpwstr>http://www.zotero.org/styles/maturitas</vt:lpwstr>
  </property>
  <property fmtid="{D5CDD505-2E9C-101B-9397-08002B2CF9AE}" pid="11" name="Mendeley Recent Style Name 4_1">
    <vt:lpwstr>Maturitas</vt:lpwstr>
  </property>
  <property fmtid="{D5CDD505-2E9C-101B-9397-08002B2CF9AE}" pid="12" name="Mendeley Recent Style Id 5_1">
    <vt:lpwstr>http://www.zotero.org/styles/oxford-university-press-scimed-numeric</vt:lpwstr>
  </property>
  <property fmtid="{D5CDD505-2E9C-101B-9397-08002B2CF9AE}" pid="13" name="Mendeley Recent Style Name 5_1">
    <vt:lpwstr>Oxford University Press SciMed (numeric)</vt:lpwstr>
  </property>
  <property fmtid="{D5CDD505-2E9C-101B-9397-08002B2CF9AE}" pid="14" name="Mendeley Recent Style Id 6_1">
    <vt:lpwstr>http://www.zotero.org/styles/research-in-social-and-administrative-pharmacy</vt:lpwstr>
  </property>
  <property fmtid="{D5CDD505-2E9C-101B-9397-08002B2CF9AE}" pid="15" name="Mendeley Recent Style Name 6_1">
    <vt:lpwstr>Research in Social and Administrative Pharmacy</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http://csl.mendeley.com/styles/515104031/vancouver-ijic</vt:lpwstr>
  </property>
  <property fmtid="{D5CDD505-2E9C-101B-9397-08002B2CF9AE}" pid="19" name="Mendeley Recent Style Name 8_1">
    <vt:lpwstr>Vancouver - iva buzancic</vt:lpwstr>
  </property>
  <property fmtid="{D5CDD505-2E9C-101B-9397-08002B2CF9AE}" pid="20" name="Mendeley Recent Style Id 9_1">
    <vt:lpwstr>http://csl.mendeley.com/styles/515104031/vancouver-2</vt:lpwstr>
  </property>
  <property fmtid="{D5CDD505-2E9C-101B-9397-08002B2CF9AE}" pid="21" name="Mendeley Recent Style Name 9_1">
    <vt:lpwstr>Vancouver - iva buzancic</vt:lpwstr>
  </property>
  <property fmtid="{D5CDD505-2E9C-101B-9397-08002B2CF9AE}" pid="22" name="Mendeley Document_1">
    <vt:lpwstr>True</vt:lpwstr>
  </property>
  <property fmtid="{D5CDD505-2E9C-101B-9397-08002B2CF9AE}" pid="23" name="Mendeley Unique User Id_1">
    <vt:lpwstr>3b82fc82-ff2d-3551-948a-ba9897da9207</vt:lpwstr>
  </property>
  <property fmtid="{D5CDD505-2E9C-101B-9397-08002B2CF9AE}" pid="24" name="Mendeley Citation Style_1">
    <vt:lpwstr>http://www.zotero.org/styles/research-in-social-and-administrative-pharmacy</vt:lpwstr>
  </property>
</Properties>
</file>