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C1CE2" w14:textId="77777777" w:rsidR="004C561F" w:rsidRPr="000C2B17" w:rsidRDefault="004C561F" w:rsidP="004C561F">
      <w:pPr>
        <w:spacing w:after="160" w:line="259" w:lineRule="auto"/>
        <w:rPr>
          <w:b/>
          <w:sz w:val="32"/>
          <w:szCs w:val="32"/>
          <w:lang w:val="en-US"/>
        </w:rPr>
      </w:pPr>
      <w:r w:rsidRPr="000C2B17">
        <w:rPr>
          <w:b/>
          <w:sz w:val="32"/>
          <w:szCs w:val="32"/>
          <w:lang w:val="en-US"/>
        </w:rPr>
        <w:t xml:space="preserve">Appendix </w:t>
      </w:r>
    </w:p>
    <w:p w14:paraId="623CFB51" w14:textId="77777777" w:rsidR="004C561F" w:rsidRPr="005D6445" w:rsidRDefault="004C561F" w:rsidP="004C561F">
      <w:pPr>
        <w:pStyle w:val="Bijschrift"/>
        <w:keepNext/>
        <w:spacing w:line="480" w:lineRule="auto"/>
        <w:rPr>
          <w:i w:val="0"/>
          <w:iCs w:val="0"/>
          <w:color w:val="auto"/>
          <w:sz w:val="20"/>
          <w:szCs w:val="20"/>
          <w:lang w:val="en-US"/>
        </w:rPr>
      </w:pPr>
      <w:r w:rsidRPr="005D6445">
        <w:rPr>
          <w:b/>
          <w:bCs/>
          <w:i w:val="0"/>
          <w:iCs w:val="0"/>
          <w:color w:val="auto"/>
          <w:sz w:val="20"/>
          <w:szCs w:val="20"/>
          <w:lang w:val="en-US"/>
        </w:rPr>
        <w:t xml:space="preserve">Appendix Table </w:t>
      </w:r>
      <w:r w:rsidRPr="005D6445">
        <w:rPr>
          <w:b/>
          <w:bCs/>
          <w:i w:val="0"/>
          <w:iCs w:val="0"/>
          <w:color w:val="auto"/>
          <w:sz w:val="20"/>
          <w:szCs w:val="20"/>
          <w:lang w:val="en-US"/>
        </w:rPr>
        <w:fldChar w:fldCharType="begin"/>
      </w:r>
      <w:r w:rsidRPr="005D6445">
        <w:rPr>
          <w:b/>
          <w:bCs/>
          <w:i w:val="0"/>
          <w:iCs w:val="0"/>
          <w:color w:val="auto"/>
          <w:sz w:val="20"/>
          <w:szCs w:val="20"/>
          <w:lang w:val="en-US"/>
        </w:rPr>
        <w:instrText xml:space="preserve"> SEQ Appendix_Table \* ARABIC </w:instrText>
      </w:r>
      <w:r w:rsidRPr="005D6445">
        <w:rPr>
          <w:b/>
          <w:bCs/>
          <w:i w:val="0"/>
          <w:iCs w:val="0"/>
          <w:color w:val="auto"/>
          <w:sz w:val="20"/>
          <w:szCs w:val="20"/>
          <w:lang w:val="en-US"/>
        </w:rPr>
        <w:fldChar w:fldCharType="separate"/>
      </w:r>
      <w:r w:rsidRPr="005D6445">
        <w:rPr>
          <w:b/>
          <w:bCs/>
          <w:i w:val="0"/>
          <w:iCs w:val="0"/>
          <w:noProof/>
          <w:color w:val="auto"/>
          <w:sz w:val="20"/>
          <w:szCs w:val="20"/>
          <w:lang w:val="en-US"/>
        </w:rPr>
        <w:t>1</w:t>
      </w:r>
      <w:r w:rsidRPr="005D6445">
        <w:rPr>
          <w:b/>
          <w:bCs/>
          <w:i w:val="0"/>
          <w:iCs w:val="0"/>
          <w:color w:val="auto"/>
          <w:sz w:val="20"/>
          <w:szCs w:val="20"/>
          <w:lang w:val="en-US"/>
        </w:rPr>
        <w:fldChar w:fldCharType="end"/>
      </w:r>
      <w:r>
        <w:rPr>
          <w:b/>
          <w:bCs/>
          <w:i w:val="0"/>
          <w:iCs w:val="0"/>
          <w:color w:val="auto"/>
          <w:sz w:val="20"/>
          <w:szCs w:val="20"/>
          <w:lang w:val="en-US"/>
        </w:rPr>
        <w:t>.</w:t>
      </w:r>
      <w:r w:rsidRPr="005D6445">
        <w:rPr>
          <w:i w:val="0"/>
          <w:iCs w:val="0"/>
          <w:color w:val="auto"/>
          <w:sz w:val="20"/>
          <w:szCs w:val="20"/>
          <w:lang w:val="en-US"/>
        </w:rPr>
        <w:t xml:space="preserve"> The parameters set used for the configuration of the MeshMonk algorithm.</w:t>
      </w:r>
    </w:p>
    <w:p w14:paraId="58823DDF" w14:textId="77777777" w:rsidR="004C561F" w:rsidRPr="001E2488" w:rsidRDefault="004C561F" w:rsidP="004C561F">
      <w:pPr>
        <w:rPr>
          <w:lang w:val="en-US"/>
        </w:rPr>
      </w:pPr>
    </w:p>
    <w:tbl>
      <w:tblPr>
        <w:tblStyle w:val="Tabelrasterlicht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397"/>
        <w:gridCol w:w="993"/>
      </w:tblGrid>
      <w:tr w:rsidR="004C561F" w:rsidRPr="00EE1E11" w14:paraId="7666D893" w14:textId="77777777" w:rsidTr="009C5634">
        <w:trPr>
          <w:trHeight w:val="283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C7FFC" w14:textId="77777777" w:rsidR="004C561F" w:rsidRPr="00A72C84" w:rsidRDefault="004C561F" w:rsidP="009C563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Parameters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16B693" w14:textId="77777777" w:rsidR="004C561F" w:rsidRPr="00A72C84" w:rsidRDefault="004C561F" w:rsidP="009C563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Values</w:t>
            </w:r>
          </w:p>
        </w:tc>
      </w:tr>
      <w:tr w:rsidR="004C561F" w:rsidRPr="00EE1E11" w14:paraId="36784B1F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628F81ED" w14:textId="77777777" w:rsidR="004C561F" w:rsidRPr="008606CC" w:rsidRDefault="004C561F" w:rsidP="009C563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606CC">
              <w:rPr>
                <w:b/>
                <w:sz w:val="20"/>
                <w:szCs w:val="20"/>
                <w:lang w:val="en-US"/>
              </w:rPr>
              <w:t>Rigid Registration</w:t>
            </w:r>
          </w:p>
        </w:tc>
      </w:tr>
      <w:tr w:rsidR="004C561F" w:rsidRPr="00EE1E11" w14:paraId="70C58E15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3FE6BEED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Number of iterations</w:t>
            </w:r>
          </w:p>
        </w:tc>
        <w:tc>
          <w:tcPr>
            <w:tcW w:w="993" w:type="dxa"/>
          </w:tcPr>
          <w:p w14:paraId="12375BB3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30</w:t>
            </w:r>
          </w:p>
        </w:tc>
      </w:tr>
      <w:tr w:rsidR="004C561F" w:rsidRPr="00EE1E11" w14:paraId="65A8CAEA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65E8B456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Correspondence neighbor number</w:t>
            </w:r>
          </w:p>
        </w:tc>
        <w:tc>
          <w:tcPr>
            <w:tcW w:w="993" w:type="dxa"/>
          </w:tcPr>
          <w:p w14:paraId="2B5B390F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3</w:t>
            </w:r>
          </w:p>
        </w:tc>
      </w:tr>
      <w:tr w:rsidR="004C561F" w:rsidRPr="00EE1E11" w14:paraId="1E36F9EC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177D6461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Correspondence flag threshold</w:t>
            </w:r>
          </w:p>
        </w:tc>
        <w:tc>
          <w:tcPr>
            <w:tcW w:w="993" w:type="dxa"/>
          </w:tcPr>
          <w:p w14:paraId="408089E5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0.90</w:t>
            </w:r>
          </w:p>
        </w:tc>
      </w:tr>
      <w:tr w:rsidR="004C561F" w:rsidRPr="00EE1E11" w14:paraId="42B78686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3E1EA382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Correspondence symmetric</w:t>
            </w:r>
          </w:p>
        </w:tc>
        <w:tc>
          <w:tcPr>
            <w:tcW w:w="993" w:type="dxa"/>
          </w:tcPr>
          <w:p w14:paraId="387384B9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4D120D6A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15B089F0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Correspondence equalize</w:t>
            </w:r>
          </w:p>
        </w:tc>
        <w:tc>
          <w:tcPr>
            <w:tcW w:w="993" w:type="dxa"/>
          </w:tcPr>
          <w:p w14:paraId="30A88C10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No</w:t>
            </w:r>
          </w:p>
        </w:tc>
      </w:tr>
      <w:tr w:rsidR="004C561F" w:rsidRPr="00EE1E11" w14:paraId="2923B757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48997FE9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Use scaling</w:t>
            </w:r>
          </w:p>
        </w:tc>
        <w:tc>
          <w:tcPr>
            <w:tcW w:w="993" w:type="dxa"/>
          </w:tcPr>
          <w:p w14:paraId="43CCF6C5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016BCE36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5A3D3AED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Inlier kappa</w:t>
            </w:r>
          </w:p>
        </w:tc>
        <w:tc>
          <w:tcPr>
            <w:tcW w:w="993" w:type="dxa"/>
          </w:tcPr>
          <w:p w14:paraId="7A0A8A62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4.00</w:t>
            </w:r>
          </w:p>
        </w:tc>
      </w:tr>
      <w:tr w:rsidR="004C561F" w:rsidRPr="00EE1E11" w14:paraId="7DF2B048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1FD2A3CB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Inlier use orientation</w:t>
            </w:r>
          </w:p>
        </w:tc>
        <w:tc>
          <w:tcPr>
            <w:tcW w:w="993" w:type="dxa"/>
          </w:tcPr>
          <w:p w14:paraId="6EE262BC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2608B6B0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6261A4A1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Floating boundary</w:t>
            </w:r>
          </w:p>
        </w:tc>
        <w:tc>
          <w:tcPr>
            <w:tcW w:w="993" w:type="dxa"/>
          </w:tcPr>
          <w:p w14:paraId="56F592AC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400218AE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37554E7C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Target boundary</w:t>
            </w:r>
          </w:p>
        </w:tc>
        <w:tc>
          <w:tcPr>
            <w:tcW w:w="993" w:type="dxa"/>
          </w:tcPr>
          <w:p w14:paraId="5EB0CF00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628DF3D6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2B799158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Target badly shaped triangles</w:t>
            </w:r>
          </w:p>
        </w:tc>
        <w:tc>
          <w:tcPr>
            <w:tcW w:w="993" w:type="dxa"/>
          </w:tcPr>
          <w:p w14:paraId="71C9B768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69836593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7AD037AC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Triangle size Z factor</w:t>
            </w:r>
          </w:p>
        </w:tc>
        <w:tc>
          <w:tcPr>
            <w:tcW w:w="993" w:type="dxa"/>
          </w:tcPr>
          <w:p w14:paraId="20F4C702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6.00</w:t>
            </w:r>
          </w:p>
        </w:tc>
      </w:tr>
      <w:tr w:rsidR="004C561F" w:rsidRPr="00EE1E11" w14:paraId="6D489B10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70DCAE09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 xml:space="preserve">Target </w:t>
            </w:r>
            <w:r w:rsidRPr="008606CC">
              <w:rPr>
                <w:i/>
                <w:iCs/>
                <w:sz w:val="20"/>
                <w:szCs w:val="20"/>
                <w:lang w:val="en-US"/>
              </w:rPr>
              <w:t>up sample</w:t>
            </w:r>
          </w:p>
        </w:tc>
        <w:tc>
          <w:tcPr>
            <w:tcW w:w="993" w:type="dxa"/>
          </w:tcPr>
          <w:p w14:paraId="5D0D9637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No</w:t>
            </w:r>
          </w:p>
        </w:tc>
      </w:tr>
      <w:tr w:rsidR="004C561F" w:rsidRPr="00EE1E11" w14:paraId="435D2D1A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1571A1E9" w14:textId="77777777" w:rsidR="004C561F" w:rsidRPr="008606CC" w:rsidRDefault="004C561F" w:rsidP="009C5634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8606CC">
              <w:rPr>
                <w:b/>
                <w:i/>
                <w:sz w:val="20"/>
                <w:szCs w:val="20"/>
                <w:lang w:val="en-US"/>
              </w:rPr>
              <w:t>Non-rigid registration</w:t>
            </w:r>
          </w:p>
        </w:tc>
      </w:tr>
      <w:tr w:rsidR="004C561F" w:rsidRPr="00EE1E11" w14:paraId="4A472BDF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689826E5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Number of iterations</w:t>
            </w:r>
          </w:p>
        </w:tc>
        <w:tc>
          <w:tcPr>
            <w:tcW w:w="993" w:type="dxa"/>
          </w:tcPr>
          <w:p w14:paraId="301900F9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80</w:t>
            </w:r>
          </w:p>
        </w:tc>
      </w:tr>
      <w:tr w:rsidR="004C561F" w:rsidRPr="00EE1E11" w14:paraId="14830358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276AD491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Correspondence neighbor number</w:t>
            </w:r>
          </w:p>
        </w:tc>
        <w:tc>
          <w:tcPr>
            <w:tcW w:w="993" w:type="dxa"/>
          </w:tcPr>
          <w:p w14:paraId="48698E40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3</w:t>
            </w:r>
          </w:p>
        </w:tc>
      </w:tr>
      <w:tr w:rsidR="004C561F" w:rsidRPr="00EE1E11" w14:paraId="6153ACE9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0124157F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Correspondence flag threshold</w:t>
            </w:r>
          </w:p>
        </w:tc>
        <w:tc>
          <w:tcPr>
            <w:tcW w:w="993" w:type="dxa"/>
          </w:tcPr>
          <w:p w14:paraId="60596A66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0.90</w:t>
            </w:r>
          </w:p>
        </w:tc>
      </w:tr>
      <w:tr w:rsidR="004C561F" w:rsidRPr="00EE1E11" w14:paraId="035C2B0B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621D547D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Correspondence symmetric</w:t>
            </w:r>
          </w:p>
        </w:tc>
        <w:tc>
          <w:tcPr>
            <w:tcW w:w="993" w:type="dxa"/>
          </w:tcPr>
          <w:p w14:paraId="1A3F2431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00BB7FD4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01EC042A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Correspondence equalize</w:t>
            </w:r>
          </w:p>
        </w:tc>
        <w:tc>
          <w:tcPr>
            <w:tcW w:w="993" w:type="dxa"/>
          </w:tcPr>
          <w:p w14:paraId="56687774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No</w:t>
            </w:r>
          </w:p>
        </w:tc>
      </w:tr>
      <w:tr w:rsidR="004C561F" w:rsidRPr="00EE1E11" w14:paraId="6749A65D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34239499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Inlier kappa</w:t>
            </w:r>
          </w:p>
        </w:tc>
        <w:tc>
          <w:tcPr>
            <w:tcW w:w="993" w:type="dxa"/>
          </w:tcPr>
          <w:p w14:paraId="54088E58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12.00</w:t>
            </w:r>
          </w:p>
        </w:tc>
      </w:tr>
      <w:tr w:rsidR="004C561F" w:rsidRPr="00EE1E11" w14:paraId="62CCB154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0F801E99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Inlier use orientation</w:t>
            </w:r>
          </w:p>
        </w:tc>
        <w:tc>
          <w:tcPr>
            <w:tcW w:w="993" w:type="dxa"/>
          </w:tcPr>
          <w:p w14:paraId="41227AC5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4431A26E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61BBD495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Floating boundary</w:t>
            </w:r>
          </w:p>
        </w:tc>
        <w:tc>
          <w:tcPr>
            <w:tcW w:w="993" w:type="dxa"/>
          </w:tcPr>
          <w:p w14:paraId="7DD735A3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202E8524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3F31254F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Target boundary</w:t>
            </w:r>
          </w:p>
        </w:tc>
        <w:tc>
          <w:tcPr>
            <w:tcW w:w="993" w:type="dxa"/>
          </w:tcPr>
          <w:p w14:paraId="5B712F40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6F692AE3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33B67638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Target badly shaped triangles</w:t>
            </w:r>
          </w:p>
        </w:tc>
        <w:tc>
          <w:tcPr>
            <w:tcW w:w="993" w:type="dxa"/>
          </w:tcPr>
          <w:p w14:paraId="79E20866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2755D44F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309F2DCB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Triangle size Z factor</w:t>
            </w:r>
          </w:p>
        </w:tc>
        <w:tc>
          <w:tcPr>
            <w:tcW w:w="993" w:type="dxa"/>
          </w:tcPr>
          <w:p w14:paraId="65AC8ACD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6.00</w:t>
            </w:r>
          </w:p>
        </w:tc>
      </w:tr>
      <w:tr w:rsidR="004C561F" w:rsidRPr="00EE1E11" w14:paraId="6DF207BE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22BE9B84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 xml:space="preserve">Target </w:t>
            </w:r>
            <w:proofErr w:type="spellStart"/>
            <w:r w:rsidRPr="008606CC">
              <w:rPr>
                <w:i/>
                <w:sz w:val="20"/>
                <w:szCs w:val="20"/>
                <w:lang w:val="en-US"/>
              </w:rPr>
              <w:t>upsample</w:t>
            </w:r>
            <w:proofErr w:type="spellEnd"/>
          </w:p>
        </w:tc>
        <w:tc>
          <w:tcPr>
            <w:tcW w:w="993" w:type="dxa"/>
          </w:tcPr>
          <w:p w14:paraId="0560CF01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Yes</w:t>
            </w:r>
          </w:p>
        </w:tc>
      </w:tr>
      <w:tr w:rsidR="004C561F" w:rsidRPr="00EE1E11" w14:paraId="5EE4E5D3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791FEE91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Inlier use weights</w:t>
            </w:r>
          </w:p>
        </w:tc>
        <w:tc>
          <w:tcPr>
            <w:tcW w:w="993" w:type="dxa"/>
          </w:tcPr>
          <w:p w14:paraId="59103C44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No</w:t>
            </w:r>
          </w:p>
        </w:tc>
      </w:tr>
      <w:tr w:rsidR="004C561F" w:rsidRPr="00EE1E11" w14:paraId="71A2EDAD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0E51C9CA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Transform sigma</w:t>
            </w:r>
          </w:p>
        </w:tc>
        <w:tc>
          <w:tcPr>
            <w:tcW w:w="993" w:type="dxa"/>
          </w:tcPr>
          <w:p w14:paraId="72B700B4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3.00</w:t>
            </w:r>
          </w:p>
        </w:tc>
      </w:tr>
      <w:tr w:rsidR="004C561F" w:rsidRPr="00EE1E11" w14:paraId="2D3FEB34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12850275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Viscous iteration start</w:t>
            </w:r>
          </w:p>
        </w:tc>
        <w:tc>
          <w:tcPr>
            <w:tcW w:w="993" w:type="dxa"/>
          </w:tcPr>
          <w:p w14:paraId="13BBF8AE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200</w:t>
            </w:r>
          </w:p>
        </w:tc>
      </w:tr>
      <w:tr w:rsidR="004C561F" w:rsidRPr="00EE1E11" w14:paraId="103E66E7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082EE204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Viscous iteration end</w:t>
            </w:r>
          </w:p>
        </w:tc>
        <w:tc>
          <w:tcPr>
            <w:tcW w:w="993" w:type="dxa"/>
          </w:tcPr>
          <w:p w14:paraId="09A168CE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1</w:t>
            </w:r>
          </w:p>
        </w:tc>
      </w:tr>
      <w:tr w:rsidR="004C561F" w:rsidRPr="00EE1E11" w14:paraId="37F8213A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44FE6B02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Elastic iteration start</w:t>
            </w:r>
          </w:p>
        </w:tc>
        <w:tc>
          <w:tcPr>
            <w:tcW w:w="993" w:type="dxa"/>
          </w:tcPr>
          <w:p w14:paraId="6F5C0351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200</w:t>
            </w:r>
          </w:p>
        </w:tc>
      </w:tr>
      <w:tr w:rsidR="004C561F" w:rsidRPr="00EE1E11" w14:paraId="5C78F401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451F9000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Elastic iteration end</w:t>
            </w:r>
          </w:p>
        </w:tc>
        <w:tc>
          <w:tcPr>
            <w:tcW w:w="993" w:type="dxa"/>
          </w:tcPr>
          <w:p w14:paraId="66E43959" w14:textId="77777777" w:rsidR="004C561F" w:rsidRPr="00A72C84" w:rsidRDefault="004C561F" w:rsidP="009C5634">
            <w:pPr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1</w:t>
            </w:r>
          </w:p>
        </w:tc>
      </w:tr>
      <w:tr w:rsidR="004C561F" w:rsidRPr="00EE1E11" w14:paraId="17DE1D9C" w14:textId="77777777" w:rsidTr="009C56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397" w:type="dxa"/>
            <w:shd w:val="clear" w:color="auto" w:fill="D9D9D9" w:themeFill="background1" w:themeFillShade="D9"/>
          </w:tcPr>
          <w:p w14:paraId="2735C10D" w14:textId="77777777" w:rsidR="004C561F" w:rsidRPr="008606CC" w:rsidRDefault="004C561F" w:rsidP="009C5634">
            <w:pPr>
              <w:jc w:val="both"/>
              <w:rPr>
                <w:i/>
                <w:sz w:val="20"/>
                <w:szCs w:val="20"/>
                <w:lang w:val="en-US"/>
              </w:rPr>
            </w:pPr>
            <w:r w:rsidRPr="008606CC">
              <w:rPr>
                <w:i/>
                <w:sz w:val="20"/>
                <w:szCs w:val="20"/>
                <w:lang w:val="en-US"/>
              </w:rPr>
              <w:t>Transform neighbors</w:t>
            </w:r>
          </w:p>
        </w:tc>
        <w:tc>
          <w:tcPr>
            <w:tcW w:w="993" w:type="dxa"/>
          </w:tcPr>
          <w:p w14:paraId="543BDEC5" w14:textId="77777777" w:rsidR="004C561F" w:rsidRPr="00A72C84" w:rsidRDefault="004C561F" w:rsidP="009C5634">
            <w:pPr>
              <w:keepNext/>
              <w:jc w:val="center"/>
              <w:rPr>
                <w:sz w:val="20"/>
                <w:szCs w:val="20"/>
                <w:lang w:val="en-US"/>
              </w:rPr>
            </w:pPr>
            <w:r w:rsidRPr="00A72C84">
              <w:rPr>
                <w:sz w:val="20"/>
                <w:szCs w:val="20"/>
                <w:lang w:val="en-US"/>
              </w:rPr>
              <w:t>80</w:t>
            </w:r>
          </w:p>
        </w:tc>
      </w:tr>
    </w:tbl>
    <w:p w14:paraId="3F22AEAE" w14:textId="77777777" w:rsidR="004C561F" w:rsidRPr="00B67F1A" w:rsidRDefault="004C561F" w:rsidP="004C561F">
      <w:pPr>
        <w:spacing w:after="160" w:line="259" w:lineRule="auto"/>
        <w:rPr>
          <w:b/>
          <w:sz w:val="22"/>
          <w:szCs w:val="22"/>
          <w:lang w:val="en-US"/>
        </w:rPr>
      </w:pPr>
    </w:p>
    <w:p w14:paraId="27BE3A54" w14:textId="77777777" w:rsidR="00784550" w:rsidRDefault="00784550"/>
    <w:sectPr w:rsidR="00784550" w:rsidSect="008C0DF3">
      <w:headerReference w:type="even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2E37" w14:textId="77777777" w:rsidR="00000000" w:rsidRDefault="00000000">
    <w:pPr>
      <w:pStyle w:val="Koptekst"/>
      <w:tabs>
        <w:tab w:val="clear" w:pos="4536"/>
        <w:tab w:val="clear" w:pos="9072"/>
        <w:tab w:val="left" w:pos="3471"/>
      </w:tabs>
      <w:rPr>
        <w:rFonts w:ascii="NimbusSanL-Regu" w:hAnsi="NimbusSanL-Regu"/>
        <w:color w:val="C00000"/>
        <w:sz w:val="20"/>
        <w:szCs w:val="20"/>
        <w:lang w:val="en-US"/>
      </w:rPr>
    </w:pPr>
    <w:r>
      <w:rPr>
        <w:rFonts w:ascii="NimbusSanL-Regu" w:hAnsi="NimbusSanL-Regu"/>
        <w:b/>
        <w:bCs/>
        <w:sz w:val="20"/>
        <w:szCs w:val="20"/>
        <w:lang w:val="en-US"/>
      </w:rPr>
      <w:t xml:space="preserve">Chapter 3     </w:t>
    </w:r>
    <w:r w:rsidRPr="008C4DE7">
      <w:rPr>
        <w:rFonts w:ascii="NimbusSanL-Regu" w:hAnsi="NimbusSanL-Regu"/>
        <w:color w:val="A80000"/>
        <w:sz w:val="20"/>
        <w:szCs w:val="20"/>
        <w:lang w:val="en-US"/>
      </w:rPr>
      <w:t>The effect of the patient’s posture and general anesthesia on centric occlusion</w:t>
    </w:r>
  </w:p>
  <w:p w14:paraId="3FBDC820" w14:textId="77777777" w:rsidR="00000000" w:rsidRPr="00D273FA" w:rsidRDefault="00000000">
    <w:pPr>
      <w:pStyle w:val="Koptekst"/>
      <w:tabs>
        <w:tab w:val="clear" w:pos="4536"/>
        <w:tab w:val="clear" w:pos="9072"/>
        <w:tab w:val="left" w:pos="3471"/>
      </w:tabs>
      <w:rPr>
        <w:rFonts w:ascii="NimbusSanL-Regu" w:hAnsi="NimbusSanL-Regu"/>
        <w:color w:val="C00000"/>
        <w:sz w:val="20"/>
        <w:szCs w:val="20"/>
        <w:lang w:val="en-US"/>
      </w:rPr>
    </w:pPr>
    <w:r w:rsidRPr="00FB66BA">
      <w:rPr>
        <w:rFonts w:ascii="NimbusSanL-Regu" w:hAnsi="NimbusSanL-Regu"/>
        <w:b/>
        <w:noProof/>
        <w:color w:val="2B579A"/>
        <w:sz w:val="20"/>
        <w:szCs w:val="20"/>
        <w:shd w:val="clear" w:color="auto" w:fill="E6E6E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95C110" wp14:editId="5F1C815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59450" cy="0"/>
              <wp:effectExtent l="0" t="0" r="0" b="0"/>
              <wp:wrapNone/>
              <wp:docPr id="193" name="Straight Connector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94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A8000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78B1649" id="Straight Connector 19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453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" strokecolor="#a80000" strokeweight="1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61F"/>
    <w:rsid w:val="002614D8"/>
    <w:rsid w:val="004C561F"/>
    <w:rsid w:val="00784550"/>
    <w:rsid w:val="00E1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FBC8"/>
  <w15:chartTrackingRefBased/>
  <w15:docId w15:val="{E0FB8A2C-8098-43AD-9E29-B7691E99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C561F"/>
    <w:pPr>
      <w:spacing w:after="0" w:line="240" w:lineRule="auto"/>
    </w:pPr>
    <w:rPr>
      <w:kern w:val="0"/>
      <w:sz w:val="24"/>
      <w:szCs w:val="24"/>
      <w:lang w:val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C561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561F"/>
    <w:rPr>
      <w:kern w:val="0"/>
      <w:sz w:val="24"/>
      <w:szCs w:val="24"/>
      <w:lang w:val="nl-NL"/>
      <w14:ligatures w14:val="none"/>
    </w:rPr>
  </w:style>
  <w:style w:type="paragraph" w:styleId="Bijschrift">
    <w:name w:val="caption"/>
    <w:basedOn w:val="Standaard"/>
    <w:next w:val="Standaard"/>
    <w:uiPriority w:val="35"/>
    <w:unhideWhenUsed/>
    <w:qFormat/>
    <w:rsid w:val="004C561F"/>
    <w:pPr>
      <w:spacing w:after="200"/>
    </w:pPr>
    <w:rPr>
      <w:i/>
      <w:iCs/>
      <w:color w:val="44546A" w:themeColor="text2"/>
      <w:sz w:val="18"/>
      <w:szCs w:val="18"/>
    </w:rPr>
  </w:style>
  <w:style w:type="table" w:styleId="Tabelrasterlicht">
    <w:name w:val="Grid Table Light"/>
    <w:basedOn w:val="Standaardtabel"/>
    <w:uiPriority w:val="40"/>
    <w:rsid w:val="004C561F"/>
    <w:pPr>
      <w:spacing w:after="0" w:line="240" w:lineRule="auto"/>
    </w:pPr>
    <w:rPr>
      <w:kern w:val="0"/>
      <w:lang w:val="nl-NL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Berends, Bo</dc:creator>
  <cp:keywords/>
  <dc:description/>
  <cp:lastModifiedBy>Berends, Bo</cp:lastModifiedBy>
  <cp:revision>1</cp:revision>
  <dcterms:created xsi:type="dcterms:W3CDTF">2023-11-29T09:06:00Z</dcterms:created>
  <dcterms:modified xsi:type="dcterms:W3CDTF">2023-11-29T09:07:00Z</dcterms:modified>
</cp:coreProperties>
</file>