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CD4812" w14:textId="03EA8A38" w:rsidR="009B5573" w:rsidRDefault="00A32078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IN"/>
        </w:rPr>
      </w:pPr>
      <w:bookmarkStart w:id="0" w:name="_GoBack"/>
      <w:r w:rsidRPr="007B0F34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GB"/>
        </w:rPr>
        <w:t xml:space="preserve">Supplementary </w:t>
      </w:r>
      <w:r w:rsidR="00235BC6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IN"/>
        </w:rPr>
        <w:t>Material</w:t>
      </w:r>
    </w:p>
    <w:p w14:paraId="456D31C5" w14:textId="77777777" w:rsidR="009B5573" w:rsidRDefault="009B5573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IN"/>
        </w:rPr>
      </w:pPr>
    </w:p>
    <w:p w14:paraId="4B73E850" w14:textId="77777777" w:rsidR="009B5573" w:rsidRPr="009B5573" w:rsidRDefault="009B5573" w:rsidP="009B5573">
      <w:pPr>
        <w:wordWrap/>
        <w:snapToGrid w:val="0"/>
        <w:spacing w:after="0" w:line="480" w:lineRule="auto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B5573">
        <w:rPr>
          <w:rFonts w:ascii="Times New Roman" w:eastAsia="Times New Roman" w:hAnsi="Times New Roman" w:cs="Times New Roman"/>
          <w:bCs/>
          <w:sz w:val="24"/>
          <w:szCs w:val="24"/>
        </w:rPr>
        <w:t xml:space="preserve">Human epidermal growth factor receptor-2 expression and subsequent dynamic changes in patients with ovarian cancer </w:t>
      </w:r>
    </w:p>
    <w:p w14:paraId="30D08B11" w14:textId="77777777" w:rsidR="009B5573" w:rsidRDefault="009B5573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IN"/>
        </w:rPr>
      </w:pPr>
    </w:p>
    <w:p w14:paraId="2B693D1F" w14:textId="4824599F" w:rsidR="009B5573" w:rsidRDefault="009B5573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IN"/>
        </w:rPr>
      </w:pPr>
      <w:r>
        <w:rPr>
          <w:rFonts w:ascii="Times New Roman" w:eastAsia="Arial Unicode MS" w:hAnsi="Times New Roman" w:cs="Times New Roman"/>
          <w:b/>
          <w:bCs/>
          <w:kern w:val="1"/>
          <w:sz w:val="24"/>
          <w:szCs w:val="24"/>
          <w:lang w:val="en-IN"/>
        </w:rPr>
        <w:t>Table of contents</w:t>
      </w:r>
    </w:p>
    <w:p w14:paraId="4A9A3D29" w14:textId="7431F5F8" w:rsidR="009B5573" w:rsidRPr="009B5573" w:rsidRDefault="009B5573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</w:pPr>
      <w:r w:rsidRPr="009B5573"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  <w:t>Table S1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  <w:t xml:space="preserve">.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  <w:t xml:space="preserve">Scoring criteria for </w:t>
      </w:r>
      <w:r w:rsidRPr="00D21169"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  <w:t>HER2 expression level.</w:t>
      </w:r>
    </w:p>
    <w:p w14:paraId="13CCF1E8" w14:textId="42A622CF" w:rsidR="009B5573" w:rsidRPr="009B5573" w:rsidRDefault="009B5573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</w:pPr>
      <w:r w:rsidRPr="009B5573"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  <w:t>Table S2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  <w:t xml:space="preserve">. </w:t>
      </w:r>
      <w:r w:rsidRPr="00B828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Intervening therapy in patients with increased HER2 expression in time-lagged biopsies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1AFB893" w14:textId="5D03DE38" w:rsidR="009B5573" w:rsidRPr="009B5573" w:rsidRDefault="009B5573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</w:pPr>
      <w:r w:rsidRPr="009B5573">
        <w:rPr>
          <w:rFonts w:ascii="Times New Roman" w:eastAsia="Arial Unicode MS" w:hAnsi="Times New Roman" w:cs="Times New Roman"/>
          <w:kern w:val="1"/>
          <w:sz w:val="24"/>
          <w:szCs w:val="24"/>
          <w:lang w:val="en-IN"/>
        </w:rPr>
        <w:t xml:space="preserve">Figure S1.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Actionable mutations based on SNVs in our cohort.</w:t>
      </w:r>
    </w:p>
    <w:p w14:paraId="090555FE" w14:textId="2C607197" w:rsidR="00B82810" w:rsidRDefault="00B82810">
      <w:pPr>
        <w:widowControl/>
        <w:wordWrap/>
        <w:autoSpaceDE/>
        <w:autoSpaceDN/>
        <w:spacing w:after="160" w:line="259" w:lineRule="auto"/>
        <w:jc w:val="left"/>
        <w:rPr>
          <w:rFonts w:ascii="Times New Roman" w:eastAsia="Gulim" w:hAnsi="Times New Roman" w:cs="Times New Roman"/>
          <w:b/>
          <w:sz w:val="24"/>
          <w:szCs w:val="24"/>
        </w:rPr>
      </w:pPr>
      <w:r>
        <w:rPr>
          <w:rFonts w:ascii="Times New Roman" w:eastAsia="Gulim" w:hAnsi="Times New Roman" w:cs="Times New Roman"/>
          <w:b/>
          <w:sz w:val="24"/>
          <w:szCs w:val="24"/>
        </w:rPr>
        <w:br w:type="page"/>
      </w:r>
    </w:p>
    <w:tbl>
      <w:tblPr>
        <w:tblStyle w:val="PlainTable2"/>
        <w:tblpPr w:leftFromText="180" w:rightFromText="180" w:vertAnchor="text" w:horzAnchor="margin" w:tblpY="171"/>
        <w:tblW w:w="8768" w:type="dxa"/>
        <w:tblLayout w:type="fixed"/>
        <w:tblLook w:val="04A0" w:firstRow="1" w:lastRow="0" w:firstColumn="1" w:lastColumn="0" w:noHBand="0" w:noVBand="1"/>
      </w:tblPr>
      <w:tblGrid>
        <w:gridCol w:w="899"/>
        <w:gridCol w:w="6184"/>
        <w:gridCol w:w="1685"/>
      </w:tblGrid>
      <w:tr w:rsidR="00B82810" w:rsidRPr="00756AE3" w14:paraId="15634B2D" w14:textId="77777777" w:rsidTr="00B828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</w:tcPr>
          <w:p w14:paraId="0060348F" w14:textId="77777777" w:rsidR="00B82810" w:rsidRPr="00756AE3" w:rsidRDefault="00B82810" w:rsidP="00B82810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sz w:val="24"/>
                <w:szCs w:val="24"/>
              </w:rPr>
              <w:t>Score</w:t>
            </w:r>
          </w:p>
        </w:tc>
        <w:tc>
          <w:tcPr>
            <w:tcW w:w="6184" w:type="dxa"/>
          </w:tcPr>
          <w:p w14:paraId="05CD0AAC" w14:textId="77777777" w:rsidR="00B82810" w:rsidRPr="00756AE3" w:rsidRDefault="00B82810" w:rsidP="00B8281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 pattern</w:t>
            </w:r>
          </w:p>
        </w:tc>
        <w:tc>
          <w:tcPr>
            <w:tcW w:w="1685" w:type="dxa"/>
          </w:tcPr>
          <w:p w14:paraId="261F2F38" w14:textId="77777777" w:rsidR="00B82810" w:rsidRPr="00756AE3" w:rsidRDefault="00B82810" w:rsidP="00B82810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Assessment</w:t>
            </w:r>
          </w:p>
        </w:tc>
      </w:tr>
      <w:tr w:rsidR="00B82810" w:rsidRPr="00756AE3" w14:paraId="25BD4432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hideMark/>
          </w:tcPr>
          <w:p w14:paraId="1D47CA1D" w14:textId="77777777" w:rsidR="00B82810" w:rsidRPr="00756AE3" w:rsidRDefault="00B82810" w:rsidP="00B82810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0 </w:t>
            </w:r>
          </w:p>
        </w:tc>
        <w:tc>
          <w:tcPr>
            <w:tcW w:w="6184" w:type="dxa"/>
            <w:hideMark/>
          </w:tcPr>
          <w:p w14:paraId="662184AD" w14:textId="77777777" w:rsidR="00B82810" w:rsidRPr="00756AE3" w:rsidRDefault="00B82810" w:rsidP="00B828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reactivity or membranous reactivity in &lt;10% of cancer cells</w:t>
            </w:r>
          </w:p>
        </w:tc>
        <w:tc>
          <w:tcPr>
            <w:tcW w:w="1685" w:type="dxa"/>
            <w:hideMark/>
          </w:tcPr>
          <w:p w14:paraId="2EEBC3A4" w14:textId="77777777" w:rsidR="00B82810" w:rsidRPr="00756AE3" w:rsidRDefault="00B82810" w:rsidP="00B828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B82810" w:rsidRPr="00756AE3" w14:paraId="4D5DB0F2" w14:textId="77777777" w:rsidTr="00B82810">
        <w:trPr>
          <w:trHeight w:val="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hideMark/>
          </w:tcPr>
          <w:p w14:paraId="68EDEEEE" w14:textId="77777777" w:rsidR="00B82810" w:rsidRPr="00756AE3" w:rsidRDefault="00B82810" w:rsidP="00B82810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1+ </w:t>
            </w:r>
          </w:p>
        </w:tc>
        <w:tc>
          <w:tcPr>
            <w:tcW w:w="6184" w:type="dxa"/>
            <w:hideMark/>
          </w:tcPr>
          <w:p w14:paraId="0AF40638" w14:textId="77777777" w:rsidR="00B82810" w:rsidRPr="00756AE3" w:rsidRDefault="00B82810" w:rsidP="00B8281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Faint or barely perceptible membranous reactivity in ≥10% of cancer cells; cells are reactive only in part of their membrane</w:t>
            </w:r>
          </w:p>
        </w:tc>
        <w:tc>
          <w:tcPr>
            <w:tcW w:w="1685" w:type="dxa"/>
            <w:hideMark/>
          </w:tcPr>
          <w:p w14:paraId="4E9F3915" w14:textId="77777777" w:rsidR="00B82810" w:rsidRPr="00756AE3" w:rsidRDefault="00B82810" w:rsidP="00B8281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</w:tr>
      <w:tr w:rsidR="00B82810" w:rsidRPr="00756AE3" w14:paraId="50E96253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hideMark/>
          </w:tcPr>
          <w:p w14:paraId="1E5A1759" w14:textId="77777777" w:rsidR="00B82810" w:rsidRPr="00756AE3" w:rsidRDefault="00B82810" w:rsidP="00B82810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2+ </w:t>
            </w:r>
          </w:p>
        </w:tc>
        <w:tc>
          <w:tcPr>
            <w:tcW w:w="6184" w:type="dxa"/>
            <w:hideMark/>
          </w:tcPr>
          <w:p w14:paraId="013E663C" w14:textId="77777777" w:rsidR="00B82810" w:rsidRPr="00756AE3" w:rsidRDefault="00B82810" w:rsidP="00B828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Weak to moderate complete, basolateral, or lateral membranous reactivity in ≥10% of cancer cells</w:t>
            </w:r>
          </w:p>
        </w:tc>
        <w:tc>
          <w:tcPr>
            <w:tcW w:w="1685" w:type="dxa"/>
            <w:hideMark/>
          </w:tcPr>
          <w:p w14:paraId="51E4C86A" w14:textId="77777777" w:rsidR="00B82810" w:rsidRPr="00756AE3" w:rsidRDefault="00B82810" w:rsidP="00B82810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Equivocal</w:t>
            </w:r>
          </w:p>
        </w:tc>
      </w:tr>
      <w:tr w:rsidR="00B82810" w:rsidRPr="00756AE3" w14:paraId="6B84426B" w14:textId="77777777" w:rsidTr="00B82810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" w:type="dxa"/>
            <w:hideMark/>
          </w:tcPr>
          <w:p w14:paraId="246DEAF6" w14:textId="77777777" w:rsidR="00B82810" w:rsidRPr="00756AE3" w:rsidRDefault="00B82810" w:rsidP="00B82810">
            <w:pPr>
              <w:pStyle w:val="NoSpacing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 xml:space="preserve">3+ </w:t>
            </w:r>
          </w:p>
        </w:tc>
        <w:tc>
          <w:tcPr>
            <w:tcW w:w="6184" w:type="dxa"/>
            <w:hideMark/>
          </w:tcPr>
          <w:p w14:paraId="27DBACEB" w14:textId="77777777" w:rsidR="00B82810" w:rsidRPr="00756AE3" w:rsidRDefault="00B82810" w:rsidP="00B8281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Strong complete, basolateral, or lateral membranous reactivity in ≥10% of cancer cells</w:t>
            </w:r>
          </w:p>
        </w:tc>
        <w:tc>
          <w:tcPr>
            <w:tcW w:w="1685" w:type="dxa"/>
            <w:hideMark/>
          </w:tcPr>
          <w:p w14:paraId="31858D23" w14:textId="77777777" w:rsidR="00B82810" w:rsidRPr="00756AE3" w:rsidRDefault="00B82810" w:rsidP="00B82810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A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</w:tr>
    </w:tbl>
    <w:p w14:paraId="126A9D0B" w14:textId="77777777" w:rsidR="00B82810" w:rsidRDefault="00B82810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</w:pPr>
    </w:p>
    <w:p w14:paraId="62674E1A" w14:textId="2A9788DF" w:rsidR="00A32078" w:rsidRPr="00D21169" w:rsidRDefault="003D6BCC" w:rsidP="003D6BCC">
      <w:pPr>
        <w:widowControl/>
        <w:wordWrap/>
        <w:adjustRightInd w:val="0"/>
        <w:snapToGrid w:val="0"/>
        <w:spacing w:after="0" w:line="360" w:lineRule="auto"/>
        <w:jc w:val="left"/>
        <w:rPr>
          <w:rFonts w:ascii="Arial Unicode MS" w:eastAsia="Arial Unicode MS" w:hAnsi="Liberation Sans" w:cs="Arial Unicode MS"/>
          <w:kern w:val="1"/>
          <w:sz w:val="36"/>
          <w:szCs w:val="36"/>
          <w:lang w:val="en-GB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  <w:t>T</w:t>
      </w:r>
      <w:r w:rsidR="00A32078" w:rsidRPr="00D21169"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  <w:t xml:space="preserve">able S1.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  <w:t xml:space="preserve">Scoring criteria for </w:t>
      </w:r>
      <w:r w:rsidR="00A32078" w:rsidRPr="00D21169">
        <w:rPr>
          <w:rFonts w:ascii="Times New Roman" w:eastAsia="Arial Unicode MS" w:hAnsi="Times New Roman" w:cs="Times New Roman"/>
          <w:kern w:val="1"/>
          <w:sz w:val="24"/>
          <w:szCs w:val="24"/>
          <w:lang w:val="en-GB"/>
        </w:rPr>
        <w:t xml:space="preserve">HER2 expression level. </w:t>
      </w:r>
    </w:p>
    <w:p w14:paraId="11DD714B" w14:textId="163A4E0C" w:rsidR="00235BC6" w:rsidRDefault="00235BC6">
      <w:pPr>
        <w:rPr>
          <w:lang w:val="en-GB"/>
        </w:rPr>
      </w:pPr>
      <w:r>
        <w:rPr>
          <w:lang w:val="en-GB"/>
        </w:rPr>
        <w:br/>
      </w:r>
      <w:r>
        <w:rPr>
          <w:lang w:val="en-GB"/>
        </w:rPr>
        <w:br/>
      </w:r>
    </w:p>
    <w:p w14:paraId="55D0F0F5" w14:textId="77777777" w:rsidR="00235BC6" w:rsidRDefault="00235BC6">
      <w:pPr>
        <w:widowControl/>
        <w:wordWrap/>
        <w:autoSpaceDE/>
        <w:autoSpaceDN/>
        <w:spacing w:after="160"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tbl>
      <w:tblPr>
        <w:tblStyle w:val="PlainTable2"/>
        <w:tblW w:w="9072" w:type="dxa"/>
        <w:tblLook w:val="04A0" w:firstRow="1" w:lastRow="0" w:firstColumn="1" w:lastColumn="0" w:noHBand="0" w:noVBand="1"/>
      </w:tblPr>
      <w:tblGrid>
        <w:gridCol w:w="950"/>
        <w:gridCol w:w="1056"/>
        <w:gridCol w:w="993"/>
        <w:gridCol w:w="923"/>
        <w:gridCol w:w="5257"/>
      </w:tblGrid>
      <w:tr w:rsidR="00B82810" w:rsidRPr="00B82810" w14:paraId="15A16653" w14:textId="77777777" w:rsidTr="00B828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1F002028" w14:textId="77777777" w:rsidR="00B82810" w:rsidRPr="008C627D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Patient</w:t>
            </w:r>
          </w:p>
        </w:tc>
        <w:tc>
          <w:tcPr>
            <w:tcW w:w="1016" w:type="dxa"/>
            <w:noWrap/>
            <w:hideMark/>
          </w:tcPr>
          <w:p w14:paraId="62DE5E98" w14:textId="77777777" w:rsidR="00B82810" w:rsidRPr="008C627D" w:rsidRDefault="00B82810" w:rsidP="00CE07E6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Months between biopsies</w:t>
            </w:r>
          </w:p>
        </w:tc>
        <w:tc>
          <w:tcPr>
            <w:tcW w:w="993" w:type="dxa"/>
            <w:noWrap/>
            <w:hideMark/>
          </w:tcPr>
          <w:p w14:paraId="07DFD2AD" w14:textId="77777777" w:rsidR="00B82810" w:rsidRPr="008C627D" w:rsidRDefault="00B82810" w:rsidP="00CE07E6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HER2 initial</w:t>
            </w:r>
          </w:p>
        </w:tc>
        <w:tc>
          <w:tcPr>
            <w:tcW w:w="923" w:type="dxa"/>
            <w:noWrap/>
            <w:hideMark/>
          </w:tcPr>
          <w:p w14:paraId="30A1E814" w14:textId="77777777" w:rsidR="00B82810" w:rsidRPr="008C627D" w:rsidRDefault="00B82810" w:rsidP="00CE07E6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HER2 follow-up</w:t>
            </w:r>
          </w:p>
        </w:tc>
        <w:tc>
          <w:tcPr>
            <w:tcW w:w="5257" w:type="dxa"/>
            <w:noWrap/>
            <w:hideMark/>
          </w:tcPr>
          <w:p w14:paraId="4E5107B4" w14:textId="54936456" w:rsidR="00B82810" w:rsidRPr="008C627D" w:rsidRDefault="00B82810" w:rsidP="00CE07E6">
            <w:p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Intervening therapy</w:t>
            </w:r>
            <w:r w:rsidRPr="00B828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(line, regimen) </w:t>
            </w:r>
          </w:p>
        </w:tc>
      </w:tr>
      <w:tr w:rsidR="00B82810" w:rsidRPr="00B82810" w14:paraId="3C1FF6C8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6BDF4123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6" w:type="dxa"/>
            <w:noWrap/>
            <w:hideMark/>
          </w:tcPr>
          <w:p w14:paraId="6ED2C463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993" w:type="dxa"/>
            <w:noWrap/>
            <w:hideMark/>
          </w:tcPr>
          <w:p w14:paraId="26C500BA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3" w:type="dxa"/>
            <w:noWrap/>
            <w:hideMark/>
          </w:tcPr>
          <w:p w14:paraId="6EB9B5A9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657B0948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 Paclitaxel + Carboplatin</w:t>
            </w:r>
          </w:p>
        </w:tc>
      </w:tr>
      <w:tr w:rsidR="00B82810" w:rsidRPr="00B82810" w14:paraId="2FA51592" w14:textId="77777777" w:rsidTr="00B8281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314B3884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6" w:type="dxa"/>
            <w:noWrap/>
            <w:hideMark/>
          </w:tcPr>
          <w:p w14:paraId="2DC3DBF9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noWrap/>
            <w:hideMark/>
          </w:tcPr>
          <w:p w14:paraId="4DDAA5E4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3" w:type="dxa"/>
            <w:noWrap/>
            <w:hideMark/>
          </w:tcPr>
          <w:p w14:paraId="581AEBC7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1BD403DE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3L Belotecan + Cisplatin, followed by Niraparib</w:t>
            </w:r>
          </w:p>
        </w:tc>
      </w:tr>
      <w:tr w:rsidR="00B82810" w:rsidRPr="00B82810" w14:paraId="27205FDC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6B39452C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6" w:type="dxa"/>
            <w:noWrap/>
            <w:hideMark/>
          </w:tcPr>
          <w:p w14:paraId="0F1F9F99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  <w:noWrap/>
            <w:hideMark/>
          </w:tcPr>
          <w:p w14:paraId="4B3A78BD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14:paraId="1D36C16E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58A75979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7L Docetaxel + Cisplatin </w:t>
            </w:r>
          </w:p>
        </w:tc>
      </w:tr>
      <w:tr w:rsidR="00B82810" w:rsidRPr="00B82810" w14:paraId="6CE78B36" w14:textId="77777777" w:rsidTr="00B8281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200A39CA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16" w:type="dxa"/>
            <w:noWrap/>
            <w:hideMark/>
          </w:tcPr>
          <w:p w14:paraId="4357BD12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3" w:type="dxa"/>
            <w:noWrap/>
            <w:hideMark/>
          </w:tcPr>
          <w:p w14:paraId="17FD2858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14:paraId="66017269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608F1A0F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5L Docetaxel + Carboplatin</w:t>
            </w:r>
          </w:p>
        </w:tc>
      </w:tr>
      <w:tr w:rsidR="00B82810" w:rsidRPr="00B82810" w14:paraId="5099D9B0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09D487B0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6" w:type="dxa"/>
            <w:noWrap/>
            <w:hideMark/>
          </w:tcPr>
          <w:p w14:paraId="39662229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3" w:type="dxa"/>
            <w:noWrap/>
            <w:hideMark/>
          </w:tcPr>
          <w:p w14:paraId="1E3953B7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14:paraId="184D5EA3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6B344DCE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5L Gemcitabine + Carboplatin, followed by Niraparib</w:t>
            </w:r>
          </w:p>
        </w:tc>
      </w:tr>
      <w:tr w:rsidR="00B82810" w:rsidRPr="00B82810" w14:paraId="1BC20787" w14:textId="77777777" w:rsidTr="00B8281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39410689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6" w:type="dxa"/>
            <w:noWrap/>
            <w:hideMark/>
          </w:tcPr>
          <w:p w14:paraId="0EA48832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3" w:type="dxa"/>
            <w:noWrap/>
            <w:hideMark/>
          </w:tcPr>
          <w:p w14:paraId="59099225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14:paraId="5F38872E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16A6E593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4L Paclitaxel + Cisplatin, followed by Niraparib; 5L Gemcitabine</w:t>
            </w:r>
          </w:p>
        </w:tc>
      </w:tr>
      <w:tr w:rsidR="00B82810" w:rsidRPr="00B82810" w14:paraId="3237DA37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7DA798AF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16" w:type="dxa"/>
            <w:noWrap/>
            <w:hideMark/>
          </w:tcPr>
          <w:p w14:paraId="21997F31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noWrap/>
            <w:hideMark/>
          </w:tcPr>
          <w:p w14:paraId="18B139D1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3" w:type="dxa"/>
            <w:noWrap/>
            <w:hideMark/>
          </w:tcPr>
          <w:p w14:paraId="6203D78C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57" w:type="dxa"/>
            <w:noWrap/>
            <w:hideMark/>
          </w:tcPr>
          <w:p w14:paraId="487100C8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6L Paclitaxel + Durvalumab </w:t>
            </w:r>
          </w:p>
        </w:tc>
      </w:tr>
      <w:tr w:rsidR="00B82810" w:rsidRPr="00B82810" w14:paraId="03A21690" w14:textId="77777777" w:rsidTr="00B8281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23BB367D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6" w:type="dxa"/>
            <w:noWrap/>
            <w:hideMark/>
          </w:tcPr>
          <w:p w14:paraId="60263053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3" w:type="dxa"/>
            <w:noWrap/>
            <w:hideMark/>
          </w:tcPr>
          <w:p w14:paraId="3418D4F7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" w:type="dxa"/>
            <w:noWrap/>
            <w:hideMark/>
          </w:tcPr>
          <w:p w14:paraId="37AEE864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4C1603F1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6L Niraparib; 7L Paclitaxel + Cisplatin </w:t>
            </w:r>
          </w:p>
        </w:tc>
      </w:tr>
      <w:tr w:rsidR="00B82810" w:rsidRPr="00B82810" w14:paraId="326ACAAF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7C4835E6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16" w:type="dxa"/>
            <w:noWrap/>
            <w:hideMark/>
          </w:tcPr>
          <w:p w14:paraId="7948C378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3" w:type="dxa"/>
            <w:noWrap/>
            <w:hideMark/>
          </w:tcPr>
          <w:p w14:paraId="777FC9A7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14:paraId="7C67FDA1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3C7A1455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 Paclitaxel + Carboplatin</w:t>
            </w:r>
          </w:p>
        </w:tc>
      </w:tr>
      <w:tr w:rsidR="00B82810" w:rsidRPr="00B82810" w14:paraId="483A2308" w14:textId="77777777" w:rsidTr="00B82810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45EE7231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6" w:type="dxa"/>
            <w:noWrap/>
            <w:hideMark/>
          </w:tcPr>
          <w:p w14:paraId="679F9ABD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3" w:type="dxa"/>
            <w:noWrap/>
            <w:hideMark/>
          </w:tcPr>
          <w:p w14:paraId="710035CD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23" w:type="dxa"/>
            <w:noWrap/>
            <w:hideMark/>
          </w:tcPr>
          <w:p w14:paraId="301CDDF4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57" w:type="dxa"/>
            <w:noWrap/>
            <w:hideMark/>
          </w:tcPr>
          <w:p w14:paraId="5E7BA372" w14:textId="77777777" w:rsidR="00B82810" w:rsidRPr="008C627D" w:rsidRDefault="00B82810" w:rsidP="00CE07E6">
            <w:pPr>
              <w:spacing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1L Paclitaxel + Carboplatin</w:t>
            </w:r>
          </w:p>
        </w:tc>
      </w:tr>
      <w:tr w:rsidR="00B82810" w:rsidRPr="00B82810" w14:paraId="77DE4DF3" w14:textId="77777777" w:rsidTr="00B828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dxa"/>
            <w:noWrap/>
            <w:hideMark/>
          </w:tcPr>
          <w:p w14:paraId="795EC2D8" w14:textId="77777777" w:rsidR="00B82810" w:rsidRPr="006B204C" w:rsidRDefault="00B82810" w:rsidP="00CE07E6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</w:pPr>
            <w:r w:rsidRPr="006B204C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6" w:type="dxa"/>
            <w:noWrap/>
            <w:hideMark/>
          </w:tcPr>
          <w:p w14:paraId="4365C99C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93" w:type="dxa"/>
            <w:noWrap/>
            <w:hideMark/>
          </w:tcPr>
          <w:p w14:paraId="32F44A27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23" w:type="dxa"/>
            <w:noWrap/>
            <w:hideMark/>
          </w:tcPr>
          <w:p w14:paraId="60CD83E5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57" w:type="dxa"/>
            <w:noWrap/>
            <w:hideMark/>
          </w:tcPr>
          <w:p w14:paraId="4749DE34" w14:textId="77777777" w:rsidR="00B82810" w:rsidRPr="008C627D" w:rsidRDefault="00B82810" w:rsidP="00CE07E6">
            <w:pPr>
              <w:spacing w:after="0" w:line="24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6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2L Liposomal doxorubicin + Carboplatin; 3L Paclitaxel + Bevacizumab; 4L Belotecan + Cisplatin; 5L Gemcitabine</w:t>
            </w:r>
          </w:p>
        </w:tc>
      </w:tr>
    </w:tbl>
    <w:p w14:paraId="2EC71FB9" w14:textId="77777777" w:rsidR="00B82810" w:rsidRDefault="00B82810" w:rsidP="00B82810">
      <w:pPr>
        <w:spacing w:line="240" w:lineRule="auto"/>
        <w:rPr>
          <w:color w:val="000000" w:themeColor="text1"/>
        </w:rPr>
      </w:pPr>
    </w:p>
    <w:p w14:paraId="1D469787" w14:textId="3BB63257" w:rsidR="00B82810" w:rsidRPr="00B82810" w:rsidRDefault="00B82810" w:rsidP="00B8281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8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Table S2. Intervening therapy in patients with increased HER2 expression in time-lagged biopsies</w:t>
      </w:r>
      <w:r w:rsidR="009B55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38EAFDF" w14:textId="532ACDCF" w:rsidR="00B82810" w:rsidRDefault="00B82810">
      <w:pPr>
        <w:widowControl/>
        <w:wordWrap/>
        <w:autoSpaceDE/>
        <w:autoSpaceDN/>
        <w:spacing w:after="160" w:line="259" w:lineRule="auto"/>
        <w:jc w:val="left"/>
        <w:rPr>
          <w:lang w:val="en-GB"/>
        </w:rPr>
      </w:pPr>
      <w:r>
        <w:rPr>
          <w:lang w:val="en-GB"/>
        </w:rPr>
        <w:br w:type="page"/>
      </w:r>
    </w:p>
    <w:p w14:paraId="215E3886" w14:textId="77777777" w:rsidR="009B5573" w:rsidRDefault="00B82810" w:rsidP="00B82810">
      <w:pPr>
        <w:spacing w:line="240" w:lineRule="auto"/>
        <w:rPr>
          <w:noProof/>
          <w:lang w:val="en-GB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Figure S1</w:t>
      </w:r>
      <w:r w:rsidRPr="00B828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95226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Actionable mutations based on SNVs in our cohort</w:t>
      </w:r>
      <w:r w:rsidR="009B557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9B5573" w:rsidRPr="009B5573">
        <w:rPr>
          <w:noProof/>
          <w:lang w:val="en-GB"/>
        </w:rPr>
        <w:t xml:space="preserve"> </w:t>
      </w:r>
    </w:p>
    <w:p w14:paraId="3DE87E56" w14:textId="2C605CF7" w:rsidR="00B82810" w:rsidRPr="00B82810" w:rsidRDefault="009B5573" w:rsidP="00B82810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2810">
        <w:rPr>
          <w:noProof/>
          <w:lang w:val="en-IN" w:eastAsia="en-IN"/>
        </w:rPr>
        <w:drawing>
          <wp:inline distT="0" distB="0" distL="0" distR="0" wp14:anchorId="393E85FC" wp14:editId="7F04F5FD">
            <wp:extent cx="2873829" cy="2043612"/>
            <wp:effectExtent l="0" t="0" r="0" b="1270"/>
            <wp:docPr id="650357554" name="Picture 1" descr="A graph with blue squar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57554" name="Picture 1" descr="A graph with blue squares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9893" cy="2069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2810">
        <w:rPr>
          <w:noProof/>
          <w:lang w:val="en-IN" w:eastAsia="en-IN"/>
        </w:rPr>
        <w:drawing>
          <wp:inline distT="0" distB="0" distL="0" distR="0" wp14:anchorId="07DB430E" wp14:editId="1D927946">
            <wp:extent cx="2847703" cy="2025033"/>
            <wp:effectExtent l="0" t="0" r="0" b="0"/>
            <wp:docPr id="1461763062" name="Picture 1" descr="A graph with blue rectangl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763062" name="Picture 1" descr="A graph with blue rectangle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98345" cy="2061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C265CE9" w14:textId="400CE4CB" w:rsidR="00B82810" w:rsidRPr="00A32078" w:rsidRDefault="00B82810" w:rsidP="00B82810">
      <w:pPr>
        <w:rPr>
          <w:lang w:val="en-GB"/>
        </w:rPr>
      </w:pPr>
    </w:p>
    <w:sectPr w:rsidR="00B82810" w:rsidRPr="00A32078" w:rsidSect="00FC5D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Liberation Sans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76416"/>
    <w:multiLevelType w:val="multilevel"/>
    <w:tmpl w:val="B21C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5F"/>
    <w:rsid w:val="00235BC6"/>
    <w:rsid w:val="00267D27"/>
    <w:rsid w:val="003D6BCC"/>
    <w:rsid w:val="004F545F"/>
    <w:rsid w:val="006B204C"/>
    <w:rsid w:val="007B0F34"/>
    <w:rsid w:val="008E3E32"/>
    <w:rsid w:val="00952265"/>
    <w:rsid w:val="009B5573"/>
    <w:rsid w:val="00A32078"/>
    <w:rsid w:val="00B82810"/>
    <w:rsid w:val="00DB3A64"/>
    <w:rsid w:val="00DE6222"/>
    <w:rsid w:val="00FC5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A4CD7"/>
  <w15:chartTrackingRefBased/>
  <w15:docId w15:val="{B698FFC4-9DB2-4E97-A53B-6E34F39B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078"/>
    <w:pPr>
      <w:widowControl w:val="0"/>
      <w:wordWrap w:val="0"/>
      <w:autoSpaceDE w:val="0"/>
      <w:autoSpaceDN w:val="0"/>
      <w:spacing w:after="200" w:line="276" w:lineRule="auto"/>
      <w:jc w:val="both"/>
    </w:pPr>
    <w:rPr>
      <w:rFonts w:ascii="Malgun Gothic" w:eastAsia="Malgun Gothic" w:hAnsi="Malgun Gothic" w:cs="Malgun Gothic"/>
      <w:sz w:val="20"/>
      <w:szCs w:val="20"/>
      <w:lang w:val="en-US"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320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3207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A32078"/>
    <w:rPr>
      <w:rFonts w:ascii="Malgun Gothic" w:eastAsia="Malgun Gothic" w:hAnsi="Malgun Gothic" w:cs="Malgun Gothic"/>
      <w:sz w:val="20"/>
      <w:szCs w:val="20"/>
      <w:lang w:val="en-US" w:eastAsia="ko-KR"/>
    </w:rPr>
  </w:style>
  <w:style w:type="paragraph" w:styleId="Revision">
    <w:name w:val="Revision"/>
    <w:hidden/>
    <w:uiPriority w:val="99"/>
    <w:semiHidden/>
    <w:rsid w:val="00A32078"/>
    <w:pPr>
      <w:spacing w:after="0" w:line="240" w:lineRule="auto"/>
    </w:pPr>
    <w:rPr>
      <w:rFonts w:ascii="Malgun Gothic" w:eastAsia="Malgun Gothic" w:hAnsi="Malgun Gothic" w:cs="Malgun Gothic"/>
      <w:sz w:val="20"/>
      <w:szCs w:val="20"/>
      <w:lang w:val="en-US" w:eastAsia="ko-KR"/>
    </w:rPr>
  </w:style>
  <w:style w:type="table" w:styleId="PlainTable2">
    <w:name w:val="Plain Table 2"/>
    <w:basedOn w:val="TableNormal"/>
    <w:uiPriority w:val="42"/>
    <w:rsid w:val="003D6BCC"/>
    <w:pPr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oSpacing">
    <w:name w:val="No Spacing"/>
    <w:uiPriority w:val="1"/>
    <w:qFormat/>
    <w:rsid w:val="003D6BCC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261</Words>
  <Characters>1492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Vanitha M.</cp:lastModifiedBy>
  <cp:revision>9</cp:revision>
  <dcterms:created xsi:type="dcterms:W3CDTF">2023-12-02T06:46:00Z</dcterms:created>
  <dcterms:modified xsi:type="dcterms:W3CDTF">2024-03-20T04:42:00Z</dcterms:modified>
</cp:coreProperties>
</file>