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3C8B9" w14:textId="224FD5E3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Fig. 1. Graphs showing the comparisons of </w:t>
      </w:r>
      <w:r w:rsidR="008319F3" w:rsidRPr="002F6D75">
        <w:rPr>
          <w:rFonts w:ascii="Times New Roman" w:hAnsi="Times New Roman" w:cs="Times New Roman"/>
          <w:sz w:val="24"/>
          <w:szCs w:val="24"/>
        </w:rPr>
        <w:t>mean lesion volume (m</w:t>
      </w:r>
      <w:r w:rsidR="00521043" w:rsidRPr="002F6D75">
        <w:rPr>
          <w:rFonts w:ascii="Times New Roman" w:hAnsi="Times New Roman" w:cs="Times New Roman"/>
          <w:sz w:val="24"/>
          <w:szCs w:val="24"/>
        </w:rPr>
        <w:t>L</w:t>
      </w:r>
      <w:r w:rsidR="008319F3" w:rsidRPr="002F6D75">
        <w:rPr>
          <w:rFonts w:ascii="Times New Roman" w:hAnsi="Times New Roman" w:cs="Times New Roman"/>
          <w:sz w:val="24"/>
          <w:szCs w:val="24"/>
        </w:rPr>
        <w:t>), mean lesion volume percentage, and mean whole lung volume (m</w:t>
      </w:r>
      <w:r w:rsidR="00521043" w:rsidRPr="002F6D75">
        <w:rPr>
          <w:rFonts w:ascii="Times New Roman" w:hAnsi="Times New Roman" w:cs="Times New Roman"/>
          <w:sz w:val="24"/>
          <w:szCs w:val="24"/>
        </w:rPr>
        <w:t>L</w:t>
      </w:r>
      <w:r w:rsidR="008319F3" w:rsidRPr="002F6D75">
        <w:rPr>
          <w:rFonts w:ascii="Times New Roman" w:hAnsi="Times New Roman" w:cs="Times New Roman"/>
          <w:sz w:val="24"/>
          <w:szCs w:val="24"/>
        </w:rPr>
        <w:t xml:space="preserve">) </w:t>
      </w:r>
      <w:r w:rsidRPr="002F6D75">
        <w:rPr>
          <w:rFonts w:ascii="Times New Roman" w:hAnsi="Times New Roman" w:cs="Times New Roman"/>
          <w:sz w:val="24"/>
          <w:szCs w:val="24"/>
        </w:rPr>
        <w:t>from quantitative analysis of CT results from (A) 10 weeks and (B) 40 weeks after the first intratracheal instillations in each study group.</w:t>
      </w:r>
    </w:p>
    <w:p w14:paraId="4AB7BD98" w14:textId="3AA956AF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(</w:t>
      </w:r>
      <w:r w:rsidRPr="002F6D75">
        <w:rPr>
          <w:rFonts w:ascii="Times New Roman" w:hAnsi="Times New Roman" w:cs="Times New Roman"/>
          <w:sz w:val="24"/>
          <w:szCs w:val="24"/>
        </w:rPr>
        <w:t>A)</w:t>
      </w:r>
    </w:p>
    <w:p w14:paraId="4212DC72" w14:textId="23F7A994" w:rsidR="00A54966" w:rsidRPr="002F6D75" w:rsidRDefault="008319F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noProof/>
        </w:rPr>
        <w:t xml:space="preserve"> </w:t>
      </w:r>
      <w:r w:rsidR="00521043" w:rsidRPr="002F6D75">
        <w:rPr>
          <w:noProof/>
          <w:lang w:val="en-IN" w:eastAsia="en-IN"/>
        </w:rPr>
        <w:drawing>
          <wp:inline distT="0" distB="0" distL="0" distR="0" wp14:anchorId="2DF5B50A" wp14:editId="58C6C13D">
            <wp:extent cx="4822166" cy="3262683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4867" cy="32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32D09" w14:textId="51D9AC9C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(</w:t>
      </w:r>
      <w:r w:rsidRPr="002F6D75">
        <w:rPr>
          <w:rFonts w:ascii="Times New Roman" w:hAnsi="Times New Roman" w:cs="Times New Roman"/>
          <w:sz w:val="24"/>
          <w:szCs w:val="24"/>
        </w:rPr>
        <w:t>B)</w:t>
      </w:r>
      <w:r w:rsidR="000F0FE0" w:rsidRPr="002F6D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84BE5" w14:textId="587622DD" w:rsidR="00A54966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72455DF" wp14:editId="5A3F3719">
            <wp:extent cx="4753155" cy="3288136"/>
            <wp:effectExtent l="0" t="0" r="9525" b="762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7099" cy="329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8317" w14:textId="488600B9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F</w:t>
      </w:r>
      <w:r w:rsidRPr="002F6D75">
        <w:rPr>
          <w:rFonts w:ascii="Times New Roman" w:hAnsi="Times New Roman" w:cs="Times New Roman"/>
          <w:sz w:val="24"/>
          <w:szCs w:val="24"/>
        </w:rPr>
        <w:t>ig. 2. Graphs showing the comparisons of inflammation score and fibrosis score from (A) 10 weeks and (B) 40 weeks.</w:t>
      </w:r>
    </w:p>
    <w:p w14:paraId="35459AD5" w14:textId="423E049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(</w:t>
      </w:r>
      <w:r w:rsidRPr="002F6D75">
        <w:rPr>
          <w:rFonts w:ascii="Times New Roman" w:hAnsi="Times New Roman" w:cs="Times New Roman"/>
          <w:sz w:val="24"/>
          <w:szCs w:val="24"/>
        </w:rPr>
        <w:t>A)</w:t>
      </w:r>
    </w:p>
    <w:p w14:paraId="0275B838" w14:textId="4934BD6C" w:rsidR="00A54966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5D95D48" wp14:editId="4162D8A9">
            <wp:extent cx="4641011" cy="3590536"/>
            <wp:effectExtent l="0" t="0" r="762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57296" cy="360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672D4" w14:textId="41C51AEA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(</w:t>
      </w:r>
      <w:r w:rsidRPr="002F6D75">
        <w:rPr>
          <w:rFonts w:ascii="Times New Roman" w:hAnsi="Times New Roman" w:cs="Times New Roman"/>
          <w:sz w:val="24"/>
          <w:szCs w:val="24"/>
        </w:rPr>
        <w:t>B)</w:t>
      </w:r>
    </w:p>
    <w:p w14:paraId="23F77D05" w14:textId="01DB0073" w:rsidR="00A54966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4C77D3F" wp14:editId="30F87F59">
            <wp:extent cx="4708621" cy="3588589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2548" cy="359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722D6" w14:textId="249A0854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F</w:t>
      </w:r>
      <w:r w:rsidRPr="002F6D75">
        <w:rPr>
          <w:rFonts w:ascii="Times New Roman" w:hAnsi="Times New Roman" w:cs="Times New Roman"/>
          <w:sz w:val="24"/>
          <w:szCs w:val="24"/>
        </w:rPr>
        <w:t>ig. 3. Graph showing the intergroup comparisons of the numbers of lung tumors.</w:t>
      </w:r>
    </w:p>
    <w:p w14:paraId="78080B28" w14:textId="78603D09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530827" w14:textId="28AF8477" w:rsidR="00A54966" w:rsidRPr="002F6D75" w:rsidRDefault="000F0FE0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455DB49" wp14:editId="1CCA6FB1">
            <wp:extent cx="5458587" cy="4810796"/>
            <wp:effectExtent l="0" t="0" r="8890" b="889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8587" cy="481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74641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E2DB5F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9D5AA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092583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A57566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214772" w14:textId="1B12CD6B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5F34D3" w14:textId="68BFC7C6" w:rsidR="000F0FE0" w:rsidRPr="002F6D75" w:rsidRDefault="000F0FE0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5FE00E" w14:textId="77777777" w:rsidR="000F0FE0" w:rsidRPr="002F6D75" w:rsidRDefault="000F0FE0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584302" w14:textId="42327FB5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>upplementary Fig. 4. Graph showing the results of the lesion-to-lesion analyses of all histopathologically confirmed lung tumors after 40 weeks. The bronchiolar-alveolar hyperplasia after 40 weeks either grew, shrunk, or remained unchanged in terms of size compared with the 10-week findings.</w:t>
      </w:r>
    </w:p>
    <w:p w14:paraId="1864E796" w14:textId="7A0F8FFF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1240C2" w14:textId="42933741" w:rsidR="00A54966" w:rsidRPr="002F6D75" w:rsidRDefault="007202CD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59BD9CA" wp14:editId="770837F9">
            <wp:extent cx="5209119" cy="3925019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0528" cy="392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56620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CEEE0B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C6506D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734678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F96CAD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693223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AD7155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BA425E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589373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169074" w14:textId="602B1889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Fig. 5. CT images and the histopathologic findings of bronchiolar-alveolar adenoma. (A) Axial chest CT image taken after 10 weeks from the first tracheal instillations; there was a 0.3-mm nodule in the left lobe (arrows). (B) Axial CT image after 40 weeks; the nodule size increased (2.6 mm, arrows). </w:t>
      </w:r>
      <w:r w:rsidR="00326B27" w:rsidRPr="002F6D75">
        <w:rPr>
          <w:rFonts w:ascii="Times New Roman" w:hAnsi="Times New Roman" w:cs="Times New Roman"/>
          <w:sz w:val="24"/>
          <w:szCs w:val="24"/>
        </w:rPr>
        <w:t>(C) Histopathological evaluation found this tumor to be a bronchiolar–alveolar adenoma. The lesion was well-circumscribed and had a sharp demarcation from the surrounding normal alveoli (H&amp;E, ×60). (D) The tumor had a high epithelial cell density. The neoplastic epithelial cells were uniform. The mitotic figure was absent (H&amp;E, ×200).</w:t>
      </w:r>
    </w:p>
    <w:p w14:paraId="72C3023B" w14:textId="06B59A6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8AA005" w14:textId="2D7E5DBB" w:rsidR="00A54966" w:rsidRPr="002F6D75" w:rsidRDefault="003062A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3DE8D1F" wp14:editId="3CED5343">
            <wp:extent cx="5731510" cy="4213225"/>
            <wp:effectExtent l="0" t="0" r="2540" b="0"/>
            <wp:docPr id="747466012" name="그림 1" descr="스크린샷, 보라색, 바이올렛색, 라일락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66012" name="그림 1" descr="스크린샷, 보라색, 바이올렛색, 라일락이(가) 표시된 사진&#10;&#10;자동 생성된 설명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B2D6F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42B5E9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75A212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74C2FA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785874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761634" w14:textId="1875FBD2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Fig. 6. CT images and the histopathologic findings of epithelioma. (A) Axial chest CT image taken after 10 weeks from the first tracheal instillations; there was a 1.2-mm nodule in the right posterior lobe (arrows). (B) Axial CT image after 40 weeks; the nodule size increased (2.1 mm, arrows). </w:t>
      </w:r>
      <w:r w:rsidR="00326B27" w:rsidRPr="002F6D75">
        <w:rPr>
          <w:rFonts w:ascii="Times New Roman" w:hAnsi="Times New Roman" w:cs="Times New Roman"/>
          <w:sz w:val="24"/>
          <w:szCs w:val="24"/>
        </w:rPr>
        <w:t>(C) Histopathological evaluation found this tumor to be an epithelioma. Under low magnification, this tumor was cystic and clearly distinguished from the surrounding normal alveoli (H&amp;E, ×100). (D) Microscopically, the multilayered wall of the tumor consisted of squamous cells with a central area of keratin (H&amp;E, ×200, arrows).</w:t>
      </w:r>
    </w:p>
    <w:p w14:paraId="2BB99694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138F21" w14:textId="007A077F" w:rsidR="00A54966" w:rsidRPr="002F6D75" w:rsidRDefault="00C17749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647E55E5" wp14:editId="0436086D">
            <wp:extent cx="5731510" cy="4502785"/>
            <wp:effectExtent l="0" t="0" r="2540" b="0"/>
            <wp:docPr id="163145037" name="그림 1" descr="원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5037" name="그림 1" descr="원, 스크린샷이(가) 표시된 사진&#10;&#10;자동 생성된 설명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0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3B7A4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A0CDA6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4A809F" w14:textId="34E62E49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8A7FAE" w14:textId="45513C42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81882A" w14:textId="77777777" w:rsidR="00521043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906460" w14:textId="7A2C41BE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F</w:t>
      </w:r>
      <w:r w:rsidRPr="002F6D75">
        <w:rPr>
          <w:rFonts w:ascii="Times New Roman" w:hAnsi="Times New Roman" w:cs="Times New Roman"/>
          <w:sz w:val="24"/>
          <w:szCs w:val="24"/>
        </w:rPr>
        <w:t xml:space="preserve">ig. 7. CT images and the histopathologic findings of bronchiolar-alveolar hyperplasia. (A) Axial chest CT image taken after 10 weeks from the first tracheal instillations; there was a 1.3-mm ground-glass nodule in the right superior lobe (arrows). (B) Axial CT image after 40 weeks; the nodule size decreased and density increased (0.9 mm, arrows). (C) On histopathologic evaluation, this </w:t>
      </w:r>
      <w:r w:rsidR="00025306" w:rsidRPr="002F6D75">
        <w:rPr>
          <w:rFonts w:ascii="Times New Roman" w:hAnsi="Times New Roman" w:cs="Times New Roman"/>
          <w:sz w:val="24"/>
          <w:szCs w:val="24"/>
        </w:rPr>
        <w:t xml:space="preserve">lesion </w:t>
      </w:r>
      <w:r w:rsidRPr="002F6D75">
        <w:rPr>
          <w:rFonts w:ascii="Times New Roman" w:hAnsi="Times New Roman" w:cs="Times New Roman"/>
          <w:sz w:val="24"/>
          <w:szCs w:val="24"/>
        </w:rPr>
        <w:t>was proven to be bronchiolar-alveolar hyperplasia. Alveolar walls were lined by cuboidal to tall columnar cells (arrows) (H&amp;E, ×200).</w:t>
      </w:r>
    </w:p>
    <w:p w14:paraId="16677691" w14:textId="1E6F91E0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E28C1AD" wp14:editId="04F396ED">
            <wp:extent cx="5727700" cy="5118100"/>
            <wp:effectExtent l="0" t="0" r="6350" b="6350"/>
            <wp:docPr id="1989266194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1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C0FC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528E86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3DFD8F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418B31" w14:textId="0482F8AB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8A732A" w14:textId="6D70F131" w:rsidR="000F0FE0" w:rsidRPr="002F6D75" w:rsidRDefault="000F0FE0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3C5B4A" w14:textId="0EE3198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F</w:t>
      </w:r>
      <w:r w:rsidRPr="002F6D75">
        <w:rPr>
          <w:rFonts w:ascii="Times New Roman" w:hAnsi="Times New Roman" w:cs="Times New Roman"/>
          <w:sz w:val="24"/>
          <w:szCs w:val="24"/>
        </w:rPr>
        <w:t xml:space="preserve">ig. 8. CT images and the histopathologic findings of bronchiolar-alveolar hyperplasia. (A) Axial chest CT image taken after 10 weeks from the first tracheal instillations; there was a 0.3-mm ground-glass nodule in the right posterior lobe (arrows). (B) Axial CT image after 40 weeks; the nodule size increased (0.5 mm, arrows). (C) On histopathologic evaluation, this </w:t>
      </w:r>
      <w:r w:rsidR="00025306" w:rsidRPr="002F6D75">
        <w:rPr>
          <w:rFonts w:ascii="Times New Roman" w:hAnsi="Times New Roman" w:cs="Times New Roman"/>
          <w:sz w:val="24"/>
          <w:szCs w:val="24"/>
        </w:rPr>
        <w:t xml:space="preserve">lesion </w:t>
      </w:r>
      <w:r w:rsidRPr="002F6D75">
        <w:rPr>
          <w:rFonts w:ascii="Times New Roman" w:hAnsi="Times New Roman" w:cs="Times New Roman"/>
          <w:sz w:val="24"/>
          <w:szCs w:val="24"/>
        </w:rPr>
        <w:t>was proven to be bronchiolar-alveolar hyperplasia. The lesion shows indistinct borders. Alveolar walls were lined by cuboidal to tall columnar cells (arrows) (H&amp;E, ×200).</w:t>
      </w:r>
    </w:p>
    <w:p w14:paraId="06A498CD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2F88BC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BCE73C" w14:textId="63DBE6A1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noProof/>
          <w:sz w:val="24"/>
          <w:szCs w:val="24"/>
          <w:lang w:val="en-IN" w:eastAsia="en-IN"/>
        </w:rPr>
        <w:drawing>
          <wp:inline distT="0" distB="0" distL="0" distR="0" wp14:anchorId="062BA69A" wp14:editId="5571AC80">
            <wp:extent cx="5727700" cy="5048250"/>
            <wp:effectExtent l="0" t="0" r="6350" b="0"/>
            <wp:docPr id="309559762" name="그림 12" descr="스크린샷, 예술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59762" name="그림 12" descr="스크린샷, 예술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D26C8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503D2C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C970D0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B48399" w14:textId="2AF69AD6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F</w:t>
      </w:r>
      <w:r w:rsidRPr="002F6D75">
        <w:rPr>
          <w:rFonts w:ascii="Times New Roman" w:hAnsi="Times New Roman" w:cs="Times New Roman"/>
          <w:sz w:val="24"/>
          <w:szCs w:val="24"/>
        </w:rPr>
        <w:t>ig. 9. The summary of the experimental design.</w:t>
      </w:r>
    </w:p>
    <w:p w14:paraId="630E0303" w14:textId="5BB01E01" w:rsidR="00A54966" w:rsidRPr="002F6D75" w:rsidRDefault="00521043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E7BFDBC" wp14:editId="416E73D3">
            <wp:extent cx="5731510" cy="4016375"/>
            <wp:effectExtent l="0" t="0" r="2540" b="3175"/>
            <wp:docPr id="12" name="그림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BE39D9-6750-4A5F-B915-E8F0BC7716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0BE39D9-6750-4A5F-B915-E8F0BC7716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DC509" w14:textId="56289D9C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D7455A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47BD24" w14:textId="66CB7AD4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C9728C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DFD005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E7E0B6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C794FE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0A90D5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5F7E00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0780FB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982E83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7BC7B1" w14:textId="77777777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horzAnchor="margin" w:tblpXSpec="center" w:tblpY="1521"/>
        <w:tblW w:w="1025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4"/>
        <w:gridCol w:w="1300"/>
        <w:gridCol w:w="1040"/>
        <w:gridCol w:w="1110"/>
        <w:gridCol w:w="1110"/>
        <w:gridCol w:w="1066"/>
        <w:gridCol w:w="1125"/>
        <w:gridCol w:w="1012"/>
        <w:gridCol w:w="1068"/>
      </w:tblGrid>
      <w:tr w:rsidR="002F6D75" w:rsidRPr="002F6D75" w14:paraId="7B266DED" w14:textId="77777777" w:rsidTr="0019782F">
        <w:trPr>
          <w:trHeight w:val="128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9CB3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Malgun Gothic" w:eastAsia="Malgun Gothic" w:hAnsi="Malgun Gothic" w:cs="Gulim"/>
                <w:kern w:val="0"/>
                <w:sz w:val="22"/>
              </w:rPr>
            </w:pPr>
            <w:bookmarkStart w:id="0" w:name="_Hlk156864873"/>
            <w:r w:rsidRPr="002F6D75">
              <w:rPr>
                <w:rFonts w:ascii="Malgun Gothic" w:eastAsia="Malgun Gothic" w:hAnsi="Malgun Gothic" w:cs="Gulim" w:hint="eastAsia"/>
                <w:kern w:val="0"/>
                <w:sz w:val="22"/>
              </w:rPr>
              <w:t xml:space="preserve">　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678E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No tumor present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750D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Bronchiolar-alveolar hyperplasia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2B9F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Bronchiolar-alveolar adenoma/Epihelioma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3992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Carcinoma</w:t>
            </w:r>
          </w:p>
        </w:tc>
      </w:tr>
      <w:tr w:rsidR="002F6D75" w:rsidRPr="002F6D75" w14:paraId="2847073E" w14:textId="77777777" w:rsidTr="00E31FA8">
        <w:trPr>
          <w:trHeight w:val="34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41FC7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Malgun Gothic" w:eastAsia="Malgun Gothic" w:hAnsi="Malgun Gothic" w:cs="Gulim"/>
                <w:kern w:val="0"/>
                <w:sz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C061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10 weeks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0DB9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40 weeks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4CCB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10 weeks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F8BC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40 weeks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4133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10 weeks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39F0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40 weeks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820D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10 weeks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3312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40 weeks</w:t>
            </w:r>
          </w:p>
        </w:tc>
      </w:tr>
      <w:tr w:rsidR="002F6D75" w:rsidRPr="002F6D75" w14:paraId="0E4323BE" w14:textId="77777777" w:rsidTr="00E31FA8">
        <w:trPr>
          <w:trHeight w:val="5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96DC" w14:textId="7D2C0AB2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Low</w:t>
            </w:r>
            <w:r w:rsidR="00521043"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dose group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5EC0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A3A6" w14:textId="749BD851" w:rsidR="0019782F" w:rsidRPr="002F6D75" w:rsidRDefault="003D379E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EDE1E" w14:textId="62FD34CF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 of 2 rats</w:t>
            </w:r>
            <w:r w:rsidR="00E21150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D676" w14:textId="67A95915" w:rsidR="0019782F" w:rsidRPr="002F6D75" w:rsidRDefault="00E21150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6</w:t>
            </w:r>
            <w:r w:rsidR="0019782F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of 8 rats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5FD8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C412" w14:textId="3E3825ED" w:rsidR="0019782F" w:rsidRPr="002F6D75" w:rsidRDefault="005818B1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  <w:r w:rsidR="0019782F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of 8 rats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AE83E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5630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</w:tr>
      <w:tr w:rsidR="002F6D75" w:rsidRPr="002F6D75" w14:paraId="166CE508" w14:textId="77777777" w:rsidTr="00E31FA8">
        <w:trPr>
          <w:trHeight w:val="5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DB42" w14:textId="10F52CE1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Intermediate</w:t>
            </w:r>
            <w:r w:rsidR="00521043"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 xml:space="preserve"> dose group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5C66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A4B2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3362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4 of 4 rats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EDAD" w14:textId="0005BDA4" w:rsidR="0019782F" w:rsidRPr="002F6D75" w:rsidRDefault="005818B1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5</w:t>
            </w:r>
            <w:r w:rsidR="003D379E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of 6 rats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CCBB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F555" w14:textId="06FAE435" w:rsidR="0019782F" w:rsidRPr="002F6D75" w:rsidRDefault="005818B1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77B9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D6BC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</w:tr>
      <w:tr w:rsidR="002F6D75" w:rsidRPr="002F6D75" w14:paraId="4E9B0835" w14:textId="77777777" w:rsidTr="00E31FA8">
        <w:trPr>
          <w:trHeight w:val="56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BC3" w14:textId="1DA3510B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High</w:t>
            </w:r>
            <w:r w:rsidR="00521043"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dose group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B918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C515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77AA" w14:textId="2E269132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4 of </w:t>
            </w:r>
            <w:r w:rsidR="00025306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5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rats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A812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5 of 5 rats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A95C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FAB4" w14:textId="0386FD68" w:rsidR="0019782F" w:rsidRPr="002F6D75" w:rsidRDefault="005818B1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3</w:t>
            </w:r>
            <w:r w:rsidR="0019782F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 of 5 rats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7B6C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N/A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A245" w14:textId="77777777" w:rsidR="0019782F" w:rsidRPr="002F6D75" w:rsidRDefault="0019782F" w:rsidP="001978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 of 5 rats</w:t>
            </w:r>
          </w:p>
        </w:tc>
      </w:tr>
    </w:tbl>
    <w:p w14:paraId="6BDA4DE9" w14:textId="012CE318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56864865"/>
      <w:bookmarkEnd w:id="0"/>
      <w:r w:rsidRPr="002F6D75">
        <w:rPr>
          <w:rFonts w:ascii="Times New Roman" w:hAnsi="Times New Roman" w:cs="Times New Roman" w:hint="eastAsia"/>
          <w:sz w:val="24"/>
          <w:szCs w:val="24"/>
        </w:rPr>
        <w:t>S</w:t>
      </w:r>
      <w:r w:rsidRPr="002F6D75">
        <w:rPr>
          <w:rFonts w:ascii="Times New Roman" w:hAnsi="Times New Roman" w:cs="Times New Roman"/>
          <w:sz w:val="24"/>
          <w:szCs w:val="24"/>
        </w:rPr>
        <w:t xml:space="preserve">upplementary Table 1. Number of rats at each group which presented </w:t>
      </w:r>
      <w:r w:rsidR="00025306" w:rsidRPr="002F6D75">
        <w:rPr>
          <w:rFonts w:ascii="Times New Roman" w:hAnsi="Times New Roman" w:cs="Times New Roman"/>
          <w:sz w:val="24"/>
          <w:szCs w:val="24"/>
        </w:rPr>
        <w:t>neoplastic and non-neoplastic lesions</w:t>
      </w:r>
      <w:r w:rsidRPr="002F6D75">
        <w:rPr>
          <w:rFonts w:ascii="Times New Roman" w:hAnsi="Times New Roman" w:cs="Times New Roman"/>
          <w:sz w:val="24"/>
          <w:szCs w:val="24"/>
        </w:rPr>
        <w:t xml:space="preserve"> at 10 and 40 weeks</w:t>
      </w:r>
      <w:r w:rsidR="006841B2" w:rsidRPr="002F6D75">
        <w:rPr>
          <w:rFonts w:ascii="Times New Roman" w:hAnsi="Times New Roman" w:cs="Times New Roman"/>
          <w:sz w:val="24"/>
          <w:szCs w:val="24"/>
        </w:rPr>
        <w:t>.</w:t>
      </w:r>
    </w:p>
    <w:p w14:paraId="3935BF00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A0CA12" w14:textId="36C9F6E5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 w:hint="eastAsia"/>
          <w:sz w:val="24"/>
          <w:szCs w:val="24"/>
        </w:rPr>
        <w:t>N</w:t>
      </w:r>
      <w:r w:rsidRPr="002F6D75">
        <w:rPr>
          <w:rFonts w:ascii="Times New Roman" w:hAnsi="Times New Roman" w:cs="Times New Roman"/>
          <w:sz w:val="24"/>
          <w:szCs w:val="24"/>
        </w:rPr>
        <w:t>ote—N/A, not applicable.</w:t>
      </w:r>
    </w:p>
    <w:bookmarkEnd w:id="1"/>
    <w:p w14:paraId="1D36C8C3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1DB810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10C18E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9A2FEA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B47D5B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7D6924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42C8F6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33321E2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8471AE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3D6A8D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47FA47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B82DB2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5EC043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DF3A97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4B2178" w14:textId="77777777" w:rsidR="0019782F" w:rsidRPr="002F6D75" w:rsidRDefault="0019782F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9A76E1" w14:textId="625B69A4" w:rsidR="00A54966" w:rsidRPr="002F6D75" w:rsidRDefault="00A54966" w:rsidP="00A549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6D7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F6D75">
        <w:rPr>
          <w:rFonts w:ascii="Times New Roman" w:hAnsi="Times New Roman" w:cs="Times New Roman" w:hint="eastAsia"/>
          <w:sz w:val="24"/>
          <w:szCs w:val="24"/>
        </w:rPr>
        <w:t>T</w:t>
      </w:r>
      <w:r w:rsidRPr="002F6D75">
        <w:rPr>
          <w:rFonts w:ascii="Times New Roman" w:hAnsi="Times New Roman" w:cs="Times New Roman"/>
          <w:sz w:val="24"/>
          <w:szCs w:val="24"/>
        </w:rPr>
        <w:t xml:space="preserve">able </w:t>
      </w:r>
      <w:r w:rsidR="0019782F" w:rsidRPr="002F6D75">
        <w:rPr>
          <w:rFonts w:ascii="Times New Roman" w:hAnsi="Times New Roman" w:cs="Times New Roman"/>
          <w:sz w:val="24"/>
          <w:szCs w:val="24"/>
        </w:rPr>
        <w:t>2</w:t>
      </w:r>
      <w:r w:rsidRPr="002F6D75">
        <w:rPr>
          <w:rFonts w:ascii="Times New Roman" w:hAnsi="Times New Roman" w:cs="Times New Roman"/>
          <w:sz w:val="24"/>
          <w:szCs w:val="24"/>
        </w:rPr>
        <w:t>. The results of lesion-to-lesion analysis of all pathologically proven lung tumors after 40 weeks from the first intratracheal instillation.</w:t>
      </w:r>
    </w:p>
    <w:tbl>
      <w:tblPr>
        <w:tblW w:w="1138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08"/>
        <w:gridCol w:w="1422"/>
        <w:gridCol w:w="993"/>
        <w:gridCol w:w="992"/>
        <w:gridCol w:w="992"/>
        <w:gridCol w:w="992"/>
        <w:gridCol w:w="1134"/>
        <w:gridCol w:w="993"/>
        <w:gridCol w:w="2461"/>
      </w:tblGrid>
      <w:tr w:rsidR="002F6D75" w:rsidRPr="002F6D75" w14:paraId="19A6CC3D" w14:textId="77777777" w:rsidTr="00520066">
        <w:trPr>
          <w:trHeight w:val="1156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F6B0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Pathology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FA5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30B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Total number of tumors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2ED20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Number of tumors detected after 10 weeks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A10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Mean size after 10 weeks (mm)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0FFB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Mean size after 40 weeks (mm)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F644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Size change</w:t>
            </w:r>
          </w:p>
        </w:tc>
      </w:tr>
      <w:tr w:rsidR="002F6D75" w:rsidRPr="002F6D75" w14:paraId="5964E6BD" w14:textId="77777777" w:rsidTr="00520066">
        <w:trPr>
          <w:trHeight w:val="896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0ED6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Bronchiolar-alveolar hyperplasia</w:t>
            </w:r>
          </w:p>
          <w:p w14:paraId="30A3F6F1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22"/>
              </w:rPr>
              <w:t>(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n=107)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5552B" w14:textId="67F094D0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Low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0F6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82EB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16 (84.2%)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515F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0.68±0.36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7BB3C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P=</w:t>
            </w: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0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.022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6A9DC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0.72±0.22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F5E8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P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&lt;0.001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03FC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10 (62.5%)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Decreased: 4 (25%)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No change: 2 (12.5%)</w:t>
            </w:r>
          </w:p>
        </w:tc>
      </w:tr>
      <w:tr w:rsidR="002F6D75" w:rsidRPr="002F6D75" w14:paraId="0898B10C" w14:textId="77777777" w:rsidTr="00520066">
        <w:trPr>
          <w:trHeight w:val="896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B4C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91C00" w14:textId="1389E068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Intermediate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40BA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110B1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40 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212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0.78±0.31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6C09E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330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0.73±0.21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9A3C1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BD649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9 (22.5%)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Decreased: 12 (30%)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No change: 19 (47.5%)</w:t>
            </w:r>
          </w:p>
        </w:tc>
      </w:tr>
      <w:tr w:rsidR="002F6D75" w:rsidRPr="002F6D75" w14:paraId="5ED1176D" w14:textId="77777777" w:rsidTr="00520066">
        <w:trPr>
          <w:trHeight w:val="896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DD0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7E37B" w14:textId="2B72BE63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High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B748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A179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48 (100%)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75B1C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1.23±1.43</w:t>
            </w:r>
            <w:r w:rsidRPr="002F6D75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t>*†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32F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3EA7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1.27±0.79</w:t>
            </w:r>
            <w:r w:rsidRPr="002F6D75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t>*†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361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C56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27 (56.3%)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Decreased: 13 (27.1%)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br/>
              <w:t>No change: 8 (16.7%)</w:t>
            </w:r>
          </w:p>
        </w:tc>
      </w:tr>
      <w:tr w:rsidR="002F6D75" w:rsidRPr="002F6D75" w14:paraId="14F3FF30" w14:textId="77777777" w:rsidTr="00520066">
        <w:trPr>
          <w:trHeight w:val="327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CA43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Bronchiolar-alveolar adenoma</w:t>
            </w:r>
          </w:p>
          <w:p w14:paraId="46B48FD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22"/>
              </w:rPr>
              <w:t>(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n=3)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03934" w14:textId="6BFEB62D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Low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F358A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5CB1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 (100%)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C4681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9C25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0.8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07638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1 (100%)</w:t>
            </w:r>
          </w:p>
        </w:tc>
      </w:tr>
      <w:tr w:rsidR="002F6D75" w:rsidRPr="002F6D75" w14:paraId="3B52B1ED" w14:textId="77777777" w:rsidTr="00520066">
        <w:trPr>
          <w:trHeight w:val="32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9AC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C4D17" w14:textId="259FD0DD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Intermediate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423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6660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43F8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51D8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B23A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</w:tr>
      <w:tr w:rsidR="002F6D75" w:rsidRPr="002F6D75" w14:paraId="602C9B8A" w14:textId="77777777" w:rsidTr="00520066">
        <w:trPr>
          <w:trHeight w:val="32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B426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1AF3" w14:textId="7F1C7324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High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2D3F0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97B19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 (100%)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450EA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0.25±0.71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0EAE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2.15±0.63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FE40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2 (100%)</w:t>
            </w:r>
          </w:p>
        </w:tc>
      </w:tr>
      <w:tr w:rsidR="002F6D75" w:rsidRPr="002F6D75" w14:paraId="7F748AEA" w14:textId="77777777" w:rsidTr="00520066">
        <w:trPr>
          <w:trHeight w:val="327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7EEA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Epithelioma</w:t>
            </w:r>
          </w:p>
          <w:p w14:paraId="0A6B374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22"/>
              </w:rPr>
              <w:t>(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n=2)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E0D4" w14:textId="017A2983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Low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F68A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2D79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6BF6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B878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DA4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</w:tr>
      <w:tr w:rsidR="002F6D75" w:rsidRPr="002F6D75" w14:paraId="5F90CDBA" w14:textId="77777777" w:rsidTr="00520066">
        <w:trPr>
          <w:trHeight w:val="32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22AF8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73E97" w14:textId="46973CC3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Intermediate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002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85F3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A9D7A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7FD86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6045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</w:tr>
      <w:tr w:rsidR="002F6D75" w:rsidRPr="002F6D75" w14:paraId="772F62E9" w14:textId="77777777" w:rsidTr="00520066">
        <w:trPr>
          <w:trHeight w:val="32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12FC9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31C57" w14:textId="3302EB32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High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32C2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1488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 (100%)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439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1.05±0.07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2765C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2.45±0.64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368FD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2 (100%)</w:t>
            </w:r>
          </w:p>
        </w:tc>
      </w:tr>
      <w:tr w:rsidR="002F6D75" w:rsidRPr="002F6D75" w14:paraId="1BC5AF68" w14:textId="77777777" w:rsidTr="00520066">
        <w:trPr>
          <w:trHeight w:val="327"/>
          <w:jc w:val="center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7CE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>Carcinoma</w:t>
            </w:r>
          </w:p>
          <w:p w14:paraId="44AE984A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b/>
                <w:bCs/>
                <w:kern w:val="0"/>
                <w:sz w:val="22"/>
              </w:rPr>
              <w:t>(</w:t>
            </w:r>
            <w:r w:rsidRPr="002F6D75"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  <w:t xml:space="preserve">n=33)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517C9" w14:textId="1205A0C1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Low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dose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E701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F9FD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3C16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EDB56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736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</w:tr>
      <w:tr w:rsidR="002F6D75" w:rsidRPr="002F6D75" w14:paraId="4EF31C4D" w14:textId="77777777" w:rsidTr="00520066">
        <w:trPr>
          <w:trHeight w:val="32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F2F7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39A76" w14:textId="7CF4B971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Intermediate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98B91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C065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B9763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B86E9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3593B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2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/A</w:t>
            </w:r>
          </w:p>
        </w:tc>
      </w:tr>
      <w:tr w:rsidR="002F6D75" w:rsidRPr="002F6D75" w14:paraId="440717D7" w14:textId="77777777" w:rsidTr="00520066">
        <w:trPr>
          <w:trHeight w:val="337"/>
          <w:jc w:val="center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971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DC3B0" w14:textId="537B2022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High</w:t>
            </w:r>
            <w:r w:rsidR="00521043"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-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dose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92694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9EE7A" w14:textId="358C8A66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EC21F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6.73±3.10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9E639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17.77±12.35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1CCB5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 w:val="22"/>
              </w:rPr>
            </w:pPr>
            <w:r w:rsidRPr="002F6D75">
              <w:rPr>
                <w:rFonts w:ascii="Times New Roman" w:eastAsia="Malgun Gothic" w:hAnsi="Times New Roman" w:cs="Times New Roman"/>
                <w:kern w:val="0"/>
                <w:sz w:val="22"/>
              </w:rPr>
              <w:t>Increased: 3 (100%)</w:t>
            </w:r>
          </w:p>
        </w:tc>
      </w:tr>
      <w:tr w:rsidR="00A54966" w:rsidRPr="002F6D75" w14:paraId="09A65504" w14:textId="77777777" w:rsidTr="00520066">
        <w:trPr>
          <w:trHeight w:val="327"/>
          <w:jc w:val="center"/>
        </w:trPr>
        <w:tc>
          <w:tcPr>
            <w:tcW w:w="1138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A7602" w14:textId="77777777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</w:pPr>
            <w:r w:rsidRPr="002F6D75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t>*P&lt;0.05 (vs. low-dose group)</w:t>
            </w:r>
            <w:r w:rsidRPr="002F6D75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br/>
              <w:t>†P&lt;0.05 (vs. intermed</w:t>
            </w:r>
            <w:bookmarkStart w:id="2" w:name="_GoBack"/>
            <w:bookmarkEnd w:id="2"/>
            <w:r w:rsidRPr="002F6D75"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  <w:t>iate-dose group)</w:t>
            </w:r>
          </w:p>
          <w:p w14:paraId="0268CDA8" w14:textId="2784C98C" w:rsidR="00A54966" w:rsidRPr="002F6D75" w:rsidRDefault="00A54966" w:rsidP="0052006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  <w:r w:rsidRPr="002F6D75">
              <w:rPr>
                <w:rFonts w:ascii="Times New Roman" w:eastAsia="Malgun Gothic" w:hAnsi="Times New Roman" w:cs="Times New Roman" w:hint="eastAsia"/>
                <w:kern w:val="0"/>
                <w:sz w:val="24"/>
                <w:szCs w:val="24"/>
              </w:rPr>
              <w:t>N</w:t>
            </w:r>
            <w:r w:rsidRPr="002F6D75">
              <w:rPr>
                <w:rFonts w:ascii="Times New Roman" w:eastAsia="Malgun Gothic" w:hAnsi="Times New Roman" w:cs="Times New Roman"/>
                <w:kern w:val="0"/>
                <w:sz w:val="24"/>
                <w:szCs w:val="24"/>
              </w:rPr>
              <w:t>/A, not applicable.</w:t>
            </w:r>
          </w:p>
        </w:tc>
      </w:tr>
    </w:tbl>
    <w:p w14:paraId="6DFC1CF7" w14:textId="5CC01961" w:rsidR="00A54966" w:rsidRPr="002F6D75" w:rsidRDefault="00A54966" w:rsidP="00E31FA8">
      <w:pPr>
        <w:widowControl/>
        <w:wordWrap/>
        <w:autoSpaceDE/>
        <w:autoSpaceDN/>
      </w:pPr>
    </w:p>
    <w:sectPr w:rsidR="00A54966" w:rsidRPr="002F6D75" w:rsidSect="002F6D75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85DF4" w14:textId="77777777" w:rsidR="000E3568" w:rsidRDefault="000E3568" w:rsidP="00FF7D72">
      <w:pPr>
        <w:spacing w:after="0" w:line="240" w:lineRule="auto"/>
      </w:pPr>
      <w:r>
        <w:separator/>
      </w:r>
    </w:p>
  </w:endnote>
  <w:endnote w:type="continuationSeparator" w:id="0">
    <w:p w14:paraId="57B3CA75" w14:textId="77777777" w:rsidR="000E3568" w:rsidRDefault="000E3568" w:rsidP="00FF7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F0779" w14:textId="77777777" w:rsidR="000E3568" w:rsidRDefault="000E3568" w:rsidP="00FF7D72">
      <w:pPr>
        <w:spacing w:after="0" w:line="240" w:lineRule="auto"/>
      </w:pPr>
      <w:r>
        <w:separator/>
      </w:r>
    </w:p>
  </w:footnote>
  <w:footnote w:type="continuationSeparator" w:id="0">
    <w:p w14:paraId="5725A5F4" w14:textId="77777777" w:rsidR="000E3568" w:rsidRDefault="000E3568" w:rsidP="00FF7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966"/>
    <w:rsid w:val="00025306"/>
    <w:rsid w:val="000855C9"/>
    <w:rsid w:val="000E3568"/>
    <w:rsid w:val="000F0FE0"/>
    <w:rsid w:val="0019782F"/>
    <w:rsid w:val="002A6B30"/>
    <w:rsid w:val="002F6D75"/>
    <w:rsid w:val="003062AF"/>
    <w:rsid w:val="00326B27"/>
    <w:rsid w:val="003D379E"/>
    <w:rsid w:val="004B6404"/>
    <w:rsid w:val="00521043"/>
    <w:rsid w:val="005818B1"/>
    <w:rsid w:val="005C2EB1"/>
    <w:rsid w:val="006841B2"/>
    <w:rsid w:val="006D03DF"/>
    <w:rsid w:val="007202CD"/>
    <w:rsid w:val="0080387F"/>
    <w:rsid w:val="008319F3"/>
    <w:rsid w:val="008B384B"/>
    <w:rsid w:val="00A54966"/>
    <w:rsid w:val="00BE35FB"/>
    <w:rsid w:val="00C17749"/>
    <w:rsid w:val="00C438E2"/>
    <w:rsid w:val="00C57BA9"/>
    <w:rsid w:val="00E21150"/>
    <w:rsid w:val="00E31FA8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BA3EFD"/>
  <w15:chartTrackingRefBased/>
  <w15:docId w15:val="{A808DDB7-98A9-4F67-9F14-DBF7A296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96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D7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7D72"/>
  </w:style>
  <w:style w:type="paragraph" w:styleId="Footer">
    <w:name w:val="footer"/>
    <w:basedOn w:val="Normal"/>
    <w:link w:val="FooterChar"/>
    <w:uiPriority w:val="99"/>
    <w:unhideWhenUsed/>
    <w:rsid w:val="00FF7D7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7D72"/>
  </w:style>
  <w:style w:type="character" w:styleId="CommentReference">
    <w:name w:val="annotation reference"/>
    <w:basedOn w:val="DefaultParagraphFont"/>
    <w:uiPriority w:val="99"/>
    <w:semiHidden/>
    <w:unhideWhenUsed/>
    <w:rsid w:val="004B64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640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B640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404"/>
    <w:rPr>
      <w:b/>
      <w:bCs/>
    </w:rPr>
  </w:style>
  <w:style w:type="paragraph" w:styleId="Revision">
    <w:name w:val="Revision"/>
    <w:hidden/>
    <w:uiPriority w:val="99"/>
    <w:semiHidden/>
    <w:rsid w:val="0019782F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1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Dhanalakshmi Vairavan</cp:lastModifiedBy>
  <cp:revision>3</cp:revision>
  <dcterms:created xsi:type="dcterms:W3CDTF">2024-01-30T00:49:00Z</dcterms:created>
  <dcterms:modified xsi:type="dcterms:W3CDTF">2024-03-21T06:32:00Z</dcterms:modified>
</cp:coreProperties>
</file>