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34B" w:rsidRDefault="0062761E">
      <w:pPr>
        <w:rPr>
          <w:rFonts w:ascii="Arial" w:eastAsia="Arial" w:hAnsi="Arial" w:cs="Arial"/>
          <w:sz w:val="24"/>
          <w:szCs w:val="24"/>
        </w:rPr>
      </w:pPr>
      <w:bookmarkStart w:id="0" w:name="_GoBack"/>
      <w:r>
        <w:rPr>
          <w:rFonts w:ascii="Arial" w:eastAsia="Arial" w:hAnsi="Arial" w:cs="Arial"/>
          <w:b/>
          <w:sz w:val="24"/>
          <w:szCs w:val="24"/>
        </w:rPr>
        <w:t>Supplementary figures:</w:t>
      </w:r>
    </w:p>
    <w:p w:rsidR="00D6134B" w:rsidRDefault="00D6134B">
      <w:pPr>
        <w:rPr>
          <w:rFonts w:ascii="Arial" w:eastAsia="Arial" w:hAnsi="Arial" w:cs="Arial"/>
          <w:sz w:val="24"/>
          <w:szCs w:val="24"/>
        </w:rPr>
      </w:pPr>
    </w:p>
    <w:p w:rsidR="00D6134B" w:rsidRDefault="0062761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114300" distB="114300" distL="114300" distR="114300">
            <wp:extent cx="5760600" cy="43180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60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134B" w:rsidRDefault="0062761E">
      <w:pPr>
        <w:spacing w:after="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Figure S1</w:t>
      </w:r>
      <w:r>
        <w:rPr>
          <w:rFonts w:ascii="Arial" w:eastAsia="Arial" w:hAnsi="Arial" w:cs="Arial"/>
          <w:i/>
        </w:rPr>
        <w:t>: LDA analysis: calculation of the most discriminating variables between HV and MS patients for A: Oral microbiome taxonomy, B:  Fecal microbiome taxonomy, C: Oral microbiome-derived metabolites bioavailability, D: Fecal microbiome-derived metabolites bioa</w:t>
      </w:r>
      <w:r>
        <w:rPr>
          <w:rFonts w:ascii="Arial" w:eastAsia="Arial" w:hAnsi="Arial" w:cs="Arial"/>
          <w:i/>
        </w:rPr>
        <w:t>vailability</w:t>
      </w:r>
      <w:r>
        <w:br w:type="page"/>
      </w:r>
    </w:p>
    <w:p w:rsidR="00D6134B" w:rsidRDefault="0062761E">
      <w:pPr>
        <w:spacing w:after="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  <w:noProof/>
        </w:rPr>
        <w:lastRenderedPageBreak/>
        <w:drawing>
          <wp:inline distT="114300" distB="114300" distL="114300" distR="114300">
            <wp:extent cx="5760600" cy="52578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600" cy="525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134B" w:rsidRDefault="0062761E">
      <w:pPr>
        <w:spacing w:after="0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Figure S</w:t>
      </w:r>
      <w:r>
        <w:rPr>
          <w:rFonts w:ascii="Arial" w:eastAsia="Arial" w:hAnsi="Arial" w:cs="Arial"/>
          <w:b/>
          <w:i/>
        </w:rPr>
        <w:t>2</w:t>
      </w:r>
      <w:r>
        <w:rPr>
          <w:rFonts w:ascii="Arial" w:eastAsia="Arial" w:hAnsi="Arial" w:cs="Arial"/>
          <w:i/>
          <w:color w:val="000000"/>
        </w:rPr>
        <w:t xml:space="preserve">: Fecal diversity indices: </w:t>
      </w:r>
      <w:r>
        <w:rPr>
          <w:rFonts w:ascii="Arial" w:eastAsia="Arial" w:hAnsi="Arial" w:cs="Arial"/>
          <w:i/>
        </w:rPr>
        <w:t>α</w:t>
      </w:r>
      <w:r>
        <w:rPr>
          <w:rFonts w:ascii="Arial" w:eastAsia="Arial" w:hAnsi="Arial" w:cs="Arial"/>
          <w:i/>
          <w:color w:val="000000"/>
        </w:rPr>
        <w:t xml:space="preserve"> diversity and Shannon indices are not different between MS and HV (A, B)</w:t>
      </w:r>
      <w:r>
        <w:rPr>
          <w:rFonts w:ascii="Arial" w:eastAsia="Arial" w:hAnsi="Arial" w:cs="Arial"/>
          <w:i/>
        </w:rPr>
        <w:t>. Bars represent standard deviation (SD)</w:t>
      </w:r>
      <w:r>
        <w:rPr>
          <w:rFonts w:ascii="Arial" w:eastAsia="Arial" w:hAnsi="Arial" w:cs="Arial"/>
          <w:i/>
          <w:color w:val="000000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β</w:t>
      </w:r>
      <w:r>
        <w:rPr>
          <w:rFonts w:ascii="Arial" w:eastAsia="Arial" w:hAnsi="Arial" w:cs="Arial"/>
          <w:i/>
        </w:rPr>
        <w:t>-diversity PERMANOVA</w:t>
      </w:r>
      <w:r>
        <w:rPr>
          <w:rFonts w:ascii="Arial" w:eastAsia="Arial" w:hAnsi="Arial" w:cs="Arial"/>
          <w:i/>
          <w:color w:val="000000"/>
        </w:rPr>
        <w:t xml:space="preserve"> analysis </w:t>
      </w:r>
      <w:r>
        <w:rPr>
          <w:rFonts w:ascii="Arial" w:eastAsia="Arial" w:hAnsi="Arial" w:cs="Arial"/>
          <w:i/>
        </w:rPr>
        <w:t>showed differences in the overall microbiome of MS patient</w:t>
      </w:r>
      <w:r>
        <w:rPr>
          <w:rFonts w:ascii="Arial" w:eastAsia="Arial" w:hAnsi="Arial" w:cs="Arial"/>
          <w:i/>
        </w:rPr>
        <w:t xml:space="preserve">s compared to HV, </w:t>
      </w:r>
      <w:r>
        <w:rPr>
          <w:rFonts w:ascii="Arial" w:eastAsia="Arial" w:hAnsi="Arial" w:cs="Arial"/>
          <w:i/>
          <w:color w:val="000000"/>
        </w:rPr>
        <w:t>confirm</w:t>
      </w:r>
      <w:r>
        <w:rPr>
          <w:rFonts w:ascii="Arial" w:eastAsia="Arial" w:hAnsi="Arial" w:cs="Arial"/>
          <w:i/>
        </w:rPr>
        <w:t>ing</w:t>
      </w:r>
      <w:r>
        <w:rPr>
          <w:rFonts w:ascii="Arial" w:eastAsia="Arial" w:hAnsi="Arial" w:cs="Arial"/>
          <w:i/>
          <w:color w:val="000000"/>
        </w:rPr>
        <w:t xml:space="preserve"> dys</w:t>
      </w:r>
      <w:r>
        <w:rPr>
          <w:rFonts w:ascii="Arial" w:eastAsia="Arial" w:hAnsi="Arial" w:cs="Arial"/>
          <w:i/>
        </w:rPr>
        <w:t xml:space="preserve">biosis state in the gut of MS patients (C, p&lt;0.05). </w:t>
      </w:r>
      <w:r>
        <w:rPr>
          <w:rFonts w:ascii="Arial" w:eastAsia="Arial" w:hAnsi="Arial" w:cs="Arial"/>
          <w:i/>
          <w:color w:val="000000"/>
        </w:rPr>
        <w:t xml:space="preserve">Shannon index from feces microbiome is not associated with age (D). </w:t>
      </w:r>
      <w:r>
        <w:rPr>
          <w:rFonts w:ascii="Arial" w:eastAsia="Arial" w:hAnsi="Arial" w:cs="Arial"/>
          <w:sz w:val="24"/>
          <w:szCs w:val="24"/>
        </w:rPr>
        <w:t>β</w:t>
      </w:r>
      <w:r>
        <w:rPr>
          <w:rFonts w:ascii="Arial" w:eastAsia="Arial" w:hAnsi="Arial" w:cs="Arial"/>
          <w:i/>
        </w:rPr>
        <w:t>-</w:t>
      </w:r>
      <w:r>
        <w:rPr>
          <w:rFonts w:ascii="Arial" w:eastAsia="Arial" w:hAnsi="Arial" w:cs="Arial"/>
          <w:i/>
          <w:color w:val="000000"/>
        </w:rPr>
        <w:t xml:space="preserve">diversity </w:t>
      </w:r>
      <w:r>
        <w:rPr>
          <w:rFonts w:ascii="Arial" w:eastAsia="Arial" w:hAnsi="Arial" w:cs="Arial"/>
          <w:i/>
        </w:rPr>
        <w:t>PERMANOVA</w:t>
      </w:r>
      <w:r>
        <w:rPr>
          <w:rFonts w:ascii="Arial" w:eastAsia="Arial" w:hAnsi="Arial" w:cs="Arial"/>
          <w:i/>
          <w:color w:val="000000"/>
        </w:rPr>
        <w:t xml:space="preserve"> analysis. </w:t>
      </w:r>
    </w:p>
    <w:p w:rsidR="00D6134B" w:rsidRDefault="0062761E">
      <w:pPr>
        <w:rPr>
          <w:rFonts w:ascii="Arial" w:eastAsia="Arial" w:hAnsi="Arial" w:cs="Arial"/>
          <w:i/>
        </w:rPr>
      </w:pPr>
      <w:r>
        <w:br w:type="page"/>
      </w:r>
    </w:p>
    <w:p w:rsidR="00D6134B" w:rsidRDefault="0062761E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lastRenderedPageBreak/>
        <w:drawing>
          <wp:inline distT="114300" distB="114300" distL="114300" distR="114300">
            <wp:extent cx="5760600" cy="28321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600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134B" w:rsidRDefault="0062761E">
      <w:pPr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</w:rPr>
        <w:t>Figure S3</w:t>
      </w:r>
      <w:r>
        <w:rPr>
          <w:rFonts w:ascii="Arial" w:eastAsia="Arial" w:hAnsi="Arial" w:cs="Arial"/>
          <w:i/>
        </w:rPr>
        <w:t>: qPCR relative quantification of gene copy number of A: Oral nitrite reductase and B: Fecal Spermidine synthase, predicted to be altered in MS by Picrust analysis</w:t>
      </w:r>
      <w:r>
        <w:br w:type="page"/>
      </w:r>
    </w:p>
    <w:p w:rsidR="00D6134B" w:rsidRDefault="00D613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134B" w:rsidRDefault="0062761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>
            <wp:extent cx="5760600" cy="65024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600" cy="650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134B" w:rsidRDefault="00D6134B">
      <w:pPr>
        <w:spacing w:after="0"/>
        <w:jc w:val="both"/>
        <w:rPr>
          <w:rFonts w:ascii="Arial" w:eastAsia="Arial" w:hAnsi="Arial" w:cs="Arial"/>
        </w:rPr>
      </w:pPr>
    </w:p>
    <w:p w:rsidR="00D6134B" w:rsidRDefault="0062761E">
      <w:pPr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Figure S</w:t>
      </w:r>
      <w:r>
        <w:rPr>
          <w:rFonts w:ascii="Arial" w:eastAsia="Arial" w:hAnsi="Arial" w:cs="Arial"/>
          <w:b/>
          <w:i/>
        </w:rPr>
        <w:t>4</w:t>
      </w:r>
      <w:r>
        <w:rPr>
          <w:rFonts w:ascii="Arial" w:eastAsia="Arial" w:hAnsi="Arial" w:cs="Arial"/>
          <w:i/>
          <w:color w:val="000000"/>
        </w:rPr>
        <w:t xml:space="preserve">: Levels of metabolic reconstruction for each individual. </w:t>
      </w:r>
      <w:r>
        <w:rPr>
          <w:rFonts w:ascii="Arial" w:eastAsia="Arial" w:hAnsi="Arial" w:cs="Arial"/>
          <w:i/>
        </w:rPr>
        <w:t>Bacterial metabolism</w:t>
      </w:r>
      <w:r>
        <w:rPr>
          <w:rFonts w:ascii="Arial" w:eastAsia="Arial" w:hAnsi="Arial" w:cs="Arial"/>
          <w:i/>
        </w:rPr>
        <w:t xml:space="preserve"> models were merged together and pondered to reflect the abundance of each bacteria for a given individual. </w:t>
      </w:r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>A</w:t>
      </w:r>
      <w:r>
        <w:rPr>
          <w:rFonts w:ascii="Arial" w:eastAsia="Arial" w:hAnsi="Arial" w:cs="Arial"/>
          <w:i/>
          <w:color w:val="000000"/>
        </w:rPr>
        <w:t xml:space="preserve">: Oral microbial metabolism reconstruction, </w:t>
      </w:r>
      <w:r>
        <w:rPr>
          <w:rFonts w:ascii="Arial" w:eastAsia="Arial" w:hAnsi="Arial" w:cs="Arial"/>
          <w:b/>
          <w:i/>
          <w:color w:val="000000"/>
        </w:rPr>
        <w:t>B</w:t>
      </w:r>
      <w:r>
        <w:rPr>
          <w:rFonts w:ascii="Arial" w:eastAsia="Arial" w:hAnsi="Arial" w:cs="Arial"/>
          <w:i/>
          <w:color w:val="000000"/>
        </w:rPr>
        <w:t>: Fecal microbial metabolism reconstructions.</w:t>
      </w:r>
    </w:p>
    <w:bookmarkEnd w:id="0"/>
    <w:p w:rsidR="00D6134B" w:rsidRDefault="00D6134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6134B" w:rsidSect="0062761E">
      <w:headerReference w:type="default" r:id="rId11"/>
      <w:footerReference w:type="default" r:id="rId12"/>
      <w:pgSz w:w="12240" w:h="15840"/>
      <w:pgMar w:top="1440" w:right="1609" w:bottom="1440" w:left="1559" w:header="720" w:footer="58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2761E">
      <w:pPr>
        <w:spacing w:after="0"/>
      </w:pPr>
      <w:r>
        <w:separator/>
      </w:r>
    </w:p>
  </w:endnote>
  <w:endnote w:type="continuationSeparator" w:id="0">
    <w:p w:rsidR="00000000" w:rsidRDefault="006276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4B" w:rsidRDefault="006276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D6134B" w:rsidRDefault="00D613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2761E">
      <w:pPr>
        <w:spacing w:after="0"/>
      </w:pPr>
      <w:r>
        <w:separator/>
      </w:r>
    </w:p>
  </w:footnote>
  <w:footnote w:type="continuationSeparator" w:id="0">
    <w:p w:rsidR="00000000" w:rsidRDefault="006276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4B" w:rsidRDefault="00D6134B">
    <w:pPr>
      <w:jc w:val="right"/>
      <w:rPr>
        <w:sz w:val="20"/>
        <w:szCs w:val="20"/>
      </w:rPr>
    </w:pPr>
  </w:p>
  <w:p w:rsidR="00D6134B" w:rsidRDefault="00D613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4B"/>
    <w:rsid w:val="0062761E"/>
    <w:rsid w:val="00D6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0C07E3-6248-4520-92F9-E11B32AC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 w:line="480" w:lineRule="auto"/>
      <w:jc w:val="both"/>
      <w:outlineLvl w:val="0"/>
    </w:pPr>
    <w:rPr>
      <w:rFonts w:ascii="Arial" w:eastAsia="Arial" w:hAnsi="Arial" w:cs="Arial"/>
      <w:b/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F9170-8BF7-49E1-9943-48BBE22C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Vanitha M.</cp:lastModifiedBy>
  <cp:revision>2</cp:revision>
  <dcterms:created xsi:type="dcterms:W3CDTF">2024-03-24T07:49:00Z</dcterms:created>
  <dcterms:modified xsi:type="dcterms:W3CDTF">2024-03-24T07:50:00Z</dcterms:modified>
</cp:coreProperties>
</file>