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8F398" w14:textId="77777777" w:rsidR="00384B71" w:rsidRDefault="00384B71" w:rsidP="00384B71"/>
    <w:p w14:paraId="3955E450" w14:textId="77777777" w:rsidR="00384B71" w:rsidRDefault="00384B71" w:rsidP="00384B71"/>
    <w:p w14:paraId="1B8590BE" w14:textId="1F5C6716" w:rsidR="00393D01" w:rsidRPr="004A3B37" w:rsidRDefault="00393D01">
      <w:pPr>
        <w:rPr>
          <w:rFonts w:ascii="Times New Roman" w:hAnsi="Times New Roman" w:cs="Times New Roman"/>
        </w:rPr>
      </w:pPr>
      <w:r w:rsidRPr="004A3B37">
        <w:rPr>
          <w:rFonts w:ascii="Times New Roman" w:hAnsi="Times New Roman" w:cs="Times New Roman"/>
          <w:b/>
          <w:bCs/>
        </w:rPr>
        <w:t xml:space="preserve">Supplementary </w:t>
      </w:r>
      <w:r w:rsidR="00764997" w:rsidRPr="004A3B37">
        <w:rPr>
          <w:rFonts w:ascii="Times New Roman" w:hAnsi="Times New Roman" w:cs="Times New Roman"/>
          <w:b/>
          <w:bCs/>
        </w:rPr>
        <w:t>Material</w:t>
      </w:r>
      <w:r w:rsidRPr="004A3B37">
        <w:rPr>
          <w:rFonts w:ascii="Times New Roman" w:hAnsi="Times New Roman" w:cs="Times New Roman"/>
          <w:b/>
          <w:bCs/>
        </w:rPr>
        <w:t>:</w:t>
      </w:r>
    </w:p>
    <w:p w14:paraId="3E7A38C6" w14:textId="77777777" w:rsidR="00393D01" w:rsidRDefault="00393D01">
      <w:pPr>
        <w:rPr>
          <w:rFonts w:ascii="Times New Roman" w:hAnsi="Times New Roman" w:cs="Times New Roman"/>
          <w:b/>
          <w:bCs/>
          <w:sz w:val="22"/>
          <w:szCs w:val="22"/>
        </w:rPr>
      </w:pPr>
    </w:p>
    <w:p w14:paraId="71532F1B" w14:textId="77777777" w:rsidR="00806A95" w:rsidRDefault="00806A95" w:rsidP="004A3B37">
      <w:pPr>
        <w:rPr>
          <w:rFonts w:ascii="Times New Roman" w:hAnsi="Times New Roman" w:cs="Times New Roman"/>
          <w:b/>
          <w:bCs/>
          <w:sz w:val="20"/>
          <w:szCs w:val="20"/>
        </w:rPr>
      </w:pPr>
      <w:r>
        <w:rPr>
          <w:rFonts w:ascii="Times New Roman" w:hAnsi="Times New Roman" w:cs="Times New Roman"/>
          <w:b/>
          <w:bCs/>
          <w:sz w:val="20"/>
          <w:szCs w:val="20"/>
        </w:rPr>
        <w:t xml:space="preserve">Supplementary Figure 1: </w:t>
      </w:r>
      <w:r w:rsidRPr="00806A95">
        <w:rPr>
          <w:rFonts w:ascii="Times New Roman" w:hAnsi="Times New Roman" w:cs="Times New Roman"/>
          <w:b/>
          <w:bCs/>
          <w:sz w:val="20"/>
          <w:szCs w:val="20"/>
        </w:rPr>
        <w:t xml:space="preserve">Preferred Reported Items for Systematic Review and Meta-Analyses </w:t>
      </w:r>
      <w:r>
        <w:rPr>
          <w:rFonts w:ascii="Times New Roman" w:hAnsi="Times New Roman" w:cs="Times New Roman"/>
          <w:b/>
          <w:bCs/>
          <w:sz w:val="20"/>
          <w:szCs w:val="20"/>
        </w:rPr>
        <w:t>Flow Diagram:</w:t>
      </w:r>
    </w:p>
    <w:p w14:paraId="46938E5B" w14:textId="0FFCD3BA" w:rsidR="00806A95" w:rsidRDefault="00806A95" w:rsidP="004A3B37">
      <w:pPr>
        <w:rPr>
          <w:rFonts w:ascii="Times New Roman" w:hAnsi="Times New Roman" w:cs="Times New Roman"/>
          <w:b/>
          <w:bCs/>
          <w:sz w:val="20"/>
          <w:szCs w:val="20"/>
        </w:rPr>
      </w:pPr>
      <w:r w:rsidRPr="00806A95">
        <w:rPr>
          <w:rFonts w:ascii="Times New Roman" w:hAnsi="Times New Roman" w:cs="Times New Roman"/>
          <w:b/>
          <w:bCs/>
          <w:sz w:val="20"/>
          <w:szCs w:val="20"/>
        </w:rPr>
        <w:t xml:space="preserve"> </w:t>
      </w:r>
      <w:r w:rsidRPr="00806A95">
        <w:rPr>
          <w:rFonts w:ascii="Times New Roman" w:hAnsi="Times New Roman" w:cs="Times New Roman"/>
          <w:b/>
          <w:bCs/>
          <w:sz w:val="20"/>
          <w:szCs w:val="20"/>
        </w:rPr>
        <w:drawing>
          <wp:inline distT="0" distB="0" distL="0" distR="0" wp14:anchorId="28A4F1F8" wp14:editId="5AE381B9">
            <wp:extent cx="4782937" cy="4995512"/>
            <wp:effectExtent l="0" t="0" r="5080" b="0"/>
            <wp:docPr id="1" name="Picture 1" descr="A flowchart of inform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flowchart of information&#10;&#10;Description automatically generated with medium confidence"/>
                    <pic:cNvPicPr/>
                  </pic:nvPicPr>
                  <pic:blipFill>
                    <a:blip r:embed="rId5"/>
                    <a:stretch>
                      <a:fillRect/>
                    </a:stretch>
                  </pic:blipFill>
                  <pic:spPr>
                    <a:xfrm>
                      <a:off x="0" y="0"/>
                      <a:ext cx="4787973" cy="5000772"/>
                    </a:xfrm>
                    <a:prstGeom prst="rect">
                      <a:avLst/>
                    </a:prstGeom>
                  </pic:spPr>
                </pic:pic>
              </a:graphicData>
            </a:graphic>
          </wp:inline>
        </w:drawing>
      </w:r>
    </w:p>
    <w:p w14:paraId="24C8D335" w14:textId="77777777" w:rsidR="00806A95" w:rsidRPr="00806A95" w:rsidRDefault="00806A95" w:rsidP="00806A95">
      <w:pPr>
        <w:rPr>
          <w:rFonts w:ascii="Times New Roman" w:hAnsi="Times New Roman" w:cs="Times New Roman"/>
          <w:sz w:val="20"/>
          <w:szCs w:val="20"/>
        </w:rPr>
      </w:pPr>
      <w:r w:rsidRPr="00806A95">
        <w:rPr>
          <w:rFonts w:ascii="Times New Roman" w:hAnsi="Times New Roman" w:cs="Times New Roman"/>
          <w:b/>
          <w:bCs/>
          <w:sz w:val="20"/>
          <w:szCs w:val="20"/>
        </w:rPr>
        <w:t>Figure 1: </w:t>
      </w:r>
      <w:r w:rsidRPr="00806A95">
        <w:rPr>
          <w:rFonts w:ascii="Times New Roman" w:hAnsi="Times New Roman" w:cs="Times New Roman"/>
          <w:sz w:val="20"/>
          <w:szCs w:val="20"/>
        </w:rPr>
        <w:t xml:space="preserve">A Preferred Reported Items for Systematic Review and Meta-Analyses Flow Diagram. This diagram summarises the selection of studies for systematic review and meta-analysis. </w:t>
      </w:r>
      <w:r w:rsidRPr="00806A95">
        <w:rPr>
          <w:rFonts w:ascii="Times New Roman" w:hAnsi="Times New Roman" w:cs="Times New Roman"/>
          <w:sz w:val="20"/>
          <w:szCs w:val="20"/>
          <w:lang w:val="en-CA"/>
        </w:rPr>
        <w:t>†Perioperative interventions include orthopaedic implants and techniques and perioperative medications including anaesthetic agent;</w:t>
      </w:r>
      <w:r w:rsidRPr="00806A95">
        <w:rPr>
          <w:rFonts w:ascii="Times New Roman" w:hAnsi="Times New Roman" w:cs="Times New Roman"/>
          <w:sz w:val="20"/>
          <w:szCs w:val="20"/>
        </w:rPr>
        <w:t xml:space="preserve"> THR: Total Hip Replacement; TKR: Total Knee Replacement.</w:t>
      </w:r>
    </w:p>
    <w:p w14:paraId="58B867AB" w14:textId="784D713D" w:rsidR="00806A95" w:rsidRDefault="00806A95" w:rsidP="004A3B37">
      <w:pPr>
        <w:rPr>
          <w:rFonts w:ascii="Times New Roman" w:hAnsi="Times New Roman" w:cs="Times New Roman"/>
          <w:b/>
          <w:bCs/>
          <w:sz w:val="20"/>
          <w:szCs w:val="20"/>
        </w:rPr>
      </w:pPr>
    </w:p>
    <w:p w14:paraId="1A012C79" w14:textId="77777777" w:rsidR="00806A95" w:rsidRDefault="00806A95" w:rsidP="004A3B37">
      <w:pPr>
        <w:rPr>
          <w:rFonts w:ascii="Times New Roman" w:hAnsi="Times New Roman" w:cs="Times New Roman"/>
          <w:b/>
          <w:bCs/>
          <w:sz w:val="20"/>
          <w:szCs w:val="20"/>
        </w:rPr>
        <w:sectPr w:rsidR="00806A95" w:rsidSect="00806A95">
          <w:pgSz w:w="12240" w:h="15840"/>
          <w:pgMar w:top="1440" w:right="1440" w:bottom="1440" w:left="1440" w:header="708" w:footer="708" w:gutter="0"/>
          <w:cols w:space="708"/>
          <w:docGrid w:linePitch="360"/>
        </w:sectPr>
      </w:pPr>
    </w:p>
    <w:p w14:paraId="7B487C37" w14:textId="481E1EE2" w:rsidR="00393D01" w:rsidRPr="00322094" w:rsidRDefault="00393D01" w:rsidP="004A3B37">
      <w:pPr>
        <w:rPr>
          <w:rFonts w:ascii="Times New Roman" w:hAnsi="Times New Roman" w:cs="Times New Roman"/>
          <w:b/>
          <w:bCs/>
          <w:sz w:val="20"/>
          <w:szCs w:val="20"/>
        </w:rPr>
      </w:pPr>
      <w:r w:rsidRPr="00322094">
        <w:rPr>
          <w:rFonts w:ascii="Times New Roman" w:hAnsi="Times New Roman" w:cs="Times New Roman"/>
          <w:b/>
          <w:bCs/>
          <w:sz w:val="20"/>
          <w:szCs w:val="20"/>
        </w:rPr>
        <w:lastRenderedPageBreak/>
        <w:t>Supplementary Table 1: Search Strategies</w:t>
      </w:r>
      <w:r w:rsidR="00B15EFD" w:rsidRPr="00322094">
        <w:rPr>
          <w:rFonts w:ascii="Times New Roman" w:hAnsi="Times New Roman" w:cs="Times New Roman"/>
          <w:b/>
          <w:bCs/>
          <w:sz w:val="20"/>
          <w:szCs w:val="20"/>
        </w:rPr>
        <w:t xml:space="preserve"> and Databases Queried</w:t>
      </w:r>
    </w:p>
    <w:tbl>
      <w:tblPr>
        <w:tblStyle w:val="TableGrid"/>
        <w:tblW w:w="0" w:type="auto"/>
        <w:tblLook w:val="04A0" w:firstRow="1" w:lastRow="0" w:firstColumn="1" w:lastColumn="0" w:noHBand="0" w:noVBand="1"/>
      </w:tblPr>
      <w:tblGrid>
        <w:gridCol w:w="436"/>
        <w:gridCol w:w="7497"/>
        <w:gridCol w:w="2127"/>
        <w:gridCol w:w="1417"/>
        <w:gridCol w:w="992"/>
      </w:tblGrid>
      <w:tr w:rsidR="00C60B0C" w:rsidRPr="004A3B37" w14:paraId="5CC5BFD5" w14:textId="32CC6DA0" w:rsidTr="00C60B0C">
        <w:tc>
          <w:tcPr>
            <w:tcW w:w="436" w:type="dxa"/>
          </w:tcPr>
          <w:p w14:paraId="7EB746D9" w14:textId="25CBFCBB"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w:t>
            </w:r>
          </w:p>
        </w:tc>
        <w:tc>
          <w:tcPr>
            <w:tcW w:w="7497" w:type="dxa"/>
          </w:tcPr>
          <w:p w14:paraId="5825E65F" w14:textId="38829F5E"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Search Term</w:t>
            </w:r>
          </w:p>
        </w:tc>
        <w:tc>
          <w:tcPr>
            <w:tcW w:w="2127" w:type="dxa"/>
          </w:tcPr>
          <w:p w14:paraId="4103A7F3" w14:textId="51D440B6"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Search 1 &amp; Search 2</w:t>
            </w:r>
          </w:p>
        </w:tc>
        <w:tc>
          <w:tcPr>
            <w:tcW w:w="1417" w:type="dxa"/>
          </w:tcPr>
          <w:p w14:paraId="6E6215BE" w14:textId="267999E4"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Search 3</w:t>
            </w:r>
          </w:p>
        </w:tc>
        <w:tc>
          <w:tcPr>
            <w:tcW w:w="992" w:type="dxa"/>
          </w:tcPr>
          <w:p w14:paraId="6796670B" w14:textId="0495AA7A"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Search 4</w:t>
            </w:r>
          </w:p>
        </w:tc>
      </w:tr>
      <w:tr w:rsidR="00C60B0C" w:rsidRPr="004A3B37" w14:paraId="46734ACF" w14:textId="40469468" w:rsidTr="00C60B0C">
        <w:tc>
          <w:tcPr>
            <w:tcW w:w="436" w:type="dxa"/>
          </w:tcPr>
          <w:p w14:paraId="295D3C73" w14:textId="55B58B17"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w:t>
            </w:r>
          </w:p>
        </w:tc>
        <w:tc>
          <w:tcPr>
            <w:tcW w:w="7497" w:type="dxa"/>
          </w:tcPr>
          <w:p w14:paraId="78E4DB18" w14:textId="41192387"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Arthroplasty, Replacement, Knee/</w:t>
            </w:r>
          </w:p>
        </w:tc>
        <w:tc>
          <w:tcPr>
            <w:tcW w:w="2127" w:type="dxa"/>
          </w:tcPr>
          <w:p w14:paraId="7EB62751" w14:textId="589D8F9E"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35609</w:t>
            </w:r>
          </w:p>
        </w:tc>
        <w:tc>
          <w:tcPr>
            <w:tcW w:w="1417" w:type="dxa"/>
          </w:tcPr>
          <w:p w14:paraId="5FD99DD0" w14:textId="04755AE3"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34355</w:t>
            </w:r>
          </w:p>
        </w:tc>
        <w:tc>
          <w:tcPr>
            <w:tcW w:w="992" w:type="dxa"/>
          </w:tcPr>
          <w:p w14:paraId="6EB82F32" w14:textId="7CB9C9C8"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2D73D6C5" w14:textId="2593D99D" w:rsidTr="00C60B0C">
        <w:tc>
          <w:tcPr>
            <w:tcW w:w="436" w:type="dxa"/>
          </w:tcPr>
          <w:p w14:paraId="5009C755" w14:textId="30A5D1F0"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2</w:t>
            </w:r>
          </w:p>
        </w:tc>
        <w:tc>
          <w:tcPr>
            <w:tcW w:w="7497" w:type="dxa"/>
          </w:tcPr>
          <w:p w14:paraId="2230E372" w14:textId="2826FB51"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Arthroplasty, Replacement, Hip/</w:t>
            </w:r>
          </w:p>
        </w:tc>
        <w:tc>
          <w:tcPr>
            <w:tcW w:w="2127" w:type="dxa"/>
          </w:tcPr>
          <w:p w14:paraId="48923E8A" w14:textId="2A94855F"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38029</w:t>
            </w:r>
          </w:p>
        </w:tc>
        <w:tc>
          <w:tcPr>
            <w:tcW w:w="1417" w:type="dxa"/>
          </w:tcPr>
          <w:p w14:paraId="15014487" w14:textId="3072FD6D"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38516</w:t>
            </w:r>
          </w:p>
        </w:tc>
        <w:tc>
          <w:tcPr>
            <w:tcW w:w="992" w:type="dxa"/>
          </w:tcPr>
          <w:p w14:paraId="341033C7" w14:textId="68005CB3"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5A783663" w14:textId="0FDC8360" w:rsidTr="00C60B0C">
        <w:tc>
          <w:tcPr>
            <w:tcW w:w="436" w:type="dxa"/>
          </w:tcPr>
          <w:p w14:paraId="500302BB" w14:textId="6473C332"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3</w:t>
            </w:r>
          </w:p>
        </w:tc>
        <w:tc>
          <w:tcPr>
            <w:tcW w:w="7497" w:type="dxa"/>
          </w:tcPr>
          <w:p w14:paraId="1E8C9E7F" w14:textId="6DE2BC60"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“Total Knee Replacement” OR “TKR” OR “Total Knee Arthroplasty” OR “TKA”</w:t>
            </w:r>
          </w:p>
        </w:tc>
        <w:tc>
          <w:tcPr>
            <w:tcW w:w="2127" w:type="dxa"/>
          </w:tcPr>
          <w:p w14:paraId="13A92A75" w14:textId="016BAF2B"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74351</w:t>
            </w:r>
          </w:p>
        </w:tc>
        <w:tc>
          <w:tcPr>
            <w:tcW w:w="1417" w:type="dxa"/>
          </w:tcPr>
          <w:p w14:paraId="02897AE6" w14:textId="34BD07FE"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30904</w:t>
            </w:r>
          </w:p>
        </w:tc>
        <w:tc>
          <w:tcPr>
            <w:tcW w:w="992" w:type="dxa"/>
          </w:tcPr>
          <w:p w14:paraId="19A8BC1D" w14:textId="70F130D7"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4583388A" w14:textId="40CEA674" w:rsidTr="00C60B0C">
        <w:tc>
          <w:tcPr>
            <w:tcW w:w="436" w:type="dxa"/>
          </w:tcPr>
          <w:p w14:paraId="50CB52AD" w14:textId="48143B4B"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4</w:t>
            </w:r>
          </w:p>
        </w:tc>
        <w:tc>
          <w:tcPr>
            <w:tcW w:w="7497" w:type="dxa"/>
          </w:tcPr>
          <w:p w14:paraId="232F981B" w14:textId="530E3A21"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“Total Hip Replacement” OR “THR” OR “Total Hip Arthroplasty” OR “THA”</w:t>
            </w:r>
          </w:p>
        </w:tc>
        <w:tc>
          <w:tcPr>
            <w:tcW w:w="2127" w:type="dxa"/>
          </w:tcPr>
          <w:p w14:paraId="73EB14CE" w14:textId="74821A39"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130976</w:t>
            </w:r>
          </w:p>
        </w:tc>
        <w:tc>
          <w:tcPr>
            <w:tcW w:w="1417" w:type="dxa"/>
          </w:tcPr>
          <w:p w14:paraId="7D19FEA6" w14:textId="72F76104"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60399</w:t>
            </w:r>
          </w:p>
        </w:tc>
        <w:tc>
          <w:tcPr>
            <w:tcW w:w="992" w:type="dxa"/>
          </w:tcPr>
          <w:p w14:paraId="52D486AF" w14:textId="6FEBA4EF"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0D681FBC" w14:textId="6CE33C94" w:rsidTr="00C60B0C">
        <w:tc>
          <w:tcPr>
            <w:tcW w:w="436" w:type="dxa"/>
          </w:tcPr>
          <w:p w14:paraId="561CEEE2" w14:textId="4B3375D3"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5</w:t>
            </w:r>
          </w:p>
        </w:tc>
        <w:tc>
          <w:tcPr>
            <w:tcW w:w="7497" w:type="dxa"/>
          </w:tcPr>
          <w:p w14:paraId="2F052B65" w14:textId="53825D1A"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OR/1-4</w:t>
            </w:r>
          </w:p>
        </w:tc>
        <w:tc>
          <w:tcPr>
            <w:tcW w:w="2127" w:type="dxa"/>
          </w:tcPr>
          <w:p w14:paraId="745E8C9E" w14:textId="77792783"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129261</w:t>
            </w:r>
          </w:p>
        </w:tc>
        <w:tc>
          <w:tcPr>
            <w:tcW w:w="1417" w:type="dxa"/>
          </w:tcPr>
          <w:p w14:paraId="01BDEA3D" w14:textId="2F01948B"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106839</w:t>
            </w:r>
          </w:p>
        </w:tc>
        <w:tc>
          <w:tcPr>
            <w:tcW w:w="992" w:type="dxa"/>
          </w:tcPr>
          <w:p w14:paraId="6497ED61" w14:textId="3E235657"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368A58B3" w14:textId="7408A544" w:rsidTr="00C60B0C">
        <w:tc>
          <w:tcPr>
            <w:tcW w:w="436" w:type="dxa"/>
          </w:tcPr>
          <w:p w14:paraId="6E963128" w14:textId="103C07BB"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6</w:t>
            </w:r>
          </w:p>
        </w:tc>
        <w:tc>
          <w:tcPr>
            <w:tcW w:w="7497" w:type="dxa"/>
          </w:tcPr>
          <w:p w14:paraId="12E8BEC6" w14:textId="12C07EDB"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Elective Surgical Procedures/</w:t>
            </w:r>
          </w:p>
        </w:tc>
        <w:tc>
          <w:tcPr>
            <w:tcW w:w="2127" w:type="dxa"/>
          </w:tcPr>
          <w:p w14:paraId="05EB737F" w14:textId="03AAD639"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3104</w:t>
            </w:r>
          </w:p>
        </w:tc>
        <w:tc>
          <w:tcPr>
            <w:tcW w:w="1417" w:type="dxa"/>
          </w:tcPr>
          <w:p w14:paraId="58F9FE1B" w14:textId="3FEFBB4F"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28409</w:t>
            </w:r>
          </w:p>
        </w:tc>
        <w:tc>
          <w:tcPr>
            <w:tcW w:w="992" w:type="dxa"/>
          </w:tcPr>
          <w:p w14:paraId="0AB92475" w14:textId="6CB428A3"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1DE6D47D" w14:textId="5EE935EA" w:rsidTr="00C60B0C">
        <w:tc>
          <w:tcPr>
            <w:tcW w:w="436" w:type="dxa"/>
          </w:tcPr>
          <w:p w14:paraId="74798C70" w14:textId="6A014FDF"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7</w:t>
            </w:r>
          </w:p>
        </w:tc>
        <w:tc>
          <w:tcPr>
            <w:tcW w:w="7497" w:type="dxa"/>
          </w:tcPr>
          <w:p w14:paraId="760D947A" w14:textId="7F0D22FA"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“Elective”</w:t>
            </w:r>
          </w:p>
        </w:tc>
        <w:tc>
          <w:tcPr>
            <w:tcW w:w="2127" w:type="dxa"/>
          </w:tcPr>
          <w:p w14:paraId="02060CD4" w14:textId="1431F085"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241349</w:t>
            </w:r>
          </w:p>
        </w:tc>
        <w:tc>
          <w:tcPr>
            <w:tcW w:w="1417" w:type="dxa"/>
          </w:tcPr>
          <w:p w14:paraId="61828C0F" w14:textId="72DE3CBB"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94624</w:t>
            </w:r>
          </w:p>
        </w:tc>
        <w:tc>
          <w:tcPr>
            <w:tcW w:w="992" w:type="dxa"/>
          </w:tcPr>
          <w:p w14:paraId="33C63FDB" w14:textId="0CB67831"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0FB9B86B" w14:textId="6BC044FA" w:rsidTr="00C60B0C">
        <w:tc>
          <w:tcPr>
            <w:tcW w:w="436" w:type="dxa"/>
          </w:tcPr>
          <w:p w14:paraId="69EA7F82" w14:textId="2617617D"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8</w:t>
            </w:r>
          </w:p>
        </w:tc>
        <w:tc>
          <w:tcPr>
            <w:tcW w:w="7497" w:type="dxa"/>
          </w:tcPr>
          <w:p w14:paraId="642A8ADF" w14:textId="2468C38F"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6 OR 7</w:t>
            </w:r>
          </w:p>
        </w:tc>
        <w:tc>
          <w:tcPr>
            <w:tcW w:w="2127" w:type="dxa"/>
          </w:tcPr>
          <w:p w14:paraId="4F1E7563" w14:textId="1FA55E17"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241349</w:t>
            </w:r>
          </w:p>
        </w:tc>
        <w:tc>
          <w:tcPr>
            <w:tcW w:w="1417" w:type="dxa"/>
          </w:tcPr>
          <w:p w14:paraId="175BAD8D" w14:textId="05934660"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94624</w:t>
            </w:r>
          </w:p>
        </w:tc>
        <w:tc>
          <w:tcPr>
            <w:tcW w:w="992" w:type="dxa"/>
          </w:tcPr>
          <w:p w14:paraId="4A230961" w14:textId="5687D7AB"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3EE94FE9" w14:textId="141FEB76" w:rsidTr="00C60B0C">
        <w:tc>
          <w:tcPr>
            <w:tcW w:w="436" w:type="dxa"/>
          </w:tcPr>
          <w:p w14:paraId="76E04C21" w14:textId="793A53E0"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9</w:t>
            </w:r>
          </w:p>
        </w:tc>
        <w:tc>
          <w:tcPr>
            <w:tcW w:w="7497" w:type="dxa"/>
          </w:tcPr>
          <w:p w14:paraId="15D577DD" w14:textId="25BFEC35"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Time-To-Treatment/</w:t>
            </w:r>
          </w:p>
        </w:tc>
        <w:tc>
          <w:tcPr>
            <w:tcW w:w="2127" w:type="dxa"/>
          </w:tcPr>
          <w:p w14:paraId="39642616" w14:textId="78629971"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33381</w:t>
            </w:r>
          </w:p>
        </w:tc>
        <w:tc>
          <w:tcPr>
            <w:tcW w:w="1417" w:type="dxa"/>
          </w:tcPr>
          <w:p w14:paraId="15723422" w14:textId="34F4CD17"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122431</w:t>
            </w:r>
          </w:p>
        </w:tc>
        <w:tc>
          <w:tcPr>
            <w:tcW w:w="992" w:type="dxa"/>
          </w:tcPr>
          <w:p w14:paraId="2798BC53" w14:textId="3469AF09"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3302EBE5" w14:textId="11C4C4BD" w:rsidTr="00C60B0C">
        <w:tc>
          <w:tcPr>
            <w:tcW w:w="436" w:type="dxa"/>
          </w:tcPr>
          <w:p w14:paraId="535A94C5" w14:textId="0D6131A4"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10</w:t>
            </w:r>
          </w:p>
        </w:tc>
        <w:tc>
          <w:tcPr>
            <w:tcW w:w="7497" w:type="dxa"/>
          </w:tcPr>
          <w:p w14:paraId="550A39F5" w14:textId="68A54C57"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Delay$ or "Delayed Treatment" OR "Delayed Surgery" OR "Delayed Procedure"</w:t>
            </w:r>
          </w:p>
        </w:tc>
        <w:tc>
          <w:tcPr>
            <w:tcW w:w="2127" w:type="dxa"/>
          </w:tcPr>
          <w:p w14:paraId="045E5788" w14:textId="1E6DE6C2"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1395561</w:t>
            </w:r>
          </w:p>
        </w:tc>
        <w:tc>
          <w:tcPr>
            <w:tcW w:w="1417" w:type="dxa"/>
          </w:tcPr>
          <w:p w14:paraId="080DA71B" w14:textId="05084D99"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628247</w:t>
            </w:r>
          </w:p>
        </w:tc>
        <w:tc>
          <w:tcPr>
            <w:tcW w:w="992" w:type="dxa"/>
          </w:tcPr>
          <w:p w14:paraId="44BC31D2" w14:textId="556CC608"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6360B595" w14:textId="5C07EFC7" w:rsidTr="00C60B0C">
        <w:tc>
          <w:tcPr>
            <w:tcW w:w="436" w:type="dxa"/>
          </w:tcPr>
          <w:p w14:paraId="3204A5AC" w14:textId="3C7460BF"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11</w:t>
            </w:r>
          </w:p>
        </w:tc>
        <w:tc>
          <w:tcPr>
            <w:tcW w:w="7497" w:type="dxa"/>
          </w:tcPr>
          <w:p w14:paraId="77548DA6" w14:textId="70237CBC" w:rsidR="00C60B0C" w:rsidRPr="004A3B37" w:rsidRDefault="00C60B0C" w:rsidP="004A3B37">
            <w:pPr>
              <w:rPr>
                <w:rFonts w:ascii="Times New Roman" w:hAnsi="Times New Roman" w:cs="Times New Roman"/>
                <w:sz w:val="16"/>
                <w:szCs w:val="16"/>
              </w:rPr>
            </w:pPr>
            <w:proofErr w:type="spellStart"/>
            <w:r w:rsidRPr="004A3B37">
              <w:rPr>
                <w:rFonts w:ascii="Times New Roman" w:hAnsi="Times New Roman" w:cs="Times New Roman"/>
                <w:sz w:val="16"/>
                <w:szCs w:val="16"/>
              </w:rPr>
              <w:t>Waiting?List</w:t>
            </w:r>
            <w:proofErr w:type="spellEnd"/>
            <w:r w:rsidRPr="004A3B37">
              <w:rPr>
                <w:rFonts w:ascii="Times New Roman" w:hAnsi="Times New Roman" w:cs="Times New Roman"/>
                <w:sz w:val="16"/>
                <w:szCs w:val="16"/>
              </w:rPr>
              <w:t xml:space="preserve"> OR “Waiting-List”</w:t>
            </w:r>
          </w:p>
        </w:tc>
        <w:tc>
          <w:tcPr>
            <w:tcW w:w="2127" w:type="dxa"/>
          </w:tcPr>
          <w:p w14:paraId="01CB152A" w14:textId="1492DCB4"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25908</w:t>
            </w:r>
          </w:p>
        </w:tc>
        <w:tc>
          <w:tcPr>
            <w:tcW w:w="1417" w:type="dxa"/>
          </w:tcPr>
          <w:p w14:paraId="6B9E8ECB" w14:textId="1E1F310D"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21894</w:t>
            </w:r>
          </w:p>
        </w:tc>
        <w:tc>
          <w:tcPr>
            <w:tcW w:w="992" w:type="dxa"/>
          </w:tcPr>
          <w:p w14:paraId="37868F50" w14:textId="48F611F9"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03104BB0" w14:textId="2BA7FA32" w:rsidTr="00C60B0C">
        <w:tc>
          <w:tcPr>
            <w:tcW w:w="436" w:type="dxa"/>
          </w:tcPr>
          <w:p w14:paraId="22054FD6" w14:textId="2367573A"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12</w:t>
            </w:r>
          </w:p>
        </w:tc>
        <w:tc>
          <w:tcPr>
            <w:tcW w:w="7497" w:type="dxa"/>
          </w:tcPr>
          <w:p w14:paraId="40D49A29" w14:textId="5C5794D6"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OR/9-11</w:t>
            </w:r>
          </w:p>
        </w:tc>
        <w:tc>
          <w:tcPr>
            <w:tcW w:w="2127" w:type="dxa"/>
          </w:tcPr>
          <w:p w14:paraId="372AF36F" w14:textId="28663CE0"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1445402</w:t>
            </w:r>
          </w:p>
        </w:tc>
        <w:tc>
          <w:tcPr>
            <w:tcW w:w="1417" w:type="dxa"/>
          </w:tcPr>
          <w:p w14:paraId="6B01A679" w14:textId="3075A85E"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1704094</w:t>
            </w:r>
          </w:p>
        </w:tc>
        <w:tc>
          <w:tcPr>
            <w:tcW w:w="992" w:type="dxa"/>
          </w:tcPr>
          <w:p w14:paraId="663622A8" w14:textId="231C5AF8"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r w:rsidR="00C60B0C" w:rsidRPr="004A3B37" w14:paraId="20913860" w14:textId="0DA921C1" w:rsidTr="00C60B0C">
        <w:tc>
          <w:tcPr>
            <w:tcW w:w="436" w:type="dxa"/>
          </w:tcPr>
          <w:p w14:paraId="0B21CC51" w14:textId="22BCD5FE"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13</w:t>
            </w:r>
          </w:p>
        </w:tc>
        <w:tc>
          <w:tcPr>
            <w:tcW w:w="7497" w:type="dxa"/>
          </w:tcPr>
          <w:p w14:paraId="2AA7F693" w14:textId="0AABA92E"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AND/5,8,12</w:t>
            </w:r>
          </w:p>
        </w:tc>
        <w:tc>
          <w:tcPr>
            <w:tcW w:w="2127" w:type="dxa"/>
          </w:tcPr>
          <w:p w14:paraId="08AB3342" w14:textId="2F221D9B"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438</w:t>
            </w:r>
          </w:p>
        </w:tc>
        <w:tc>
          <w:tcPr>
            <w:tcW w:w="1417" w:type="dxa"/>
          </w:tcPr>
          <w:p w14:paraId="267EF24D" w14:textId="05EAD816" w:rsidR="00C60B0C" w:rsidRPr="004A3B37" w:rsidRDefault="00C60B0C" w:rsidP="004A3B37">
            <w:pPr>
              <w:rPr>
                <w:rFonts w:ascii="Times New Roman" w:hAnsi="Times New Roman" w:cs="Times New Roman"/>
                <w:sz w:val="16"/>
                <w:szCs w:val="16"/>
              </w:rPr>
            </w:pPr>
            <w:r w:rsidRPr="004A3B37">
              <w:rPr>
                <w:rFonts w:ascii="Times New Roman" w:hAnsi="Times New Roman" w:cs="Times New Roman"/>
                <w:sz w:val="16"/>
                <w:szCs w:val="16"/>
              </w:rPr>
              <w:t>450</w:t>
            </w:r>
          </w:p>
        </w:tc>
        <w:tc>
          <w:tcPr>
            <w:tcW w:w="992" w:type="dxa"/>
          </w:tcPr>
          <w:p w14:paraId="2C808E5B" w14:textId="11DAA9F3" w:rsidR="00C60B0C" w:rsidRPr="004A3B37" w:rsidRDefault="00C60B0C" w:rsidP="00C60B0C">
            <w:pPr>
              <w:rPr>
                <w:rFonts w:ascii="Times New Roman" w:hAnsi="Times New Roman" w:cs="Times New Roman"/>
                <w:sz w:val="16"/>
                <w:szCs w:val="16"/>
              </w:rPr>
            </w:pPr>
            <w:r>
              <w:rPr>
                <w:rFonts w:ascii="Times New Roman" w:hAnsi="Times New Roman" w:cs="Times New Roman"/>
                <w:sz w:val="16"/>
                <w:szCs w:val="16"/>
              </w:rPr>
              <w:t>0</w:t>
            </w:r>
          </w:p>
        </w:tc>
      </w:tr>
    </w:tbl>
    <w:p w14:paraId="0BBF07A7" w14:textId="77777777" w:rsidR="00643DC8" w:rsidRPr="004A3B37" w:rsidRDefault="00643DC8" w:rsidP="004A3B37">
      <w:pPr>
        <w:rPr>
          <w:rFonts w:ascii="Times New Roman" w:hAnsi="Times New Roman" w:cs="Times New Roman"/>
          <w:b/>
          <w:bCs/>
          <w:sz w:val="16"/>
          <w:szCs w:val="16"/>
        </w:rPr>
      </w:pPr>
    </w:p>
    <w:p w14:paraId="5440AE97" w14:textId="20411282" w:rsidR="0084441C" w:rsidRPr="00322094" w:rsidRDefault="001F27AB" w:rsidP="004A3B37">
      <w:pPr>
        <w:rPr>
          <w:rFonts w:ascii="Times New Roman" w:hAnsi="Times New Roman" w:cs="Times New Roman"/>
          <w:color w:val="000000"/>
          <w:sz w:val="20"/>
          <w:szCs w:val="20"/>
        </w:rPr>
      </w:pPr>
      <w:r w:rsidRPr="00322094">
        <w:rPr>
          <w:rFonts w:ascii="Times New Roman" w:hAnsi="Times New Roman" w:cs="Times New Roman"/>
          <w:b/>
          <w:bCs/>
          <w:sz w:val="20"/>
          <w:szCs w:val="20"/>
        </w:rPr>
        <w:t xml:space="preserve">Supplementary Table 1: </w:t>
      </w:r>
      <w:r w:rsidRPr="00322094">
        <w:rPr>
          <w:rFonts w:ascii="Times New Roman" w:hAnsi="Times New Roman" w:cs="Times New Roman"/>
          <w:sz w:val="20"/>
          <w:szCs w:val="20"/>
        </w:rPr>
        <w:t xml:space="preserve"> </w:t>
      </w:r>
      <w:r w:rsidR="00C82C8C" w:rsidRPr="00322094">
        <w:rPr>
          <w:rFonts w:ascii="Times New Roman" w:hAnsi="Times New Roman" w:cs="Times New Roman"/>
          <w:sz w:val="20"/>
          <w:szCs w:val="20"/>
        </w:rPr>
        <w:t>Summary of</w:t>
      </w:r>
      <w:r w:rsidRPr="00322094">
        <w:rPr>
          <w:rFonts w:ascii="Times New Roman" w:hAnsi="Times New Roman" w:cs="Times New Roman"/>
          <w:sz w:val="20"/>
          <w:szCs w:val="20"/>
        </w:rPr>
        <w:t xml:space="preserve"> literature searches performed. Search</w:t>
      </w:r>
      <w:r w:rsidR="0084441C" w:rsidRPr="00322094">
        <w:rPr>
          <w:rFonts w:ascii="Times New Roman" w:hAnsi="Times New Roman" w:cs="Times New Roman"/>
          <w:sz w:val="20"/>
          <w:szCs w:val="20"/>
        </w:rPr>
        <w:t xml:space="preserve"> 1: </w:t>
      </w:r>
      <w:r w:rsidR="0084441C" w:rsidRPr="00322094">
        <w:rPr>
          <w:rFonts w:ascii="Times New Roman" w:hAnsi="Times New Roman" w:cs="Times New Roman"/>
          <w:color w:val="000000"/>
          <w:sz w:val="20"/>
          <w:szCs w:val="20"/>
        </w:rPr>
        <w:t xml:space="preserve">MEDLINE(R) and In-Process, In-Data-Review &amp; Other Non-Indexed Citations 1946 to </w:t>
      </w:r>
      <w:r w:rsidR="00311482" w:rsidRPr="00322094">
        <w:rPr>
          <w:rFonts w:ascii="Times New Roman" w:hAnsi="Times New Roman" w:cs="Times New Roman"/>
          <w:color w:val="000000"/>
          <w:sz w:val="20"/>
          <w:szCs w:val="20"/>
        </w:rPr>
        <w:t>January 30th</w:t>
      </w:r>
      <w:r w:rsidR="0084441C" w:rsidRPr="00322094">
        <w:rPr>
          <w:rFonts w:ascii="Times New Roman" w:hAnsi="Times New Roman" w:cs="Times New Roman"/>
          <w:color w:val="000000"/>
          <w:sz w:val="20"/>
          <w:szCs w:val="20"/>
        </w:rPr>
        <w:t>, 202</w:t>
      </w:r>
      <w:r w:rsidR="00311482" w:rsidRPr="00322094">
        <w:rPr>
          <w:rFonts w:ascii="Times New Roman" w:hAnsi="Times New Roman" w:cs="Times New Roman"/>
          <w:color w:val="000000"/>
          <w:sz w:val="20"/>
          <w:szCs w:val="20"/>
        </w:rPr>
        <w:t>3</w:t>
      </w:r>
      <w:r w:rsidRPr="00322094">
        <w:rPr>
          <w:rFonts w:ascii="Times New Roman" w:hAnsi="Times New Roman" w:cs="Times New Roman"/>
          <w:color w:val="000000"/>
          <w:sz w:val="20"/>
          <w:szCs w:val="20"/>
        </w:rPr>
        <w:t xml:space="preserve">; </w:t>
      </w:r>
      <w:r w:rsidR="0084441C" w:rsidRPr="00322094">
        <w:rPr>
          <w:rFonts w:ascii="Times New Roman" w:hAnsi="Times New Roman" w:cs="Times New Roman"/>
          <w:color w:val="000000"/>
          <w:sz w:val="20"/>
          <w:szCs w:val="20"/>
        </w:rPr>
        <w:t>Search 2: EMBASE 1980 to 202</w:t>
      </w:r>
      <w:r w:rsidR="00311482" w:rsidRPr="00322094">
        <w:rPr>
          <w:rFonts w:ascii="Times New Roman" w:hAnsi="Times New Roman" w:cs="Times New Roman"/>
          <w:color w:val="000000"/>
          <w:sz w:val="20"/>
          <w:szCs w:val="20"/>
        </w:rPr>
        <w:t>3</w:t>
      </w:r>
      <w:r w:rsidR="0084441C" w:rsidRPr="00322094">
        <w:rPr>
          <w:rFonts w:ascii="Times New Roman" w:hAnsi="Times New Roman" w:cs="Times New Roman"/>
          <w:color w:val="000000"/>
          <w:sz w:val="20"/>
          <w:szCs w:val="20"/>
        </w:rPr>
        <w:t xml:space="preserve"> Week </w:t>
      </w:r>
      <w:r w:rsidR="00311482" w:rsidRPr="00322094">
        <w:rPr>
          <w:rFonts w:ascii="Times New Roman" w:hAnsi="Times New Roman" w:cs="Times New Roman"/>
          <w:color w:val="000000"/>
          <w:sz w:val="20"/>
          <w:szCs w:val="20"/>
        </w:rPr>
        <w:t>5</w:t>
      </w:r>
      <w:r w:rsidRPr="00322094">
        <w:rPr>
          <w:rFonts w:ascii="Times New Roman" w:hAnsi="Times New Roman" w:cs="Times New Roman"/>
          <w:color w:val="000000"/>
          <w:sz w:val="20"/>
          <w:szCs w:val="20"/>
        </w:rPr>
        <w:t xml:space="preserve">; </w:t>
      </w:r>
      <w:r w:rsidR="0084441C" w:rsidRPr="00322094">
        <w:rPr>
          <w:rFonts w:ascii="Times New Roman" w:hAnsi="Times New Roman" w:cs="Times New Roman"/>
          <w:color w:val="000000"/>
          <w:sz w:val="20"/>
          <w:szCs w:val="20"/>
        </w:rPr>
        <w:t>Search 3: PUBMED</w:t>
      </w:r>
      <w:r w:rsidR="004A397E" w:rsidRPr="00322094">
        <w:rPr>
          <w:rFonts w:ascii="Times New Roman" w:hAnsi="Times New Roman" w:cs="Times New Roman"/>
          <w:color w:val="000000"/>
          <w:sz w:val="20"/>
          <w:szCs w:val="20"/>
        </w:rPr>
        <w:t xml:space="preserve"> </w:t>
      </w:r>
      <w:r w:rsidR="00311482" w:rsidRPr="00322094">
        <w:rPr>
          <w:rFonts w:ascii="Times New Roman" w:hAnsi="Times New Roman" w:cs="Times New Roman"/>
          <w:color w:val="000000"/>
          <w:sz w:val="20"/>
          <w:szCs w:val="20"/>
        </w:rPr>
        <w:t>30</w:t>
      </w:r>
      <w:r w:rsidR="004A397E" w:rsidRPr="00322094">
        <w:rPr>
          <w:rFonts w:ascii="Times New Roman" w:hAnsi="Times New Roman" w:cs="Times New Roman"/>
          <w:color w:val="000000"/>
          <w:sz w:val="20"/>
          <w:szCs w:val="20"/>
        </w:rPr>
        <w:t>/0</w:t>
      </w:r>
      <w:r w:rsidR="00311482" w:rsidRPr="00322094">
        <w:rPr>
          <w:rFonts w:ascii="Times New Roman" w:hAnsi="Times New Roman" w:cs="Times New Roman"/>
          <w:color w:val="000000"/>
          <w:sz w:val="20"/>
          <w:szCs w:val="20"/>
        </w:rPr>
        <w:t>1</w:t>
      </w:r>
      <w:r w:rsidR="004A397E" w:rsidRPr="00322094">
        <w:rPr>
          <w:rFonts w:ascii="Times New Roman" w:hAnsi="Times New Roman" w:cs="Times New Roman"/>
          <w:color w:val="000000"/>
          <w:sz w:val="20"/>
          <w:szCs w:val="20"/>
        </w:rPr>
        <w:t>/202</w:t>
      </w:r>
      <w:r w:rsidR="00311482" w:rsidRPr="00322094">
        <w:rPr>
          <w:rFonts w:ascii="Times New Roman" w:hAnsi="Times New Roman" w:cs="Times New Roman"/>
          <w:color w:val="000000"/>
          <w:sz w:val="20"/>
          <w:szCs w:val="20"/>
        </w:rPr>
        <w:t>3; and Search 4: CENTRAL 30/01</w:t>
      </w:r>
      <w:r w:rsidR="00C60B0C" w:rsidRPr="00322094">
        <w:rPr>
          <w:rFonts w:ascii="Times New Roman" w:hAnsi="Times New Roman" w:cs="Times New Roman"/>
          <w:color w:val="000000"/>
          <w:sz w:val="20"/>
          <w:szCs w:val="20"/>
        </w:rPr>
        <w:t>/2023.</w:t>
      </w:r>
    </w:p>
    <w:p w14:paraId="098AC523" w14:textId="2FB635F2" w:rsidR="00643DC8" w:rsidRPr="004A3B37" w:rsidRDefault="00643DC8" w:rsidP="004A3B37">
      <w:pPr>
        <w:rPr>
          <w:rFonts w:ascii="Times New Roman" w:hAnsi="Times New Roman" w:cs="Times New Roman"/>
          <w:b/>
          <w:bCs/>
          <w:sz w:val="16"/>
          <w:szCs w:val="16"/>
        </w:rPr>
      </w:pPr>
      <w:r w:rsidRPr="004A3B37">
        <w:rPr>
          <w:rFonts w:ascii="Times New Roman" w:hAnsi="Times New Roman" w:cs="Times New Roman"/>
          <w:b/>
          <w:bCs/>
          <w:sz w:val="16"/>
          <w:szCs w:val="16"/>
        </w:rPr>
        <w:br w:type="page"/>
      </w:r>
    </w:p>
    <w:p w14:paraId="256E4C7B" w14:textId="63091D39" w:rsidR="00AC26B3" w:rsidRPr="00322094" w:rsidRDefault="00643DC8" w:rsidP="004A3B37">
      <w:pPr>
        <w:rPr>
          <w:rFonts w:ascii="Times New Roman" w:hAnsi="Times New Roman" w:cs="Times New Roman"/>
          <w:b/>
          <w:bCs/>
          <w:sz w:val="20"/>
          <w:szCs w:val="20"/>
        </w:rPr>
      </w:pPr>
      <w:r w:rsidRPr="00322094">
        <w:rPr>
          <w:rFonts w:ascii="Times New Roman" w:hAnsi="Times New Roman" w:cs="Times New Roman"/>
          <w:b/>
          <w:bCs/>
          <w:sz w:val="20"/>
          <w:szCs w:val="20"/>
        </w:rPr>
        <w:lastRenderedPageBreak/>
        <w:t>Supplementary Table 2: Studies Excluded at Full-Text Screening</w:t>
      </w:r>
    </w:p>
    <w:tbl>
      <w:tblPr>
        <w:tblStyle w:val="TableGrid"/>
        <w:tblW w:w="14311" w:type="dxa"/>
        <w:tblInd w:w="-572" w:type="dxa"/>
        <w:tblLayout w:type="fixed"/>
        <w:tblLook w:val="04A0" w:firstRow="1" w:lastRow="0" w:firstColumn="1" w:lastColumn="0" w:noHBand="0" w:noVBand="1"/>
      </w:tblPr>
      <w:tblGrid>
        <w:gridCol w:w="1212"/>
        <w:gridCol w:w="921"/>
        <w:gridCol w:w="1675"/>
        <w:gridCol w:w="914"/>
        <w:gridCol w:w="1066"/>
        <w:gridCol w:w="1218"/>
        <w:gridCol w:w="1523"/>
        <w:gridCol w:w="1371"/>
        <w:gridCol w:w="1371"/>
        <w:gridCol w:w="1371"/>
        <w:gridCol w:w="1669"/>
      </w:tblGrid>
      <w:tr w:rsidR="00AC26B3" w:rsidRPr="004A3B37" w14:paraId="7608D826" w14:textId="77777777" w:rsidTr="006E5EE3">
        <w:tc>
          <w:tcPr>
            <w:tcW w:w="1212" w:type="dxa"/>
            <w:vMerge w:val="restart"/>
          </w:tcPr>
          <w:p w14:paraId="3239A8AD"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Authors</w:t>
            </w:r>
          </w:p>
        </w:tc>
        <w:tc>
          <w:tcPr>
            <w:tcW w:w="921" w:type="dxa"/>
            <w:vMerge w:val="restart"/>
          </w:tcPr>
          <w:p w14:paraId="6908CB63"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Study Design</w:t>
            </w:r>
          </w:p>
        </w:tc>
        <w:tc>
          <w:tcPr>
            <w:tcW w:w="4873" w:type="dxa"/>
            <w:gridSpan w:val="4"/>
          </w:tcPr>
          <w:p w14:paraId="116F8D4E"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Study Setting</w:t>
            </w:r>
          </w:p>
        </w:tc>
        <w:tc>
          <w:tcPr>
            <w:tcW w:w="5636" w:type="dxa"/>
            <w:gridSpan w:val="4"/>
          </w:tcPr>
          <w:p w14:paraId="7F8C91DE"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Study Population in Analysis</w:t>
            </w:r>
          </w:p>
        </w:tc>
        <w:tc>
          <w:tcPr>
            <w:tcW w:w="1669" w:type="dxa"/>
            <w:vMerge w:val="restart"/>
          </w:tcPr>
          <w:p w14:paraId="4EC4FC1E" w14:textId="162B4032" w:rsidR="00AC26B3" w:rsidRPr="004A3B37" w:rsidRDefault="00D472EF" w:rsidP="004A3B37">
            <w:pPr>
              <w:rPr>
                <w:rFonts w:ascii="Times New Roman" w:hAnsi="Times New Roman" w:cs="Times New Roman"/>
                <w:sz w:val="16"/>
                <w:szCs w:val="16"/>
              </w:rPr>
            </w:pPr>
            <w:r w:rsidRPr="004A3B37">
              <w:rPr>
                <w:rFonts w:ascii="Times New Roman" w:hAnsi="Times New Roman" w:cs="Times New Roman"/>
                <w:sz w:val="16"/>
                <w:szCs w:val="16"/>
              </w:rPr>
              <w:t xml:space="preserve">Exclusion </w:t>
            </w:r>
          </w:p>
        </w:tc>
      </w:tr>
      <w:tr w:rsidR="00AC26B3" w:rsidRPr="004A3B37" w14:paraId="52E3E164" w14:textId="77777777" w:rsidTr="006E5EE3">
        <w:tc>
          <w:tcPr>
            <w:tcW w:w="1212" w:type="dxa"/>
            <w:vMerge/>
          </w:tcPr>
          <w:p w14:paraId="4C590E0F" w14:textId="77777777" w:rsidR="00AC26B3" w:rsidRPr="004A3B37" w:rsidRDefault="00AC26B3" w:rsidP="004A3B37">
            <w:pPr>
              <w:rPr>
                <w:rFonts w:ascii="Times New Roman" w:hAnsi="Times New Roman" w:cs="Times New Roman"/>
                <w:sz w:val="16"/>
                <w:szCs w:val="16"/>
              </w:rPr>
            </w:pPr>
          </w:p>
        </w:tc>
        <w:tc>
          <w:tcPr>
            <w:tcW w:w="921" w:type="dxa"/>
            <w:vMerge/>
          </w:tcPr>
          <w:p w14:paraId="0F7D30CA" w14:textId="77777777" w:rsidR="00AC26B3" w:rsidRPr="004A3B37" w:rsidRDefault="00AC26B3" w:rsidP="004A3B37">
            <w:pPr>
              <w:rPr>
                <w:rFonts w:ascii="Times New Roman" w:hAnsi="Times New Roman" w:cs="Times New Roman"/>
                <w:sz w:val="16"/>
                <w:szCs w:val="16"/>
              </w:rPr>
            </w:pPr>
          </w:p>
        </w:tc>
        <w:tc>
          <w:tcPr>
            <w:tcW w:w="1675" w:type="dxa"/>
          </w:tcPr>
          <w:p w14:paraId="50C578F8"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Eligibility Criteria</w:t>
            </w:r>
          </w:p>
        </w:tc>
        <w:tc>
          <w:tcPr>
            <w:tcW w:w="914" w:type="dxa"/>
          </w:tcPr>
          <w:p w14:paraId="42BE95CA"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Study Period</w:t>
            </w:r>
          </w:p>
        </w:tc>
        <w:tc>
          <w:tcPr>
            <w:tcW w:w="1066" w:type="dxa"/>
          </w:tcPr>
          <w:p w14:paraId="24853C1A"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Country</w:t>
            </w:r>
          </w:p>
        </w:tc>
        <w:tc>
          <w:tcPr>
            <w:tcW w:w="1218" w:type="dxa"/>
          </w:tcPr>
          <w:p w14:paraId="265F837E"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Number of Centres</w:t>
            </w:r>
          </w:p>
        </w:tc>
        <w:tc>
          <w:tcPr>
            <w:tcW w:w="1523" w:type="dxa"/>
          </w:tcPr>
          <w:p w14:paraId="39444EA4"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Exposure (Mean Waiting Time, Days)</w:t>
            </w:r>
          </w:p>
        </w:tc>
        <w:tc>
          <w:tcPr>
            <w:tcW w:w="1371" w:type="dxa"/>
          </w:tcPr>
          <w:p w14:paraId="0C89C991"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 xml:space="preserve">Sample Size </w:t>
            </w:r>
          </w:p>
          <w:p w14:paraId="1D0666F1"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[Exposure Groups]</w:t>
            </w:r>
          </w:p>
        </w:tc>
        <w:tc>
          <w:tcPr>
            <w:tcW w:w="1371" w:type="dxa"/>
          </w:tcPr>
          <w:p w14:paraId="19A7E5EC"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Mean Age (Years) [Exposure Groups]</w:t>
            </w:r>
          </w:p>
        </w:tc>
        <w:tc>
          <w:tcPr>
            <w:tcW w:w="1371" w:type="dxa"/>
          </w:tcPr>
          <w:p w14:paraId="592C5551" w14:textId="77777777"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Sex (% Female) [Exposure Groups]</w:t>
            </w:r>
          </w:p>
        </w:tc>
        <w:tc>
          <w:tcPr>
            <w:tcW w:w="1669" w:type="dxa"/>
            <w:vMerge/>
          </w:tcPr>
          <w:p w14:paraId="14D1E250" w14:textId="77777777" w:rsidR="00AC26B3" w:rsidRPr="004A3B37" w:rsidRDefault="00AC26B3" w:rsidP="004A3B37">
            <w:pPr>
              <w:rPr>
                <w:rFonts w:ascii="Times New Roman" w:hAnsi="Times New Roman" w:cs="Times New Roman"/>
                <w:sz w:val="16"/>
                <w:szCs w:val="16"/>
              </w:rPr>
            </w:pPr>
          </w:p>
        </w:tc>
      </w:tr>
      <w:tr w:rsidR="00AC26B3" w:rsidRPr="004A3B37" w14:paraId="49FDD7C4" w14:textId="77777777" w:rsidTr="006E5EE3">
        <w:tc>
          <w:tcPr>
            <w:tcW w:w="1212" w:type="dxa"/>
          </w:tcPr>
          <w:p w14:paraId="0B4A9A5D" w14:textId="7960C5D1" w:rsidR="00AC26B3" w:rsidRPr="004A3B37" w:rsidRDefault="00AC26B3" w:rsidP="004A3B37">
            <w:pPr>
              <w:rPr>
                <w:rFonts w:ascii="Times New Roman" w:hAnsi="Times New Roman" w:cs="Times New Roman"/>
                <w:sz w:val="16"/>
                <w:szCs w:val="16"/>
              </w:rPr>
            </w:pPr>
            <w:proofErr w:type="spellStart"/>
            <w:r w:rsidRPr="004A3B37">
              <w:rPr>
                <w:rFonts w:ascii="Times New Roman" w:hAnsi="Times New Roman" w:cs="Times New Roman"/>
                <w:sz w:val="16"/>
                <w:szCs w:val="16"/>
              </w:rPr>
              <w:t>Derret</w:t>
            </w:r>
            <w:proofErr w:type="spellEnd"/>
            <w:r w:rsidRPr="004A3B37">
              <w:rPr>
                <w:rFonts w:ascii="Times New Roman" w:hAnsi="Times New Roman" w:cs="Times New Roman"/>
                <w:sz w:val="16"/>
                <w:szCs w:val="16"/>
              </w:rPr>
              <w:t xml:space="preserve"> et al. 1999</w:t>
            </w:r>
            <w:r w:rsidR="004A3B37">
              <w:rPr>
                <w:rFonts w:ascii="Times New Roman" w:hAnsi="Times New Roman" w:cs="Times New Roman"/>
                <w:sz w:val="16"/>
                <w:szCs w:val="16"/>
              </w:rPr>
              <w:fldChar w:fldCharType="begin"/>
            </w:r>
            <w:r w:rsidR="00C360C4">
              <w:rPr>
                <w:rFonts w:ascii="Times New Roman" w:hAnsi="Times New Roman" w:cs="Times New Roman"/>
                <w:sz w:val="16"/>
                <w:szCs w:val="16"/>
              </w:rPr>
              <w:instrText xml:space="preserve"> ADDIN ZOTERO_ITEM CSL_CITATION {"citationID":"qggwNa5D","properties":{"formattedCitation":"\\super 1\\nosupersub{}","plainCitation":"1","noteIndex":0},"citationItems":[{"id":1504,"uris":["http://zotero.org/users/local/26vZAHNZ/items/DTTIZGV4"],"itemData":{"id":1504,"type":"article-journal","abstract":"OBJECTIVE: To describe the experiences of people required to wait for admission to a New Zealand regional hospital to receive elective surgery.\nDESIGN: Cross-sectional.\nSETTING: Eligible people were invited to participate in a face-to-face interview with one of us in their own home or in a private office at the University of Otago.\nSTUDY PARTICIPANTS: The study population comprised all people on the waiting list for prostatectomy or hip or knee joint replacement. Of those who were eligible and contacted, 89% of men (n=102) on the prostatectomy waiting list and 92%. of people (n = 47) on the hip/knee joint replacement waiting list were interviewed. Main outcome measures. Participants completed the SF-36 health survey to measure general health-related quality of life and condition-specific instruments to measure the severity of each participant's condition. Participants were also asked questions concerning acceptable waiting times.\nRESULTS: The majority of participants reported severe symptoms and significantly poorer health-related quality of life on most dimensions than a general sample of the New Zealand population. Neither general quality of life nor condition-specific health appeared to worsen with the duration of wait, but this may have been an effect of the study design. People with more severe symptoms desire surgery more quickly than people with less severe symptoms. The lengthy wait for surgery experienced by many participants represents a burden in terms of living with the unrelieved severe symptoms and poor health-related quality of life.","container-title":"International Journal for Quality in Health Care: Journal of the International Society for Quality in Health Care","DOI":"10.1093/intqhc/11.1.47","ISSN":"1353-4505","issue":"1","journalAbbreviation":"Int J Qual Health Care","language":"eng","note":"PMID: 10411289","page":"47-57","source":"PubMed","title":"Waiting for elective surgery: effects on health-related quality of life","title-short":"Waiting for elective surgery","volume":"11","author":[{"family":"Derrett","given":"S."},{"family":"Paul","given":"C."},{"family":"Morris","given":"J. M."}],"issued":{"date-parts":[["1999",2]]}}}],"schema":"https://github.com/citation-style-language/schema/raw/master/csl-citation.json"} </w:instrText>
            </w:r>
            <w:r w:rsidR="004A3B37">
              <w:rPr>
                <w:rFonts w:ascii="Times New Roman" w:hAnsi="Times New Roman" w:cs="Times New Roman"/>
                <w:sz w:val="16"/>
                <w:szCs w:val="16"/>
              </w:rPr>
              <w:fldChar w:fldCharType="separate"/>
            </w:r>
            <w:r w:rsidR="00C360C4" w:rsidRPr="00C360C4">
              <w:rPr>
                <w:rFonts w:ascii="Times New Roman" w:hAnsi="Times New Roman" w:cs="Times New Roman"/>
                <w:sz w:val="16"/>
                <w:vertAlign w:val="superscript"/>
              </w:rPr>
              <w:t>1</w:t>
            </w:r>
            <w:r w:rsidR="004A3B37">
              <w:rPr>
                <w:rFonts w:ascii="Times New Roman" w:hAnsi="Times New Roman" w:cs="Times New Roman"/>
                <w:sz w:val="16"/>
                <w:szCs w:val="16"/>
              </w:rPr>
              <w:fldChar w:fldCharType="end"/>
            </w:r>
          </w:p>
        </w:tc>
        <w:tc>
          <w:tcPr>
            <w:tcW w:w="921" w:type="dxa"/>
          </w:tcPr>
          <w:p w14:paraId="48109DE1" w14:textId="6650B7FF"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Cross-Sectional</w:t>
            </w:r>
          </w:p>
        </w:tc>
        <w:tc>
          <w:tcPr>
            <w:tcW w:w="1675" w:type="dxa"/>
          </w:tcPr>
          <w:p w14:paraId="40858E24" w14:textId="52D2AD77" w:rsidR="00AC26B3" w:rsidRPr="004A3B37" w:rsidRDefault="00D472EF" w:rsidP="004A3B37">
            <w:pPr>
              <w:rPr>
                <w:rFonts w:ascii="Times New Roman" w:hAnsi="Times New Roman" w:cs="Times New Roman"/>
                <w:sz w:val="16"/>
                <w:szCs w:val="16"/>
              </w:rPr>
            </w:pPr>
            <w:r w:rsidRPr="004A3B37">
              <w:rPr>
                <w:rFonts w:ascii="Times New Roman" w:hAnsi="Times New Roman" w:cs="Times New Roman"/>
                <w:sz w:val="16"/>
                <w:szCs w:val="16"/>
              </w:rPr>
              <w:t>Patients awaiting non-urgent hip or knee replacement on 5</w:t>
            </w:r>
            <w:r w:rsidRPr="004A3B37">
              <w:rPr>
                <w:rFonts w:ascii="Times New Roman" w:hAnsi="Times New Roman" w:cs="Times New Roman"/>
                <w:sz w:val="16"/>
                <w:szCs w:val="16"/>
                <w:vertAlign w:val="superscript"/>
              </w:rPr>
              <w:t>th</w:t>
            </w:r>
            <w:r w:rsidRPr="004A3B37">
              <w:rPr>
                <w:rFonts w:ascii="Times New Roman" w:hAnsi="Times New Roman" w:cs="Times New Roman"/>
                <w:sz w:val="16"/>
                <w:szCs w:val="16"/>
              </w:rPr>
              <w:t xml:space="preserve"> October 1995</w:t>
            </w:r>
          </w:p>
        </w:tc>
        <w:tc>
          <w:tcPr>
            <w:tcW w:w="914" w:type="dxa"/>
          </w:tcPr>
          <w:p w14:paraId="5EAAC6E7" w14:textId="15B75754" w:rsidR="00AC26B3" w:rsidRPr="004A3B37" w:rsidRDefault="00FC4A22" w:rsidP="004A3B37">
            <w:pPr>
              <w:rPr>
                <w:rFonts w:ascii="Times New Roman" w:hAnsi="Times New Roman" w:cs="Times New Roman"/>
                <w:sz w:val="16"/>
                <w:szCs w:val="16"/>
              </w:rPr>
            </w:pPr>
            <w:r w:rsidRPr="004A3B37">
              <w:rPr>
                <w:rFonts w:ascii="Times New Roman" w:hAnsi="Times New Roman" w:cs="Times New Roman"/>
                <w:sz w:val="16"/>
                <w:szCs w:val="16"/>
              </w:rPr>
              <w:t>1995</w:t>
            </w:r>
          </w:p>
        </w:tc>
        <w:tc>
          <w:tcPr>
            <w:tcW w:w="1066" w:type="dxa"/>
          </w:tcPr>
          <w:p w14:paraId="589D853A" w14:textId="6F5364FA"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New Zealand</w:t>
            </w:r>
          </w:p>
        </w:tc>
        <w:tc>
          <w:tcPr>
            <w:tcW w:w="1218" w:type="dxa"/>
          </w:tcPr>
          <w:p w14:paraId="2E0CDED5" w14:textId="06529FCD" w:rsidR="00AC26B3" w:rsidRPr="004A3B37" w:rsidRDefault="00AC26B3" w:rsidP="004A3B37">
            <w:pPr>
              <w:rPr>
                <w:rFonts w:ascii="Times New Roman" w:hAnsi="Times New Roman" w:cs="Times New Roman"/>
                <w:sz w:val="16"/>
                <w:szCs w:val="16"/>
              </w:rPr>
            </w:pPr>
            <w:r w:rsidRPr="004A3B37">
              <w:rPr>
                <w:rFonts w:ascii="Times New Roman" w:hAnsi="Times New Roman" w:cs="Times New Roman"/>
                <w:sz w:val="16"/>
                <w:szCs w:val="16"/>
              </w:rPr>
              <w:t>Single-Centre</w:t>
            </w:r>
          </w:p>
        </w:tc>
        <w:tc>
          <w:tcPr>
            <w:tcW w:w="1523" w:type="dxa"/>
          </w:tcPr>
          <w:p w14:paraId="3ECD6646" w14:textId="506CEB80" w:rsidR="00AC26B3" w:rsidRPr="004A3B37" w:rsidRDefault="00FC4A22" w:rsidP="004A3B37">
            <w:pPr>
              <w:rPr>
                <w:rFonts w:ascii="Times New Roman" w:hAnsi="Times New Roman" w:cs="Times New Roman"/>
                <w:sz w:val="16"/>
                <w:szCs w:val="16"/>
              </w:rPr>
            </w:pPr>
            <w:r w:rsidRPr="004A3B37">
              <w:rPr>
                <w:rFonts w:ascii="Times New Roman" w:hAnsi="Times New Roman" w:cs="Times New Roman"/>
                <w:sz w:val="16"/>
                <w:szCs w:val="16"/>
              </w:rPr>
              <w:t>0-182.5, 182.5-365, 365-730, &gt;730</w:t>
            </w:r>
          </w:p>
        </w:tc>
        <w:tc>
          <w:tcPr>
            <w:tcW w:w="1371" w:type="dxa"/>
          </w:tcPr>
          <w:p w14:paraId="68D95D8D" w14:textId="7380F253" w:rsidR="00AC26B3" w:rsidRPr="004A3B37" w:rsidRDefault="00D472EF" w:rsidP="004A3B37">
            <w:pPr>
              <w:rPr>
                <w:rFonts w:ascii="Times New Roman" w:hAnsi="Times New Roman" w:cs="Times New Roman"/>
                <w:sz w:val="16"/>
                <w:szCs w:val="16"/>
              </w:rPr>
            </w:pPr>
            <w:r w:rsidRPr="004A3B37">
              <w:rPr>
                <w:rFonts w:ascii="Times New Roman" w:hAnsi="Times New Roman" w:cs="Times New Roman"/>
                <w:sz w:val="16"/>
                <w:szCs w:val="16"/>
              </w:rPr>
              <w:t>47 [N/A]</w:t>
            </w:r>
          </w:p>
        </w:tc>
        <w:tc>
          <w:tcPr>
            <w:tcW w:w="1371" w:type="dxa"/>
          </w:tcPr>
          <w:p w14:paraId="75E6C70E" w14:textId="5A3A3C05" w:rsidR="00AC26B3" w:rsidRPr="004A3B37" w:rsidRDefault="00FC4A22" w:rsidP="004A3B37">
            <w:pPr>
              <w:rPr>
                <w:rFonts w:ascii="Times New Roman" w:hAnsi="Times New Roman" w:cs="Times New Roman"/>
                <w:sz w:val="16"/>
                <w:szCs w:val="16"/>
              </w:rPr>
            </w:pPr>
            <w:r w:rsidRPr="004A3B37">
              <w:rPr>
                <w:rFonts w:ascii="Times New Roman" w:hAnsi="Times New Roman" w:cs="Times New Roman"/>
                <w:sz w:val="16"/>
                <w:szCs w:val="16"/>
              </w:rPr>
              <w:t>65-69</w:t>
            </w:r>
            <w:r w:rsidR="00F26E75" w:rsidRPr="004A3B37">
              <w:rPr>
                <w:rFonts w:ascii="Times New Roman" w:hAnsi="Times New Roman" w:cs="Times New Roman"/>
                <w:sz w:val="16"/>
                <w:szCs w:val="16"/>
              </w:rPr>
              <w:t>*</w:t>
            </w:r>
            <w:r w:rsidRPr="004A3B37">
              <w:rPr>
                <w:rFonts w:ascii="Times New Roman" w:hAnsi="Times New Roman" w:cs="Times New Roman"/>
                <w:sz w:val="16"/>
                <w:szCs w:val="16"/>
              </w:rPr>
              <w:t xml:space="preserve"> [N/A]</w:t>
            </w:r>
          </w:p>
        </w:tc>
        <w:tc>
          <w:tcPr>
            <w:tcW w:w="1371" w:type="dxa"/>
          </w:tcPr>
          <w:p w14:paraId="316F6650" w14:textId="4D827651" w:rsidR="00AC26B3" w:rsidRPr="004A3B37" w:rsidRDefault="00FC4A22" w:rsidP="004A3B37">
            <w:pPr>
              <w:rPr>
                <w:rFonts w:ascii="Times New Roman" w:hAnsi="Times New Roman" w:cs="Times New Roman"/>
                <w:sz w:val="16"/>
                <w:szCs w:val="16"/>
              </w:rPr>
            </w:pPr>
            <w:r w:rsidRPr="004A3B37">
              <w:rPr>
                <w:rFonts w:ascii="Times New Roman" w:hAnsi="Times New Roman" w:cs="Times New Roman"/>
                <w:sz w:val="16"/>
                <w:szCs w:val="16"/>
              </w:rPr>
              <w:t>60</w:t>
            </w:r>
            <w:r w:rsidR="00CD4650" w:rsidRPr="004A3B37">
              <w:rPr>
                <w:rFonts w:ascii="Times New Roman" w:hAnsi="Times New Roman" w:cs="Times New Roman"/>
                <w:sz w:val="16"/>
                <w:szCs w:val="16"/>
              </w:rPr>
              <w:t>%</w:t>
            </w:r>
            <w:r w:rsidRPr="004A3B37">
              <w:rPr>
                <w:rFonts w:ascii="Times New Roman" w:hAnsi="Times New Roman" w:cs="Times New Roman"/>
                <w:sz w:val="16"/>
                <w:szCs w:val="16"/>
              </w:rPr>
              <w:t xml:space="preserve"> [N/A]</w:t>
            </w:r>
          </w:p>
        </w:tc>
        <w:tc>
          <w:tcPr>
            <w:tcW w:w="1669" w:type="dxa"/>
          </w:tcPr>
          <w:p w14:paraId="19B4D937" w14:textId="5D286263" w:rsidR="00AC26B3" w:rsidRPr="004A3B37" w:rsidRDefault="00D472EF" w:rsidP="004A3B37">
            <w:pPr>
              <w:rPr>
                <w:rFonts w:ascii="Times New Roman" w:hAnsi="Times New Roman" w:cs="Times New Roman"/>
                <w:sz w:val="16"/>
                <w:szCs w:val="16"/>
              </w:rPr>
            </w:pPr>
            <w:r w:rsidRPr="004A3B37">
              <w:rPr>
                <w:rFonts w:ascii="Times New Roman" w:hAnsi="Times New Roman" w:cs="Times New Roman"/>
                <w:sz w:val="16"/>
                <w:szCs w:val="16"/>
              </w:rPr>
              <w:t xml:space="preserve">Unspecified primary or </w:t>
            </w:r>
            <w:r w:rsidR="00CD4650" w:rsidRPr="004A3B37">
              <w:rPr>
                <w:rFonts w:ascii="Times New Roman" w:hAnsi="Times New Roman" w:cs="Times New Roman"/>
                <w:sz w:val="16"/>
                <w:szCs w:val="16"/>
              </w:rPr>
              <w:t>THR/ TKR</w:t>
            </w:r>
            <w:r w:rsidRPr="004A3B37">
              <w:rPr>
                <w:rFonts w:ascii="Times New Roman" w:hAnsi="Times New Roman" w:cs="Times New Roman"/>
                <w:sz w:val="16"/>
                <w:szCs w:val="16"/>
              </w:rPr>
              <w:t xml:space="preserve"> replacement surgery</w:t>
            </w:r>
            <w:r w:rsidR="00F26E75" w:rsidRPr="004A3B37">
              <w:rPr>
                <w:rFonts w:ascii="Times New Roman" w:hAnsi="Times New Roman" w:cs="Times New Roman"/>
                <w:sz w:val="16"/>
                <w:szCs w:val="16"/>
              </w:rPr>
              <w:t xml:space="preserve"> in analysis.</w:t>
            </w:r>
          </w:p>
        </w:tc>
      </w:tr>
      <w:tr w:rsidR="006E5EE3" w:rsidRPr="004A3B37" w14:paraId="4487ADCE" w14:textId="77777777" w:rsidTr="006E5EE3">
        <w:tc>
          <w:tcPr>
            <w:tcW w:w="1212" w:type="dxa"/>
          </w:tcPr>
          <w:p w14:paraId="13B61F4D" w14:textId="33452C23" w:rsidR="006E5EE3" w:rsidRPr="004A3B37" w:rsidRDefault="006E5EE3" w:rsidP="004A3B37">
            <w:pPr>
              <w:rPr>
                <w:rFonts w:ascii="Times New Roman" w:hAnsi="Times New Roman" w:cs="Times New Roman"/>
                <w:sz w:val="16"/>
                <w:szCs w:val="16"/>
              </w:rPr>
            </w:pPr>
            <w:r w:rsidRPr="004A3B37">
              <w:rPr>
                <w:rFonts w:ascii="Times New Roman" w:hAnsi="Times New Roman" w:cs="Times New Roman"/>
                <w:sz w:val="16"/>
                <w:szCs w:val="16"/>
              </w:rPr>
              <w:t>Tuominen et al. 200</w:t>
            </w:r>
            <w:r w:rsidR="004A3B37">
              <w:rPr>
                <w:rFonts w:ascii="Times New Roman" w:hAnsi="Times New Roman" w:cs="Times New Roman"/>
                <w:sz w:val="16"/>
                <w:szCs w:val="16"/>
              </w:rPr>
              <w:t>9</w:t>
            </w:r>
            <w:r w:rsidR="004A3B37">
              <w:rPr>
                <w:rFonts w:ascii="Times New Roman" w:hAnsi="Times New Roman" w:cs="Times New Roman"/>
                <w:sz w:val="16"/>
                <w:szCs w:val="16"/>
              </w:rPr>
              <w:fldChar w:fldCharType="begin"/>
            </w:r>
            <w:r w:rsidR="00C360C4">
              <w:rPr>
                <w:rFonts w:ascii="Times New Roman" w:hAnsi="Times New Roman" w:cs="Times New Roman"/>
                <w:sz w:val="16"/>
                <w:szCs w:val="16"/>
              </w:rPr>
              <w:instrText xml:space="preserve"> ADDIN ZOTERO_ITEM CSL_CITATION {"citationID":"nE6cGNwB","properties":{"formattedCitation":"\\super 2\\nosupersub{}","plainCitation":"2","noteIndex":0},"citationItems":[{"id":1510,"uris":["http://zotero.org/users/local/26vZAHNZ/items/RRXYG5LB"],"itemData":{"id":1510,"type":"article-journal","abstract":"Objective\nTo evaluate the effect of waiting time on health and quality of life outcomes and costs of medication in total hip replacement (THR) patients in a randomized clinical trial.\nMethods\n395 THR patients were recruited into the study. When placed on the waiting list, patients were randomized into a short (≤3 months) or a non-fixed waiting time (NFWT) (&gt;3 months) group. In the final analyses 309 patients (179 women) with a mean age of 65 years were included. Health-related quality of life (HRQoL) (generic 15D), and pain and function (modified Harris Hip Score (HHS)) were calculated when placed on the waiting list, at hospital admission, and at 3 and 12 months postoperatively. The costs of disease-specific medication were calculated at the same measurement points. All analyses were performed using the intention-to-treat (ITT) principal.\nResults\nOf the recruited patients, 309 (78%) completed the follow-up (short group 140 and non-fixed group 169 patients). The mean waiting time was 74 days in the short and 194 days in the NFWT groups. In the ITT analyses there were no statistically significant differences between the groups in the weekly use and costs of medication, HRQoL or HHS at baseline, at admission, or 3 or 12 months after surgery. The only difference was in total medication costs during the waiting time period, at EUR 83 and 171, respectively.\nConclusions\nThe length of the waiting time did not generate different effects on the studied health and quality of life outcomes of the randomized groups. However, those in short waiting time group reached earlier better HRQoL.","container-title":"Osteoarthritis and Cartilage","DOI":"10.1016/j.joca.2009.03.014","ISSN":"1063-4584","issue":"9","journalAbbreviation":"Osteoarthritis and Cartilage","language":"en","page":"1144-1150","source":"ScienceDirect","title":"The effect of waiting time on health and quality of life outcomes and costs of medication in hip replacement patients: a randomized clinical trial","title-short":"The effect of waiting time on health and quality of life outcomes and costs of medication in hip replacement patients","volume":"17","author":[{"family":"Tuominen","given":"U."},{"family":"Sintonen","given":"H."},{"family":"Hirvonen","given":"J."},{"family":"Seitsalo","given":"S."},{"family":"Paavolainen","given":"P."},{"family":"Lehto","given":"M."},{"family":"Hietaniemi","given":"K."},{"family":"Blom","given":"M."}],"issued":{"date-parts":[["2009",9,1]]}}}],"schema":"https://github.com/citation-style-language/schema/raw/master/csl-citation.json"} </w:instrText>
            </w:r>
            <w:r w:rsidR="004A3B37">
              <w:rPr>
                <w:rFonts w:ascii="Times New Roman" w:hAnsi="Times New Roman" w:cs="Times New Roman"/>
                <w:sz w:val="16"/>
                <w:szCs w:val="16"/>
              </w:rPr>
              <w:fldChar w:fldCharType="separate"/>
            </w:r>
            <w:r w:rsidR="00C360C4" w:rsidRPr="00C360C4">
              <w:rPr>
                <w:rFonts w:ascii="Times New Roman" w:hAnsi="Times New Roman" w:cs="Times New Roman"/>
                <w:sz w:val="16"/>
                <w:vertAlign w:val="superscript"/>
              </w:rPr>
              <w:t>2</w:t>
            </w:r>
            <w:r w:rsidR="004A3B37">
              <w:rPr>
                <w:rFonts w:ascii="Times New Roman" w:hAnsi="Times New Roman" w:cs="Times New Roman"/>
                <w:sz w:val="16"/>
                <w:szCs w:val="16"/>
              </w:rPr>
              <w:fldChar w:fldCharType="end"/>
            </w:r>
          </w:p>
        </w:tc>
        <w:tc>
          <w:tcPr>
            <w:tcW w:w="921" w:type="dxa"/>
          </w:tcPr>
          <w:p w14:paraId="4CDB97C0" w14:textId="21ACEE3F" w:rsidR="006E5EE3" w:rsidRPr="004A3B37" w:rsidRDefault="006E5EE3" w:rsidP="004A3B37">
            <w:pPr>
              <w:rPr>
                <w:rFonts w:ascii="Times New Roman" w:hAnsi="Times New Roman" w:cs="Times New Roman"/>
                <w:sz w:val="16"/>
                <w:szCs w:val="16"/>
              </w:rPr>
            </w:pPr>
            <w:r w:rsidRPr="004A3B37">
              <w:rPr>
                <w:rFonts w:ascii="Times New Roman" w:hAnsi="Times New Roman" w:cs="Times New Roman"/>
                <w:sz w:val="16"/>
                <w:szCs w:val="16"/>
              </w:rPr>
              <w:t>RCT</w:t>
            </w:r>
          </w:p>
        </w:tc>
        <w:tc>
          <w:tcPr>
            <w:tcW w:w="1675" w:type="dxa"/>
          </w:tcPr>
          <w:p w14:paraId="1F59853B" w14:textId="7965345A" w:rsidR="006E5EE3" w:rsidRPr="004A3B37" w:rsidRDefault="006E5EE3" w:rsidP="004A3B37">
            <w:pPr>
              <w:rPr>
                <w:rFonts w:ascii="Times New Roman" w:hAnsi="Times New Roman" w:cs="Times New Roman"/>
                <w:sz w:val="16"/>
                <w:szCs w:val="16"/>
              </w:rPr>
            </w:pPr>
            <w:r w:rsidRPr="004A3B37">
              <w:rPr>
                <w:rFonts w:ascii="Times New Roman" w:hAnsi="Times New Roman" w:cs="Times New Roman"/>
                <w:sz w:val="16"/>
                <w:szCs w:val="16"/>
              </w:rPr>
              <w:t xml:space="preserve">Patients awaiting primary TKR for OA &gt;16 </w:t>
            </w:r>
            <w:proofErr w:type="gramStart"/>
            <w:r w:rsidRPr="004A3B37">
              <w:rPr>
                <w:rFonts w:ascii="Times New Roman" w:hAnsi="Times New Roman" w:cs="Times New Roman"/>
                <w:sz w:val="16"/>
                <w:szCs w:val="16"/>
              </w:rPr>
              <w:t>years-old</w:t>
            </w:r>
            <w:proofErr w:type="gramEnd"/>
            <w:r w:rsidRPr="004A3B37">
              <w:rPr>
                <w:rFonts w:ascii="Times New Roman" w:hAnsi="Times New Roman" w:cs="Times New Roman"/>
                <w:sz w:val="16"/>
                <w:szCs w:val="16"/>
              </w:rPr>
              <w:t>.</w:t>
            </w:r>
          </w:p>
        </w:tc>
        <w:tc>
          <w:tcPr>
            <w:tcW w:w="914" w:type="dxa"/>
          </w:tcPr>
          <w:p w14:paraId="4858F22A" w14:textId="152ADCF1" w:rsidR="006E5EE3" w:rsidRPr="004A3B37" w:rsidRDefault="006E5EE3" w:rsidP="004A3B37">
            <w:pPr>
              <w:rPr>
                <w:rFonts w:ascii="Times New Roman" w:hAnsi="Times New Roman" w:cs="Times New Roman"/>
                <w:sz w:val="16"/>
                <w:szCs w:val="16"/>
              </w:rPr>
            </w:pPr>
            <w:r w:rsidRPr="004A3B37">
              <w:rPr>
                <w:rFonts w:ascii="Times New Roman" w:hAnsi="Times New Roman" w:cs="Times New Roman"/>
                <w:sz w:val="16"/>
                <w:szCs w:val="16"/>
              </w:rPr>
              <w:t>2002-2003</w:t>
            </w:r>
          </w:p>
        </w:tc>
        <w:tc>
          <w:tcPr>
            <w:tcW w:w="1066" w:type="dxa"/>
          </w:tcPr>
          <w:p w14:paraId="174F04E9" w14:textId="304D15A0" w:rsidR="006E5EE3" w:rsidRPr="004A3B37" w:rsidRDefault="006E5EE3" w:rsidP="004A3B37">
            <w:pPr>
              <w:rPr>
                <w:rFonts w:ascii="Times New Roman" w:hAnsi="Times New Roman" w:cs="Times New Roman"/>
                <w:sz w:val="16"/>
                <w:szCs w:val="16"/>
              </w:rPr>
            </w:pPr>
            <w:r w:rsidRPr="004A3B37">
              <w:rPr>
                <w:rFonts w:ascii="Times New Roman" w:hAnsi="Times New Roman" w:cs="Times New Roman"/>
                <w:sz w:val="16"/>
                <w:szCs w:val="16"/>
              </w:rPr>
              <w:t>Finland</w:t>
            </w:r>
          </w:p>
        </w:tc>
        <w:tc>
          <w:tcPr>
            <w:tcW w:w="1218" w:type="dxa"/>
          </w:tcPr>
          <w:p w14:paraId="4D7C1557" w14:textId="10A20FE2" w:rsidR="006E5EE3" w:rsidRPr="004A3B37" w:rsidRDefault="006E5EE3" w:rsidP="004A3B37">
            <w:pPr>
              <w:rPr>
                <w:rFonts w:ascii="Times New Roman" w:hAnsi="Times New Roman" w:cs="Times New Roman"/>
                <w:sz w:val="16"/>
                <w:szCs w:val="16"/>
              </w:rPr>
            </w:pPr>
            <w:r w:rsidRPr="004A3B37">
              <w:rPr>
                <w:rFonts w:ascii="Times New Roman" w:hAnsi="Times New Roman" w:cs="Times New Roman"/>
                <w:sz w:val="16"/>
                <w:szCs w:val="16"/>
              </w:rPr>
              <w:t>3 Hospitals</w:t>
            </w:r>
          </w:p>
        </w:tc>
        <w:tc>
          <w:tcPr>
            <w:tcW w:w="1523" w:type="dxa"/>
          </w:tcPr>
          <w:p w14:paraId="2C4B9B60" w14:textId="73DEB894" w:rsidR="006E5EE3" w:rsidRPr="004A3B37" w:rsidRDefault="006E5EE3" w:rsidP="004A3B37">
            <w:pPr>
              <w:rPr>
                <w:rFonts w:ascii="Times New Roman" w:hAnsi="Times New Roman" w:cs="Times New Roman"/>
                <w:sz w:val="16"/>
                <w:szCs w:val="16"/>
              </w:rPr>
            </w:pPr>
            <w:r w:rsidRPr="004A3B37">
              <w:rPr>
                <w:rFonts w:ascii="Times New Roman" w:hAnsi="Times New Roman" w:cs="Times New Roman"/>
                <w:sz w:val="16"/>
                <w:szCs w:val="16"/>
              </w:rPr>
              <w:t xml:space="preserve">74, 194 </w:t>
            </w:r>
          </w:p>
        </w:tc>
        <w:tc>
          <w:tcPr>
            <w:tcW w:w="1371" w:type="dxa"/>
          </w:tcPr>
          <w:p w14:paraId="6B947383" w14:textId="44033050" w:rsidR="006E5EE3" w:rsidRPr="004A3B37" w:rsidRDefault="006E5EE3" w:rsidP="004A3B37">
            <w:pPr>
              <w:rPr>
                <w:rFonts w:ascii="Times New Roman" w:hAnsi="Times New Roman" w:cs="Times New Roman"/>
                <w:sz w:val="16"/>
                <w:szCs w:val="16"/>
              </w:rPr>
            </w:pPr>
            <w:r w:rsidRPr="004A3B37">
              <w:rPr>
                <w:rFonts w:ascii="Times New Roman" w:hAnsi="Times New Roman" w:cs="Times New Roman"/>
                <w:sz w:val="16"/>
                <w:szCs w:val="16"/>
              </w:rPr>
              <w:t>145, 175</w:t>
            </w:r>
          </w:p>
        </w:tc>
        <w:tc>
          <w:tcPr>
            <w:tcW w:w="1371" w:type="dxa"/>
          </w:tcPr>
          <w:p w14:paraId="392046ED" w14:textId="3CA49B46" w:rsidR="006E5EE3" w:rsidRPr="004A3B37" w:rsidRDefault="006E5EE3" w:rsidP="004A3B37">
            <w:pPr>
              <w:rPr>
                <w:rFonts w:ascii="Times New Roman" w:hAnsi="Times New Roman" w:cs="Times New Roman"/>
                <w:sz w:val="16"/>
                <w:szCs w:val="16"/>
              </w:rPr>
            </w:pPr>
            <w:r w:rsidRPr="004A3B37">
              <w:rPr>
                <w:rFonts w:ascii="Times New Roman" w:hAnsi="Times New Roman" w:cs="Times New Roman"/>
                <w:sz w:val="16"/>
                <w:szCs w:val="16"/>
              </w:rPr>
              <w:t>65 [64, 66]</w:t>
            </w:r>
          </w:p>
        </w:tc>
        <w:tc>
          <w:tcPr>
            <w:tcW w:w="1371" w:type="dxa"/>
          </w:tcPr>
          <w:p w14:paraId="264DBFF3" w14:textId="2974C75C"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49.4% [49.2%, 52.3%]</w:t>
            </w:r>
          </w:p>
        </w:tc>
        <w:tc>
          <w:tcPr>
            <w:tcW w:w="1669" w:type="dxa"/>
          </w:tcPr>
          <w:p w14:paraId="0FC99C8E" w14:textId="15B8C916" w:rsidR="006E5EE3" w:rsidRPr="004A3B37" w:rsidRDefault="006E5EE3" w:rsidP="004A3B37">
            <w:pPr>
              <w:rPr>
                <w:rFonts w:ascii="Times New Roman" w:hAnsi="Times New Roman" w:cs="Times New Roman"/>
                <w:sz w:val="16"/>
                <w:szCs w:val="16"/>
              </w:rPr>
            </w:pPr>
            <w:r w:rsidRPr="004A3B37">
              <w:rPr>
                <w:rFonts w:ascii="Times New Roman" w:hAnsi="Times New Roman" w:cs="Times New Roman"/>
                <w:sz w:val="16"/>
                <w:szCs w:val="16"/>
              </w:rPr>
              <w:t xml:space="preserve">Cohort re-reported and </w:t>
            </w:r>
            <w:r w:rsidR="00CD4650" w:rsidRPr="004A3B37">
              <w:rPr>
                <w:rFonts w:ascii="Times New Roman" w:hAnsi="Times New Roman" w:cs="Times New Roman"/>
                <w:sz w:val="16"/>
                <w:szCs w:val="16"/>
              </w:rPr>
              <w:t xml:space="preserve">analysis </w:t>
            </w:r>
            <w:r w:rsidRPr="004A3B37">
              <w:rPr>
                <w:rFonts w:ascii="Times New Roman" w:hAnsi="Times New Roman" w:cs="Times New Roman"/>
                <w:sz w:val="16"/>
                <w:szCs w:val="16"/>
              </w:rPr>
              <w:t>superseded by Tuominen et al. 2010 (Included)</w:t>
            </w:r>
            <w:r w:rsidR="00CD4650" w:rsidRPr="004A3B37">
              <w:rPr>
                <w:rFonts w:ascii="Times New Roman" w:hAnsi="Times New Roman" w:cs="Times New Roman"/>
                <w:sz w:val="16"/>
                <w:szCs w:val="16"/>
              </w:rPr>
              <w:t>.</w:t>
            </w:r>
          </w:p>
        </w:tc>
      </w:tr>
      <w:tr w:rsidR="006E5EE3" w:rsidRPr="004A3B37" w14:paraId="2733FC05" w14:textId="77777777" w:rsidTr="006E5EE3">
        <w:tc>
          <w:tcPr>
            <w:tcW w:w="1212" w:type="dxa"/>
          </w:tcPr>
          <w:p w14:paraId="2BBC5627" w14:textId="12623AFF"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Brown et al. 2020</w:t>
            </w:r>
            <w:r w:rsidR="004A3B37">
              <w:rPr>
                <w:rFonts w:ascii="Times New Roman" w:hAnsi="Times New Roman" w:cs="Times New Roman"/>
                <w:sz w:val="16"/>
                <w:szCs w:val="16"/>
              </w:rPr>
              <w:fldChar w:fldCharType="begin"/>
            </w:r>
            <w:r w:rsidR="00C360C4">
              <w:rPr>
                <w:rFonts w:ascii="Times New Roman" w:hAnsi="Times New Roman" w:cs="Times New Roman"/>
                <w:sz w:val="16"/>
                <w:szCs w:val="16"/>
              </w:rPr>
              <w:instrText xml:space="preserve"> ADDIN ZOTERO_ITEM CSL_CITATION {"citationID":"UYb86a38","properties":{"formattedCitation":"\\super 3\\nosupersub{}","plainCitation":"3","noteIndex":0},"citationItems":[{"id":1507,"uris":["http://zotero.org/users/local/26vZAHNZ/items/9JDUHXU5"],"itemData":{"id":1507,"type":"article-journal","abstract":"BACKGROUND: In response to the COVID-19 pandemic, hospitals in the United States were recommended to stop performing elective procedures. This stoppage has led to the cancellation of a large number of hip and knee arthroplasties. The effect of this on patients' physical mental and economic health is unknown.\nMETHODS: A survey was developed by the AAHKS Research Committee to assess pain, anxiety, physical function, and economic ability of patients to undergo a delayed operation. Six institutions conducted the survey to 360 patients who had to have elective hip and knee arthroplasty cancelled between March and July of 2020.\nRESULTS: Patients were most anxious about the uncertainty of when their operation could be rescheduled. Although 85% of patients understood and agreed with the public health measures to curb infections, almost 90% of patients plan to reschedule as soon as possible. Age and geographic region of the patients affected their anxiety. Younger patients were more likely to have financial concerns and concerns about job security. Patients in the Northeast were more concerned about catching COVID-19 during a future hospitalization.\nCONCLUSIONS: Patients suffering from the pain of hip and knee arthritis continue to struggle with pain from their end-stage disease. They have anxiety about the COVID-19 pandemic. Few patients feel they will be limited financially and 90% want to have surgery as soon as possible. Age and physical location of the patients affect their causes for anxiety around their future surgery.","container-title":"The Journal of Arthroplasty","DOI":"10.1016/j.arth.2020.04.052","ISSN":"1532-8406","issue":"7S","journalAbbreviation":"J Arthroplasty","language":"eng","note":"PMID: 32376163\nPMCID: PMC7195093","page":"S49-S55","source":"PubMed","title":"The Effect of the COVID-19 Pandemic on Electively Scheduled Hip and Knee Arthroplasty Patients in the United States","volume":"35","author":[{"family":"Brown","given":"Timothy S."},{"family":"Bedard","given":"Nicholas A."},{"family":"Rojas","given":"Edward O."},{"family":"Anthony","given":"Christopher A."},{"family":"Schwarzkopf","given":"Ran"},{"family":"Barnes","given":"C. Lowry"},{"family":"Stambough","given":"Jeffrey B."},{"family":"Mears","given":"Simon C."},{"family":"Edwards","given":"Paul K."},{"family":"Nandi","given":"Sumon"},{"family":"Prieto","given":"Hernan A."},{"family":"Parvizi","given":"Javad"},{"literal":"AAHKS Research Committee"}],"issued":{"date-parts":[["2020",7]]}}}],"schema":"https://github.com/citation-style-language/schema/raw/master/csl-citation.json"} </w:instrText>
            </w:r>
            <w:r w:rsidR="004A3B37">
              <w:rPr>
                <w:rFonts w:ascii="Times New Roman" w:hAnsi="Times New Roman" w:cs="Times New Roman"/>
                <w:sz w:val="16"/>
                <w:szCs w:val="16"/>
              </w:rPr>
              <w:fldChar w:fldCharType="separate"/>
            </w:r>
            <w:r w:rsidR="00C360C4" w:rsidRPr="00C360C4">
              <w:rPr>
                <w:rFonts w:ascii="Times New Roman" w:hAnsi="Times New Roman" w:cs="Times New Roman"/>
                <w:sz w:val="16"/>
                <w:vertAlign w:val="superscript"/>
              </w:rPr>
              <w:t>3</w:t>
            </w:r>
            <w:r w:rsidR="004A3B37">
              <w:rPr>
                <w:rFonts w:ascii="Times New Roman" w:hAnsi="Times New Roman" w:cs="Times New Roman"/>
                <w:sz w:val="16"/>
                <w:szCs w:val="16"/>
              </w:rPr>
              <w:fldChar w:fldCharType="end"/>
            </w:r>
          </w:p>
        </w:tc>
        <w:tc>
          <w:tcPr>
            <w:tcW w:w="921" w:type="dxa"/>
          </w:tcPr>
          <w:p w14:paraId="7341F1F4" w14:textId="4C6AE8A5"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Cross-Sectional</w:t>
            </w:r>
          </w:p>
        </w:tc>
        <w:tc>
          <w:tcPr>
            <w:tcW w:w="1675" w:type="dxa"/>
          </w:tcPr>
          <w:p w14:paraId="43EC0B09" w14:textId="4BC828FA"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Patients scheduled for primary THR/ TKR</w:t>
            </w:r>
            <w:r w:rsidR="00385F01" w:rsidRPr="004A3B37">
              <w:rPr>
                <w:rFonts w:ascii="Times New Roman" w:hAnsi="Times New Roman" w:cs="Times New Roman"/>
                <w:sz w:val="16"/>
                <w:szCs w:val="16"/>
              </w:rPr>
              <w:t xml:space="preserve"> cancelled because of COVID-19.</w:t>
            </w:r>
          </w:p>
        </w:tc>
        <w:tc>
          <w:tcPr>
            <w:tcW w:w="914" w:type="dxa"/>
          </w:tcPr>
          <w:p w14:paraId="5170399A" w14:textId="2E7B81EF"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2020</w:t>
            </w:r>
          </w:p>
        </w:tc>
        <w:tc>
          <w:tcPr>
            <w:tcW w:w="1066" w:type="dxa"/>
          </w:tcPr>
          <w:p w14:paraId="595EA0E9" w14:textId="7F52683F"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USA</w:t>
            </w:r>
          </w:p>
        </w:tc>
        <w:tc>
          <w:tcPr>
            <w:tcW w:w="1218" w:type="dxa"/>
          </w:tcPr>
          <w:p w14:paraId="1E4FEDED" w14:textId="10B9CD3A"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7 Centres</w:t>
            </w:r>
          </w:p>
        </w:tc>
        <w:tc>
          <w:tcPr>
            <w:tcW w:w="1523" w:type="dxa"/>
          </w:tcPr>
          <w:p w14:paraId="7B676A6C" w14:textId="01F922E8"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N/A- COVID-19 Pandemic</w:t>
            </w:r>
          </w:p>
        </w:tc>
        <w:tc>
          <w:tcPr>
            <w:tcW w:w="1371" w:type="dxa"/>
          </w:tcPr>
          <w:p w14:paraId="496A9C75" w14:textId="0CB2C88B"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360</w:t>
            </w:r>
          </w:p>
        </w:tc>
        <w:tc>
          <w:tcPr>
            <w:tcW w:w="1371" w:type="dxa"/>
          </w:tcPr>
          <w:p w14:paraId="1A010BA6" w14:textId="56FEEB8B"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65</w:t>
            </w:r>
          </w:p>
        </w:tc>
        <w:tc>
          <w:tcPr>
            <w:tcW w:w="1371" w:type="dxa"/>
          </w:tcPr>
          <w:p w14:paraId="35289C4C" w14:textId="77C4D877"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58%</w:t>
            </w:r>
          </w:p>
        </w:tc>
        <w:tc>
          <w:tcPr>
            <w:tcW w:w="1669" w:type="dxa"/>
          </w:tcPr>
          <w:p w14:paraId="7200E3E7" w14:textId="3EB08A5C" w:rsidR="006E5EE3" w:rsidRPr="004A3B37" w:rsidRDefault="00CD4650" w:rsidP="004A3B37">
            <w:pPr>
              <w:rPr>
                <w:rFonts w:ascii="Times New Roman" w:hAnsi="Times New Roman" w:cs="Times New Roman"/>
                <w:sz w:val="16"/>
                <w:szCs w:val="16"/>
              </w:rPr>
            </w:pPr>
            <w:r w:rsidRPr="004A3B37">
              <w:rPr>
                <w:rFonts w:ascii="Times New Roman" w:hAnsi="Times New Roman" w:cs="Times New Roman"/>
                <w:sz w:val="16"/>
                <w:szCs w:val="16"/>
              </w:rPr>
              <w:t>Expanded cohort updated in Brown et al. 2021 (Included).</w:t>
            </w:r>
          </w:p>
        </w:tc>
      </w:tr>
      <w:tr w:rsidR="00385F01" w:rsidRPr="004A3B37" w14:paraId="5964AAA2" w14:textId="77777777" w:rsidTr="006E5EE3">
        <w:tc>
          <w:tcPr>
            <w:tcW w:w="1212" w:type="dxa"/>
          </w:tcPr>
          <w:p w14:paraId="71B43A0C" w14:textId="555BF61F" w:rsidR="00385F01" w:rsidRPr="004A3B37" w:rsidRDefault="00385F01" w:rsidP="004A3B37">
            <w:pPr>
              <w:rPr>
                <w:rFonts w:ascii="Times New Roman" w:hAnsi="Times New Roman" w:cs="Times New Roman"/>
                <w:sz w:val="16"/>
                <w:szCs w:val="16"/>
              </w:rPr>
            </w:pPr>
            <w:r w:rsidRPr="004A3B37">
              <w:rPr>
                <w:rFonts w:ascii="Times New Roman" w:hAnsi="Times New Roman" w:cs="Times New Roman"/>
                <w:sz w:val="16"/>
                <w:szCs w:val="16"/>
              </w:rPr>
              <w:t>Wilson et al.</w:t>
            </w:r>
            <w:r w:rsidR="004A3B37">
              <w:rPr>
                <w:rFonts w:ascii="Times New Roman" w:hAnsi="Times New Roman" w:cs="Times New Roman"/>
                <w:sz w:val="16"/>
                <w:szCs w:val="16"/>
              </w:rPr>
              <w:t xml:space="preserve"> </w:t>
            </w:r>
            <w:r w:rsidR="00D705F1" w:rsidRPr="004A3B37">
              <w:rPr>
                <w:rFonts w:ascii="Times New Roman" w:hAnsi="Times New Roman" w:cs="Times New Roman"/>
                <w:sz w:val="16"/>
                <w:szCs w:val="16"/>
              </w:rPr>
              <w:t>2020</w:t>
            </w:r>
            <w:r w:rsidR="004A3B37">
              <w:rPr>
                <w:rFonts w:ascii="Times New Roman" w:hAnsi="Times New Roman" w:cs="Times New Roman"/>
                <w:sz w:val="16"/>
                <w:szCs w:val="16"/>
              </w:rPr>
              <w:fldChar w:fldCharType="begin"/>
            </w:r>
            <w:r w:rsidR="00C360C4">
              <w:rPr>
                <w:rFonts w:ascii="Times New Roman" w:hAnsi="Times New Roman" w:cs="Times New Roman"/>
                <w:sz w:val="16"/>
                <w:szCs w:val="16"/>
              </w:rPr>
              <w:instrText xml:space="preserve"> ADDIN ZOTERO_ITEM CSL_CITATION {"citationID":"VGszvDja","properties":{"formattedCitation":"\\super 4\\nosupersub{}","plainCitation":"4","noteIndex":0},"citationItems":[{"id":1200,"uris":["http://zotero.org/users/local/26vZAHNZ/items/TUABKHWQ"],"itemData":{"id":1200,"type":"article-journal","abstract":"Background\nTotal hip arthroplasty (THA) and total knee arthroplasty (TKA) are two high-volume procedures that were delayed due to COVID-19.\n\nQuestions/Purposes\nTo help strategize an effective return to elective orthopedic surgery, we aimed to quantify the volume of THA and TKA cases delayed across the USA and estimate the time required to care for these patients when non-urgent surgery resumes.\n\nMethods\nPopulation-level data was used to estimate monthly THA and TKA procedural volume from 2011 to 2017. Using linear regression, we used this data to project monthly procedural volumes for 2020 to 2023. Nine different permutations were modeled to account for variations in case delay rates (50%, 75%, 100%) and in resumption of non-urgent procedure timing. Two recovery pathways using the highest volume month as a surrogate for maximum operative capacity, and a second using the highest month + 20% were used to simulate a theoretical expansion of current capacity.\n\nResults\nThe projected national volume of delayed cases was 155,293 (mid-March through April; 95% CI 142,004 to 168,580), 260,806 (through May; 95% CI 238,658 to 282,952), and 372,706 (through June; 95% CI 341,699 to 403,709). The best- and worst-case scenarios for delayed cases were 77,646 (95% CI 71,002 to 84,290) and 372,706 (95% CI 341,699 to 403,709), respectively. The projected catch-up time varied between 9 and nearly 35 months for the best- and worst-case scenarios. The addition of 20% increased productivity decreased this time to between 3.21 and 11.59 months.\n\nConclusion\nThe COVID-19 pandemic has generated a significant backlog of THA and TKA procedures. Surgeons, administrators, and policymakers should account for these modeled estimates of case volume delays and projected demands.\n\nElectronic supplementary material\nThe online version of this article (10.1007/s11420-020-09806-z) contains supplementary material, which is available to authorized users.","container-title":"HSS Journal","DOI":"10.1007/s11420-020-09806-z","ISSN":"1556-3316","issue":"Suppl 1","journalAbbreviation":"HSS J","note":"PMID: 33169071\nPMCID: PMC7640577","page":"85-91","source":"PubMed Central","title":"Quantifying the Backlog of Total Hip and Knee Arthroplasty Cases: Predicting the Impact of COVID-19","title-short":"Quantifying the Backlog of Total Hip and Knee Arthroplasty Cases","volume":"16","author":[{"family":"Wilson","given":"Jacob M."},{"family":"Schwartz","given":"Andrew M."},{"family":"Farley","given":"Kevin X."},{"family":"Roberson","given":"James R."},{"family":"Bradbury","given":"Thomas L."},{"family":"Guild","given":"George N."}],"issued":{"date-parts":[["2020",11]]}}}],"schema":"https://github.com/citation-style-language/schema/raw/master/csl-citation.json"} </w:instrText>
            </w:r>
            <w:r w:rsidR="004A3B37">
              <w:rPr>
                <w:rFonts w:ascii="Times New Roman" w:hAnsi="Times New Roman" w:cs="Times New Roman"/>
                <w:sz w:val="16"/>
                <w:szCs w:val="16"/>
              </w:rPr>
              <w:fldChar w:fldCharType="separate"/>
            </w:r>
            <w:r w:rsidR="00C360C4" w:rsidRPr="00C360C4">
              <w:rPr>
                <w:rFonts w:ascii="Times New Roman" w:hAnsi="Times New Roman" w:cs="Times New Roman"/>
                <w:sz w:val="16"/>
                <w:vertAlign w:val="superscript"/>
              </w:rPr>
              <w:t>4</w:t>
            </w:r>
            <w:r w:rsidR="004A3B37">
              <w:rPr>
                <w:rFonts w:ascii="Times New Roman" w:hAnsi="Times New Roman" w:cs="Times New Roman"/>
                <w:sz w:val="16"/>
                <w:szCs w:val="16"/>
              </w:rPr>
              <w:fldChar w:fldCharType="end"/>
            </w:r>
          </w:p>
        </w:tc>
        <w:tc>
          <w:tcPr>
            <w:tcW w:w="921" w:type="dxa"/>
          </w:tcPr>
          <w:p w14:paraId="2A23E1B6" w14:textId="07FEC6BF" w:rsidR="00385F01" w:rsidRPr="004A3B37" w:rsidRDefault="00385F01" w:rsidP="004A3B37">
            <w:pPr>
              <w:rPr>
                <w:rFonts w:ascii="Times New Roman" w:hAnsi="Times New Roman" w:cs="Times New Roman"/>
                <w:sz w:val="16"/>
                <w:szCs w:val="16"/>
              </w:rPr>
            </w:pPr>
            <w:r w:rsidRPr="004A3B37">
              <w:rPr>
                <w:rFonts w:ascii="Times New Roman" w:hAnsi="Times New Roman" w:cs="Times New Roman"/>
                <w:sz w:val="16"/>
                <w:szCs w:val="16"/>
              </w:rPr>
              <w:t>Cross-Sectional</w:t>
            </w:r>
          </w:p>
        </w:tc>
        <w:tc>
          <w:tcPr>
            <w:tcW w:w="1675" w:type="dxa"/>
          </w:tcPr>
          <w:p w14:paraId="3D96C6A1" w14:textId="096AB5FA" w:rsidR="00385F01" w:rsidRPr="004A3B37" w:rsidRDefault="00385F01" w:rsidP="004A3B37">
            <w:pPr>
              <w:rPr>
                <w:rFonts w:ascii="Times New Roman" w:hAnsi="Times New Roman" w:cs="Times New Roman"/>
                <w:sz w:val="16"/>
                <w:szCs w:val="16"/>
              </w:rPr>
            </w:pPr>
            <w:r w:rsidRPr="004A3B37">
              <w:rPr>
                <w:rFonts w:ascii="Times New Roman" w:hAnsi="Times New Roman" w:cs="Times New Roman"/>
                <w:sz w:val="16"/>
                <w:szCs w:val="16"/>
              </w:rPr>
              <w:t>Patients scheduled for primary THR/ TKR cancelled because of COVID-19.</w:t>
            </w:r>
          </w:p>
        </w:tc>
        <w:tc>
          <w:tcPr>
            <w:tcW w:w="914" w:type="dxa"/>
          </w:tcPr>
          <w:p w14:paraId="5C4EDB37" w14:textId="3A9CFB6C" w:rsidR="00385F01" w:rsidRPr="004A3B37" w:rsidRDefault="00385F01" w:rsidP="004A3B37">
            <w:pPr>
              <w:rPr>
                <w:rFonts w:ascii="Times New Roman" w:hAnsi="Times New Roman" w:cs="Times New Roman"/>
                <w:sz w:val="16"/>
                <w:szCs w:val="16"/>
              </w:rPr>
            </w:pPr>
            <w:r w:rsidRPr="004A3B37">
              <w:rPr>
                <w:rFonts w:ascii="Times New Roman" w:hAnsi="Times New Roman" w:cs="Times New Roman"/>
                <w:sz w:val="16"/>
                <w:szCs w:val="16"/>
              </w:rPr>
              <w:t>2020</w:t>
            </w:r>
          </w:p>
        </w:tc>
        <w:tc>
          <w:tcPr>
            <w:tcW w:w="1066" w:type="dxa"/>
          </w:tcPr>
          <w:p w14:paraId="583CA6D1" w14:textId="1603E928" w:rsidR="00385F01" w:rsidRPr="004A3B37" w:rsidRDefault="00385F01" w:rsidP="004A3B37">
            <w:pPr>
              <w:rPr>
                <w:rFonts w:ascii="Times New Roman" w:hAnsi="Times New Roman" w:cs="Times New Roman"/>
                <w:sz w:val="16"/>
                <w:szCs w:val="16"/>
              </w:rPr>
            </w:pPr>
            <w:r w:rsidRPr="004A3B37">
              <w:rPr>
                <w:rFonts w:ascii="Times New Roman" w:hAnsi="Times New Roman" w:cs="Times New Roman"/>
                <w:sz w:val="16"/>
                <w:szCs w:val="16"/>
              </w:rPr>
              <w:t>USA</w:t>
            </w:r>
          </w:p>
        </w:tc>
        <w:tc>
          <w:tcPr>
            <w:tcW w:w="1218" w:type="dxa"/>
          </w:tcPr>
          <w:p w14:paraId="29D897F6" w14:textId="0A10516F" w:rsidR="00385F01" w:rsidRPr="004A3B37" w:rsidRDefault="00385F01" w:rsidP="004A3B37">
            <w:pPr>
              <w:rPr>
                <w:rFonts w:ascii="Times New Roman" w:hAnsi="Times New Roman" w:cs="Times New Roman"/>
                <w:sz w:val="16"/>
                <w:szCs w:val="16"/>
              </w:rPr>
            </w:pPr>
            <w:r w:rsidRPr="004A3B37">
              <w:rPr>
                <w:rFonts w:ascii="Times New Roman" w:hAnsi="Times New Roman" w:cs="Times New Roman"/>
                <w:sz w:val="16"/>
                <w:szCs w:val="16"/>
              </w:rPr>
              <w:t>Single-Centre</w:t>
            </w:r>
          </w:p>
        </w:tc>
        <w:tc>
          <w:tcPr>
            <w:tcW w:w="1523" w:type="dxa"/>
          </w:tcPr>
          <w:p w14:paraId="754A91C1" w14:textId="1EFA050E" w:rsidR="00385F01" w:rsidRPr="004A3B37" w:rsidRDefault="00385F01" w:rsidP="004A3B37">
            <w:pPr>
              <w:rPr>
                <w:rFonts w:ascii="Times New Roman" w:hAnsi="Times New Roman" w:cs="Times New Roman"/>
                <w:sz w:val="16"/>
                <w:szCs w:val="16"/>
              </w:rPr>
            </w:pPr>
            <w:r w:rsidRPr="004A3B37">
              <w:rPr>
                <w:rFonts w:ascii="Times New Roman" w:hAnsi="Times New Roman" w:cs="Times New Roman"/>
                <w:sz w:val="16"/>
                <w:szCs w:val="16"/>
              </w:rPr>
              <w:t>N/A- COVID-19 Pandemic</w:t>
            </w:r>
          </w:p>
        </w:tc>
        <w:tc>
          <w:tcPr>
            <w:tcW w:w="1371" w:type="dxa"/>
          </w:tcPr>
          <w:p w14:paraId="48C68DB4" w14:textId="666B8509" w:rsidR="00385F01" w:rsidRPr="004A3B37" w:rsidRDefault="00385F01" w:rsidP="004A3B37">
            <w:pPr>
              <w:rPr>
                <w:rFonts w:ascii="Times New Roman" w:hAnsi="Times New Roman" w:cs="Times New Roman"/>
                <w:sz w:val="16"/>
                <w:szCs w:val="16"/>
              </w:rPr>
            </w:pPr>
            <w:r w:rsidRPr="004A3B37">
              <w:rPr>
                <w:rFonts w:ascii="Times New Roman" w:hAnsi="Times New Roman" w:cs="Times New Roman"/>
                <w:sz w:val="16"/>
                <w:szCs w:val="16"/>
              </w:rPr>
              <w:t>111</w:t>
            </w:r>
          </w:p>
        </w:tc>
        <w:tc>
          <w:tcPr>
            <w:tcW w:w="1371" w:type="dxa"/>
          </w:tcPr>
          <w:p w14:paraId="0436FE26" w14:textId="140B7975" w:rsidR="00385F01" w:rsidRPr="004A3B37" w:rsidRDefault="00385F01" w:rsidP="004A3B37">
            <w:pPr>
              <w:rPr>
                <w:rFonts w:ascii="Times New Roman" w:hAnsi="Times New Roman" w:cs="Times New Roman"/>
                <w:sz w:val="16"/>
                <w:szCs w:val="16"/>
              </w:rPr>
            </w:pPr>
            <w:r w:rsidRPr="004A3B37">
              <w:rPr>
                <w:rFonts w:ascii="Times New Roman" w:hAnsi="Times New Roman" w:cs="Times New Roman"/>
                <w:sz w:val="16"/>
                <w:szCs w:val="16"/>
              </w:rPr>
              <w:t>65</w:t>
            </w:r>
          </w:p>
        </w:tc>
        <w:tc>
          <w:tcPr>
            <w:tcW w:w="1371" w:type="dxa"/>
          </w:tcPr>
          <w:p w14:paraId="4CC09D6B" w14:textId="41D82145" w:rsidR="00385F01" w:rsidRPr="004A3B37" w:rsidRDefault="00385F01" w:rsidP="004A3B37">
            <w:pPr>
              <w:rPr>
                <w:rFonts w:ascii="Times New Roman" w:hAnsi="Times New Roman" w:cs="Times New Roman"/>
                <w:sz w:val="16"/>
                <w:szCs w:val="16"/>
              </w:rPr>
            </w:pPr>
            <w:r w:rsidRPr="004A3B37">
              <w:rPr>
                <w:rFonts w:ascii="Times New Roman" w:hAnsi="Times New Roman" w:cs="Times New Roman"/>
                <w:sz w:val="16"/>
                <w:szCs w:val="16"/>
              </w:rPr>
              <w:t>65%</w:t>
            </w:r>
          </w:p>
        </w:tc>
        <w:tc>
          <w:tcPr>
            <w:tcW w:w="1669" w:type="dxa"/>
          </w:tcPr>
          <w:p w14:paraId="1463F2C2" w14:textId="66F1D61A" w:rsidR="00385F01" w:rsidRPr="004A3B37" w:rsidRDefault="00385F01" w:rsidP="004A3B37">
            <w:pPr>
              <w:rPr>
                <w:rFonts w:ascii="Times New Roman" w:hAnsi="Times New Roman" w:cs="Times New Roman"/>
                <w:sz w:val="16"/>
                <w:szCs w:val="16"/>
              </w:rPr>
            </w:pPr>
            <w:r w:rsidRPr="004A3B37">
              <w:rPr>
                <w:rFonts w:ascii="Times New Roman" w:hAnsi="Times New Roman" w:cs="Times New Roman"/>
                <w:sz w:val="16"/>
                <w:szCs w:val="16"/>
              </w:rPr>
              <w:t xml:space="preserve">Included </w:t>
            </w:r>
            <w:r w:rsidR="00F863A1" w:rsidRPr="004A3B37">
              <w:rPr>
                <w:rFonts w:ascii="Times New Roman" w:hAnsi="Times New Roman" w:cs="Times New Roman"/>
                <w:sz w:val="16"/>
                <w:szCs w:val="16"/>
              </w:rPr>
              <w:t>r</w:t>
            </w:r>
            <w:r w:rsidRPr="004A3B37">
              <w:rPr>
                <w:rFonts w:ascii="Times New Roman" w:hAnsi="Times New Roman" w:cs="Times New Roman"/>
                <w:sz w:val="16"/>
                <w:szCs w:val="16"/>
              </w:rPr>
              <w:t xml:space="preserve">evision </w:t>
            </w:r>
            <w:r w:rsidR="00F863A1" w:rsidRPr="004A3B37">
              <w:rPr>
                <w:rFonts w:ascii="Times New Roman" w:hAnsi="Times New Roman" w:cs="Times New Roman"/>
                <w:sz w:val="16"/>
                <w:szCs w:val="16"/>
              </w:rPr>
              <w:t>a</w:t>
            </w:r>
            <w:r w:rsidRPr="004A3B37">
              <w:rPr>
                <w:rFonts w:ascii="Times New Roman" w:hAnsi="Times New Roman" w:cs="Times New Roman"/>
                <w:sz w:val="16"/>
                <w:szCs w:val="16"/>
              </w:rPr>
              <w:t>rthroplasties</w:t>
            </w:r>
            <w:r w:rsidR="00F26E75" w:rsidRPr="004A3B37">
              <w:rPr>
                <w:rFonts w:ascii="Times New Roman" w:hAnsi="Times New Roman" w:cs="Times New Roman"/>
                <w:sz w:val="16"/>
                <w:szCs w:val="16"/>
              </w:rPr>
              <w:t xml:space="preserve"> in analysis.</w:t>
            </w:r>
          </w:p>
        </w:tc>
      </w:tr>
      <w:tr w:rsidR="00F863A1" w:rsidRPr="004A3B37" w14:paraId="601F3D98" w14:textId="77777777" w:rsidTr="006E5EE3">
        <w:tc>
          <w:tcPr>
            <w:tcW w:w="1212" w:type="dxa"/>
          </w:tcPr>
          <w:p w14:paraId="12C507BE" w14:textId="53D39BEF" w:rsidR="00F863A1" w:rsidRPr="004A3B37" w:rsidRDefault="00F863A1" w:rsidP="004A3B37">
            <w:pPr>
              <w:rPr>
                <w:rFonts w:ascii="Times New Roman" w:hAnsi="Times New Roman" w:cs="Times New Roman"/>
                <w:sz w:val="16"/>
                <w:szCs w:val="16"/>
              </w:rPr>
            </w:pPr>
            <w:proofErr w:type="spellStart"/>
            <w:r w:rsidRPr="004A3B37">
              <w:rPr>
                <w:rFonts w:ascii="Times New Roman" w:hAnsi="Times New Roman" w:cs="Times New Roman"/>
                <w:sz w:val="16"/>
                <w:szCs w:val="16"/>
              </w:rPr>
              <w:t>Madanipo</w:t>
            </w:r>
            <w:r w:rsidR="004A3B37">
              <w:rPr>
                <w:rFonts w:ascii="Times New Roman" w:hAnsi="Times New Roman" w:cs="Times New Roman"/>
                <w:sz w:val="16"/>
                <w:szCs w:val="16"/>
              </w:rPr>
              <w:t>u</w:t>
            </w:r>
            <w:r w:rsidRPr="004A3B37">
              <w:rPr>
                <w:rFonts w:ascii="Times New Roman" w:hAnsi="Times New Roman" w:cs="Times New Roman"/>
                <w:sz w:val="16"/>
                <w:szCs w:val="16"/>
              </w:rPr>
              <w:t>r</w:t>
            </w:r>
            <w:proofErr w:type="spellEnd"/>
            <w:r w:rsidRPr="004A3B37">
              <w:rPr>
                <w:rFonts w:ascii="Times New Roman" w:hAnsi="Times New Roman" w:cs="Times New Roman"/>
                <w:sz w:val="16"/>
                <w:szCs w:val="16"/>
              </w:rPr>
              <w:t xml:space="preserve"> et al. 202</w:t>
            </w:r>
            <w:r w:rsidR="00D705F1" w:rsidRPr="004A3B37">
              <w:rPr>
                <w:rFonts w:ascii="Times New Roman" w:hAnsi="Times New Roman" w:cs="Times New Roman"/>
                <w:sz w:val="16"/>
                <w:szCs w:val="16"/>
              </w:rPr>
              <w:t>0</w:t>
            </w:r>
            <w:r w:rsidR="004A3B37">
              <w:rPr>
                <w:rFonts w:ascii="Times New Roman" w:hAnsi="Times New Roman" w:cs="Times New Roman"/>
                <w:sz w:val="16"/>
                <w:szCs w:val="16"/>
              </w:rPr>
              <w:fldChar w:fldCharType="begin"/>
            </w:r>
            <w:r w:rsidR="00C360C4">
              <w:rPr>
                <w:rFonts w:ascii="Times New Roman" w:hAnsi="Times New Roman" w:cs="Times New Roman"/>
                <w:sz w:val="16"/>
                <w:szCs w:val="16"/>
              </w:rPr>
              <w:instrText xml:space="preserve"> ADDIN ZOTERO_ITEM CSL_CITATION {"citationID":"G0SWN1L7","properties":{"formattedCitation":"\\super 5\\nosupersub{}","plainCitation":"5","noteIndex":0},"citationItems":[{"id":1519,"uris":["http://zotero.org/users/local/26vZAHNZ/items/MT3AC9D3"],"itemData":{"id":1519,"type":"article-journal","abstract":"INTRODUCTION: There has been guidance from the government and orthopaedic community on how best to ensure the safety of our patients and colleagues as we recommence elective surgery in the UK. The primary aim was to determine what proportion of patients feel they should proceed with their elective hip and knee arthroplasty surgery during the COVID-19 climate. The secondary aim was to investigate what variables affected this decision.\nMETHODS: Patient information from a single surgeon's waiting list in a district general hospital were recorded. A standardised telephone discussion was had with all the patients noting the severity of pain and the potential reasons for not wanting to proceed with surgery.\nRESULTS: A total of 70.6% (96/136) of patients wished to proceed with surgery; 29.4% (40/136) did not wish to proceed. The decision to proceed with surgery was not correlated with sex, American Society of Anesthesiologists grade or COVID-19 risk. Those who wished to proceed with surgery had a mean age of 68.5 years while those who did not had a mean age of 72.4 years (P = 0.03). Within the matched subgroups, patients under the age of 70 years were more willing to proceed with primary hip arthroplasty surgery (87.9%) compared with primary knee arthroplasty surgery (57.1%; P = 0.007); 75% of the patients who did not wish to proceed with surgery expressed concerns about perioperative COVID-19 infection.\nCONCLUSION: There is a significant proportion of arthroplasty patients on waiting lists who would be willing to accept the increased risks associated with COVID-19 to undergo surgery on an urgent basis. The subgroup of younger patients awaiting hip arthroplasty is more willing than those awaiting knee arthroplasty to proceed with surgery.","container-title":"Annals of the Royal College of Surgeons of England","DOI":"10.1308/rcsann.2020.7012","ISSN":"1478-7083","issue":"2","journalAbbreviation":"Ann R Coll Surg Engl","language":"eng","note":"PMID: 33185459","page":"104-109","source":"PubMed","title":"Resuming elective hip and knee arthroplasty in the COVID-19 era: a unique insight into patient risk aversion and sentiment","title-short":"Resuming elective hip and knee arthroplasty in the COVID-19 era","volume":"103","author":[{"family":"Madanipour","given":"S."},{"family":"Al-Obaedi","given":"O."},{"family":"Ayub","given":"A."},{"family":"Iranpour","given":"F."},{"family":"Subramanian","given":"P."}],"issued":{"date-parts":[["2021",2]]}}}],"schema":"https://github.com/citation-style-language/schema/raw/master/csl-citation.json"} </w:instrText>
            </w:r>
            <w:r w:rsidR="004A3B37">
              <w:rPr>
                <w:rFonts w:ascii="Times New Roman" w:hAnsi="Times New Roman" w:cs="Times New Roman"/>
                <w:sz w:val="16"/>
                <w:szCs w:val="16"/>
              </w:rPr>
              <w:fldChar w:fldCharType="separate"/>
            </w:r>
            <w:r w:rsidR="00C360C4" w:rsidRPr="00C360C4">
              <w:rPr>
                <w:rFonts w:ascii="Times New Roman" w:hAnsi="Times New Roman" w:cs="Times New Roman"/>
                <w:sz w:val="16"/>
                <w:vertAlign w:val="superscript"/>
              </w:rPr>
              <w:t>5</w:t>
            </w:r>
            <w:r w:rsidR="004A3B37">
              <w:rPr>
                <w:rFonts w:ascii="Times New Roman" w:hAnsi="Times New Roman" w:cs="Times New Roman"/>
                <w:sz w:val="16"/>
                <w:szCs w:val="16"/>
              </w:rPr>
              <w:fldChar w:fldCharType="end"/>
            </w:r>
          </w:p>
        </w:tc>
        <w:tc>
          <w:tcPr>
            <w:tcW w:w="921" w:type="dxa"/>
          </w:tcPr>
          <w:p w14:paraId="2BC6AF42" w14:textId="3EE705C4" w:rsidR="00F863A1" w:rsidRPr="004A3B37" w:rsidRDefault="00F863A1" w:rsidP="004A3B37">
            <w:pPr>
              <w:rPr>
                <w:rFonts w:ascii="Times New Roman" w:hAnsi="Times New Roman" w:cs="Times New Roman"/>
                <w:sz w:val="16"/>
                <w:szCs w:val="16"/>
              </w:rPr>
            </w:pPr>
            <w:r w:rsidRPr="004A3B37">
              <w:rPr>
                <w:rFonts w:ascii="Times New Roman" w:hAnsi="Times New Roman" w:cs="Times New Roman"/>
                <w:sz w:val="16"/>
                <w:szCs w:val="16"/>
              </w:rPr>
              <w:t>Cross-Sectional</w:t>
            </w:r>
          </w:p>
        </w:tc>
        <w:tc>
          <w:tcPr>
            <w:tcW w:w="1675" w:type="dxa"/>
          </w:tcPr>
          <w:p w14:paraId="003E4967" w14:textId="39F07F45" w:rsidR="00F863A1" w:rsidRPr="004A3B37" w:rsidRDefault="00F863A1" w:rsidP="004A3B37">
            <w:pPr>
              <w:rPr>
                <w:rFonts w:ascii="Times New Roman" w:hAnsi="Times New Roman" w:cs="Times New Roman"/>
                <w:sz w:val="16"/>
                <w:szCs w:val="16"/>
              </w:rPr>
            </w:pPr>
            <w:r w:rsidRPr="004A3B37">
              <w:rPr>
                <w:rFonts w:ascii="Times New Roman" w:hAnsi="Times New Roman" w:cs="Times New Roman"/>
                <w:sz w:val="16"/>
                <w:szCs w:val="16"/>
              </w:rPr>
              <w:t>Patients awaiting hip or knee arthroplasty.</w:t>
            </w:r>
          </w:p>
        </w:tc>
        <w:tc>
          <w:tcPr>
            <w:tcW w:w="914" w:type="dxa"/>
          </w:tcPr>
          <w:p w14:paraId="7092A066" w14:textId="6C6DD118" w:rsidR="00F863A1" w:rsidRPr="004A3B37" w:rsidRDefault="0094509A" w:rsidP="004A3B37">
            <w:pPr>
              <w:rPr>
                <w:rFonts w:ascii="Times New Roman" w:hAnsi="Times New Roman" w:cs="Times New Roman"/>
                <w:sz w:val="16"/>
                <w:szCs w:val="16"/>
              </w:rPr>
            </w:pPr>
            <w:r>
              <w:rPr>
                <w:rFonts w:ascii="Times New Roman" w:hAnsi="Times New Roman" w:cs="Times New Roman"/>
                <w:sz w:val="16"/>
                <w:szCs w:val="16"/>
              </w:rPr>
              <w:t>2020</w:t>
            </w:r>
          </w:p>
        </w:tc>
        <w:tc>
          <w:tcPr>
            <w:tcW w:w="1066" w:type="dxa"/>
          </w:tcPr>
          <w:p w14:paraId="44205ACC" w14:textId="2AC71DF7" w:rsidR="00F863A1" w:rsidRPr="004A3B37" w:rsidRDefault="00F863A1" w:rsidP="004A3B37">
            <w:pPr>
              <w:rPr>
                <w:rFonts w:ascii="Times New Roman" w:hAnsi="Times New Roman" w:cs="Times New Roman"/>
                <w:sz w:val="16"/>
                <w:szCs w:val="16"/>
              </w:rPr>
            </w:pPr>
            <w:r w:rsidRPr="004A3B37">
              <w:rPr>
                <w:rFonts w:ascii="Times New Roman" w:hAnsi="Times New Roman" w:cs="Times New Roman"/>
                <w:sz w:val="16"/>
                <w:szCs w:val="16"/>
              </w:rPr>
              <w:t>UK</w:t>
            </w:r>
          </w:p>
        </w:tc>
        <w:tc>
          <w:tcPr>
            <w:tcW w:w="1218" w:type="dxa"/>
          </w:tcPr>
          <w:p w14:paraId="284821FF" w14:textId="5092B1FE" w:rsidR="00F863A1" w:rsidRPr="004A3B37" w:rsidRDefault="00F863A1" w:rsidP="004A3B37">
            <w:pPr>
              <w:rPr>
                <w:rFonts w:ascii="Times New Roman" w:hAnsi="Times New Roman" w:cs="Times New Roman"/>
                <w:sz w:val="16"/>
                <w:szCs w:val="16"/>
              </w:rPr>
            </w:pPr>
            <w:r w:rsidRPr="004A3B37">
              <w:rPr>
                <w:rFonts w:ascii="Times New Roman" w:hAnsi="Times New Roman" w:cs="Times New Roman"/>
                <w:sz w:val="16"/>
                <w:szCs w:val="16"/>
              </w:rPr>
              <w:t>Single-Centre</w:t>
            </w:r>
          </w:p>
        </w:tc>
        <w:tc>
          <w:tcPr>
            <w:tcW w:w="1523" w:type="dxa"/>
          </w:tcPr>
          <w:p w14:paraId="724CFDF6" w14:textId="7777A438" w:rsidR="00F863A1" w:rsidRPr="004A3B37" w:rsidRDefault="00F863A1" w:rsidP="004A3B37">
            <w:pPr>
              <w:rPr>
                <w:rFonts w:ascii="Times New Roman" w:hAnsi="Times New Roman" w:cs="Times New Roman"/>
                <w:sz w:val="16"/>
                <w:szCs w:val="16"/>
              </w:rPr>
            </w:pPr>
            <w:r w:rsidRPr="004A3B37">
              <w:rPr>
                <w:rFonts w:ascii="Times New Roman" w:hAnsi="Times New Roman" w:cs="Times New Roman"/>
                <w:sz w:val="16"/>
                <w:szCs w:val="16"/>
              </w:rPr>
              <w:t>N/A- COVID-19 Pandemic</w:t>
            </w:r>
          </w:p>
        </w:tc>
        <w:tc>
          <w:tcPr>
            <w:tcW w:w="1371" w:type="dxa"/>
          </w:tcPr>
          <w:p w14:paraId="0EB7CDC4" w14:textId="417073EC" w:rsidR="00F863A1" w:rsidRPr="004A3B37" w:rsidRDefault="00F863A1" w:rsidP="004A3B37">
            <w:pPr>
              <w:rPr>
                <w:rFonts w:ascii="Times New Roman" w:hAnsi="Times New Roman" w:cs="Times New Roman"/>
                <w:sz w:val="16"/>
                <w:szCs w:val="16"/>
              </w:rPr>
            </w:pPr>
            <w:r w:rsidRPr="004A3B37">
              <w:rPr>
                <w:rFonts w:ascii="Times New Roman" w:hAnsi="Times New Roman" w:cs="Times New Roman"/>
                <w:sz w:val="16"/>
                <w:szCs w:val="16"/>
              </w:rPr>
              <w:t>136</w:t>
            </w:r>
          </w:p>
        </w:tc>
        <w:tc>
          <w:tcPr>
            <w:tcW w:w="1371" w:type="dxa"/>
          </w:tcPr>
          <w:p w14:paraId="3C5D945F" w14:textId="45A3E99D" w:rsidR="00F863A1" w:rsidRPr="004A3B37" w:rsidRDefault="00F863A1" w:rsidP="004A3B37">
            <w:pPr>
              <w:rPr>
                <w:rFonts w:ascii="Times New Roman" w:hAnsi="Times New Roman" w:cs="Times New Roman"/>
                <w:sz w:val="16"/>
                <w:szCs w:val="16"/>
              </w:rPr>
            </w:pPr>
            <w:r w:rsidRPr="004A3B37">
              <w:rPr>
                <w:rFonts w:ascii="Times New Roman" w:hAnsi="Times New Roman" w:cs="Times New Roman"/>
                <w:sz w:val="16"/>
                <w:szCs w:val="16"/>
              </w:rPr>
              <w:t>68.5</w:t>
            </w:r>
          </w:p>
        </w:tc>
        <w:tc>
          <w:tcPr>
            <w:tcW w:w="1371" w:type="dxa"/>
          </w:tcPr>
          <w:p w14:paraId="6D11D4E1" w14:textId="5B0BFFE6" w:rsidR="00F863A1" w:rsidRPr="004A3B37" w:rsidRDefault="00F863A1" w:rsidP="004A3B37">
            <w:pPr>
              <w:rPr>
                <w:rFonts w:ascii="Times New Roman" w:hAnsi="Times New Roman" w:cs="Times New Roman"/>
                <w:sz w:val="16"/>
                <w:szCs w:val="16"/>
              </w:rPr>
            </w:pPr>
            <w:r w:rsidRPr="004A3B37">
              <w:rPr>
                <w:rFonts w:ascii="Times New Roman" w:hAnsi="Times New Roman" w:cs="Times New Roman"/>
                <w:sz w:val="16"/>
                <w:szCs w:val="16"/>
              </w:rPr>
              <w:t>36.5%</w:t>
            </w:r>
          </w:p>
        </w:tc>
        <w:tc>
          <w:tcPr>
            <w:tcW w:w="1669" w:type="dxa"/>
          </w:tcPr>
          <w:p w14:paraId="6020A9CE" w14:textId="31BEB0B2" w:rsidR="00F863A1" w:rsidRPr="004A3B37" w:rsidRDefault="00F863A1" w:rsidP="004A3B37">
            <w:pPr>
              <w:rPr>
                <w:rFonts w:ascii="Times New Roman" w:hAnsi="Times New Roman" w:cs="Times New Roman"/>
                <w:sz w:val="16"/>
                <w:szCs w:val="16"/>
              </w:rPr>
            </w:pPr>
            <w:r w:rsidRPr="004A3B37">
              <w:rPr>
                <w:rFonts w:ascii="Times New Roman" w:hAnsi="Times New Roman" w:cs="Times New Roman"/>
                <w:sz w:val="16"/>
                <w:szCs w:val="16"/>
              </w:rPr>
              <w:t xml:space="preserve">Included revision and </w:t>
            </w:r>
            <w:proofErr w:type="spellStart"/>
            <w:r w:rsidRPr="004A3B37">
              <w:rPr>
                <w:rFonts w:ascii="Times New Roman" w:hAnsi="Times New Roman" w:cs="Times New Roman"/>
                <w:sz w:val="16"/>
                <w:szCs w:val="16"/>
              </w:rPr>
              <w:t>unicompartmental</w:t>
            </w:r>
            <w:proofErr w:type="spellEnd"/>
            <w:r w:rsidRPr="004A3B37">
              <w:rPr>
                <w:rFonts w:ascii="Times New Roman" w:hAnsi="Times New Roman" w:cs="Times New Roman"/>
                <w:sz w:val="16"/>
                <w:szCs w:val="16"/>
              </w:rPr>
              <w:t xml:space="preserve"> arthroplasties</w:t>
            </w:r>
            <w:r w:rsidR="00F26E75" w:rsidRPr="004A3B37">
              <w:rPr>
                <w:rFonts w:ascii="Times New Roman" w:hAnsi="Times New Roman" w:cs="Times New Roman"/>
                <w:sz w:val="16"/>
                <w:szCs w:val="16"/>
              </w:rPr>
              <w:t xml:space="preserve"> in analysis.</w:t>
            </w:r>
          </w:p>
        </w:tc>
      </w:tr>
      <w:tr w:rsidR="00D705F1" w:rsidRPr="004A3B37" w14:paraId="574CC53D" w14:textId="77777777" w:rsidTr="006E5EE3">
        <w:tc>
          <w:tcPr>
            <w:tcW w:w="1212" w:type="dxa"/>
          </w:tcPr>
          <w:p w14:paraId="58B5F701" w14:textId="71D7F4B0" w:rsidR="00D705F1" w:rsidRPr="004A3B37" w:rsidRDefault="00D705F1" w:rsidP="004A3B37">
            <w:pPr>
              <w:rPr>
                <w:rFonts w:ascii="Times New Roman" w:hAnsi="Times New Roman" w:cs="Times New Roman"/>
                <w:sz w:val="16"/>
                <w:szCs w:val="16"/>
              </w:rPr>
            </w:pPr>
            <w:proofErr w:type="spellStart"/>
            <w:r w:rsidRPr="004A3B37">
              <w:rPr>
                <w:rFonts w:ascii="Times New Roman" w:hAnsi="Times New Roman" w:cs="Times New Roman"/>
                <w:sz w:val="16"/>
                <w:szCs w:val="16"/>
              </w:rPr>
              <w:t>Knebel</w:t>
            </w:r>
            <w:proofErr w:type="spellEnd"/>
            <w:r w:rsidRPr="004A3B37">
              <w:rPr>
                <w:rFonts w:ascii="Times New Roman" w:hAnsi="Times New Roman" w:cs="Times New Roman"/>
                <w:sz w:val="16"/>
                <w:szCs w:val="16"/>
              </w:rPr>
              <w:t xml:space="preserve"> et al. 2021</w:t>
            </w:r>
            <w:r w:rsidR="004A3B37">
              <w:rPr>
                <w:rFonts w:ascii="Times New Roman" w:hAnsi="Times New Roman" w:cs="Times New Roman"/>
                <w:sz w:val="16"/>
                <w:szCs w:val="16"/>
              </w:rPr>
              <w:fldChar w:fldCharType="begin"/>
            </w:r>
            <w:r w:rsidR="00C360C4">
              <w:rPr>
                <w:rFonts w:ascii="Times New Roman" w:hAnsi="Times New Roman" w:cs="Times New Roman"/>
                <w:sz w:val="16"/>
                <w:szCs w:val="16"/>
              </w:rPr>
              <w:instrText xml:space="preserve"> ADDIN ZOTERO_ITEM CSL_CITATION {"citationID":"Nya9rgy4","properties":{"formattedCitation":"\\super 6\\nosupersub{}","plainCitation":"6","noteIndex":0},"citationItems":[{"id":1521,"uris":["http://zotero.org/users/local/26vZAHNZ/items/EHVHLIXW"],"itemData":{"id":1521,"type":"article-journal","abstract":"Purpose\nHealth care systems in most European countries were temporarily restructured to provide as much capacity as possible for the treatment of coronavirus disease 2019 (COVID-19) patients. Subsequently, all elective surgeries had to be cancelled and postponed for months. The aim of the present study was to assess the pretreatment health status before and after COVID-19-related cancellation and the psychosocial distress caused by the cancellation.\n\nMethods\nFor this study, a questionnaire was developed collecting sociodemographic data and information on health status before and after the cancellation. To assess psychosocial distress, the validated depression module of the Patient Health Questionnaire (PHQ-9), was implemented. PHQ-9-Scores of 10 and above were considered to indicate moderate or severe depressive symptoms. In total, 119 patients whose elective orthopaedic surgery was postponed due to the COVID-19 pandemic were surveyed once at least 8 weeks after the cancellation.\n\nResults\nSeventy-seven patients (65%; 34 female, 43 male) completed the questionnaire and were included. The predominant procedures were total knee arthroplasty (TKA), hip arthroscopy and foot and ankle surgery. The mean pain level significantly increased from 5.5 ± 2.2 at the time of the initially scheduled surgery to 6.2 ± 2.5 at the time of the survey (p &lt; 0.0001). The pain level before cancellation of the surgery was significantly higher in female patients (p = 0.029). An increased analgetic consumption was identified in 46% of all patients. A mean PHQ-9 score of 6.1 ± 4.9 was found after cancellation. PHQ-9 scores of 10 or above were found in 14% of patients, and 8% exhibited scores of 15 points or above. Significantly higher PHQ-9 scores were seen in female patients (p = 0.046). No significant differences in PHQ-9 scores were found among age groups, procedures or reasons for cancellation.\n\nConclusion\nCancellation of elective orthopaedic surgery resulted in pain levels that were significantly higher than when the surgery was scheduled, leading to increased analgesic use. Additionally, significant psychosocial distress due to the cancellation was identified in some patients, particularly middle-aged women. Despite these results, confidence in the national health care system and in the treating orthopaedic surgeons was not affected.\n\nLevel of evidence\nLevel III.\n\nSupplementary Information\nThe online version contains supplementary material available at 10.1007/s00167-021-06529-4.","container-title":"Knee Surgery, Sports Traumatology, Arthroscopy","DOI":"10.1007/s00167-021-06529-4","ISSN":"0942-2056","issue":"8","journalAbbreviation":"Knee Surg Sports Traumatol Arthrosc","note":"PMID: 33710414\nPMCID: PMC7952835","page":"2379-2385","source":"PubMed Central","title":"COVID-19-related cancellation of elective orthopaedic surgery caused increased pain and psychosocial distress levels","volume":"29","author":[{"family":"Knebel","given":"Carolin"},{"family":"Ertl","given":"Max"},{"family":"Lenze","given":"Ulrich"},{"family":"Suren","given":"Christian"},{"family":"Dinkel","given":"Andreas"},{"family":"Hirschmann","given":"Michael T."},{"family":"Eisenhart-Rothe","given":"Ruediger","non-dropping-particle":"von"},{"family":"Pohlig","given":"Florian"}],"issued":{"date-parts":[["2021"]]}}}],"schema":"https://github.com/citation-style-language/schema/raw/master/csl-citation.json"} </w:instrText>
            </w:r>
            <w:r w:rsidR="004A3B37">
              <w:rPr>
                <w:rFonts w:ascii="Times New Roman" w:hAnsi="Times New Roman" w:cs="Times New Roman"/>
                <w:sz w:val="16"/>
                <w:szCs w:val="16"/>
              </w:rPr>
              <w:fldChar w:fldCharType="separate"/>
            </w:r>
            <w:r w:rsidR="00C360C4" w:rsidRPr="00C360C4">
              <w:rPr>
                <w:rFonts w:ascii="Times New Roman" w:hAnsi="Times New Roman" w:cs="Times New Roman"/>
                <w:sz w:val="16"/>
                <w:vertAlign w:val="superscript"/>
              </w:rPr>
              <w:t>6</w:t>
            </w:r>
            <w:r w:rsidR="004A3B37">
              <w:rPr>
                <w:rFonts w:ascii="Times New Roman" w:hAnsi="Times New Roman" w:cs="Times New Roman"/>
                <w:sz w:val="16"/>
                <w:szCs w:val="16"/>
              </w:rPr>
              <w:fldChar w:fldCharType="end"/>
            </w:r>
          </w:p>
        </w:tc>
        <w:tc>
          <w:tcPr>
            <w:tcW w:w="921" w:type="dxa"/>
          </w:tcPr>
          <w:p w14:paraId="57D1CD8F" w14:textId="1F65D905" w:rsidR="00D705F1" w:rsidRPr="004A3B37" w:rsidRDefault="00D705F1" w:rsidP="004A3B37">
            <w:pPr>
              <w:rPr>
                <w:rFonts w:ascii="Times New Roman" w:hAnsi="Times New Roman" w:cs="Times New Roman"/>
                <w:sz w:val="16"/>
                <w:szCs w:val="16"/>
              </w:rPr>
            </w:pPr>
            <w:r w:rsidRPr="004A3B37">
              <w:rPr>
                <w:rFonts w:ascii="Times New Roman" w:hAnsi="Times New Roman" w:cs="Times New Roman"/>
                <w:sz w:val="16"/>
                <w:szCs w:val="16"/>
              </w:rPr>
              <w:t>Cross-Sectional</w:t>
            </w:r>
          </w:p>
        </w:tc>
        <w:tc>
          <w:tcPr>
            <w:tcW w:w="1675" w:type="dxa"/>
          </w:tcPr>
          <w:p w14:paraId="26C7CBE1" w14:textId="2F41DD4B" w:rsidR="00D705F1" w:rsidRPr="004A3B37" w:rsidRDefault="00D705F1" w:rsidP="004A3B37">
            <w:pPr>
              <w:rPr>
                <w:rFonts w:ascii="Times New Roman" w:hAnsi="Times New Roman" w:cs="Times New Roman"/>
                <w:sz w:val="16"/>
                <w:szCs w:val="16"/>
              </w:rPr>
            </w:pPr>
            <w:r w:rsidRPr="004A3B37">
              <w:rPr>
                <w:rFonts w:ascii="Times New Roman" w:hAnsi="Times New Roman" w:cs="Times New Roman"/>
                <w:sz w:val="16"/>
                <w:szCs w:val="16"/>
              </w:rPr>
              <w:t xml:space="preserve">Patients awaiting elective orthopaedic procedure cancelled due </w:t>
            </w:r>
            <w:proofErr w:type="spellStart"/>
            <w:r w:rsidRPr="004A3B37">
              <w:rPr>
                <w:rFonts w:ascii="Times New Roman" w:hAnsi="Times New Roman" w:cs="Times New Roman"/>
                <w:sz w:val="16"/>
                <w:szCs w:val="16"/>
              </w:rPr>
              <w:t>t</w:t>
            </w:r>
            <w:proofErr w:type="spellEnd"/>
            <w:r w:rsidRPr="004A3B37">
              <w:rPr>
                <w:rFonts w:ascii="Times New Roman" w:hAnsi="Times New Roman" w:cs="Times New Roman"/>
                <w:sz w:val="16"/>
                <w:szCs w:val="16"/>
              </w:rPr>
              <w:t xml:space="preserve"> COVID-19.</w:t>
            </w:r>
          </w:p>
        </w:tc>
        <w:tc>
          <w:tcPr>
            <w:tcW w:w="914" w:type="dxa"/>
          </w:tcPr>
          <w:p w14:paraId="59E543EA" w14:textId="44D08E7B" w:rsidR="00D705F1" w:rsidRPr="004A3B37" w:rsidRDefault="00D705F1" w:rsidP="004A3B37">
            <w:pPr>
              <w:rPr>
                <w:rFonts w:ascii="Times New Roman" w:hAnsi="Times New Roman" w:cs="Times New Roman"/>
                <w:sz w:val="16"/>
                <w:szCs w:val="16"/>
              </w:rPr>
            </w:pPr>
            <w:r w:rsidRPr="004A3B37">
              <w:rPr>
                <w:rFonts w:ascii="Times New Roman" w:hAnsi="Times New Roman" w:cs="Times New Roman"/>
                <w:sz w:val="16"/>
                <w:szCs w:val="16"/>
              </w:rPr>
              <w:t>2020</w:t>
            </w:r>
          </w:p>
        </w:tc>
        <w:tc>
          <w:tcPr>
            <w:tcW w:w="1066" w:type="dxa"/>
          </w:tcPr>
          <w:p w14:paraId="4B6B454B" w14:textId="534DC418" w:rsidR="00D705F1" w:rsidRPr="004A3B37" w:rsidRDefault="00D705F1" w:rsidP="004A3B37">
            <w:pPr>
              <w:rPr>
                <w:rFonts w:ascii="Times New Roman" w:hAnsi="Times New Roman" w:cs="Times New Roman"/>
                <w:sz w:val="16"/>
                <w:szCs w:val="16"/>
              </w:rPr>
            </w:pPr>
            <w:r w:rsidRPr="004A3B37">
              <w:rPr>
                <w:rFonts w:ascii="Times New Roman" w:hAnsi="Times New Roman" w:cs="Times New Roman"/>
                <w:sz w:val="16"/>
                <w:szCs w:val="16"/>
              </w:rPr>
              <w:t>Germany</w:t>
            </w:r>
          </w:p>
        </w:tc>
        <w:tc>
          <w:tcPr>
            <w:tcW w:w="1218" w:type="dxa"/>
          </w:tcPr>
          <w:p w14:paraId="6D4E2D8D" w14:textId="6A9C1D5F" w:rsidR="00D705F1" w:rsidRPr="004A3B37" w:rsidRDefault="00D705F1" w:rsidP="004A3B37">
            <w:pPr>
              <w:rPr>
                <w:rFonts w:ascii="Times New Roman" w:hAnsi="Times New Roman" w:cs="Times New Roman"/>
                <w:sz w:val="16"/>
                <w:szCs w:val="16"/>
              </w:rPr>
            </w:pPr>
            <w:r w:rsidRPr="004A3B37">
              <w:rPr>
                <w:rFonts w:ascii="Times New Roman" w:hAnsi="Times New Roman" w:cs="Times New Roman"/>
                <w:sz w:val="16"/>
                <w:szCs w:val="16"/>
              </w:rPr>
              <w:t>Single-Centre</w:t>
            </w:r>
          </w:p>
        </w:tc>
        <w:tc>
          <w:tcPr>
            <w:tcW w:w="1523" w:type="dxa"/>
          </w:tcPr>
          <w:p w14:paraId="6B367C39" w14:textId="4515A9BB" w:rsidR="00D705F1" w:rsidRPr="004A3B37" w:rsidRDefault="00D705F1" w:rsidP="004A3B37">
            <w:pPr>
              <w:rPr>
                <w:rFonts w:ascii="Times New Roman" w:hAnsi="Times New Roman" w:cs="Times New Roman"/>
                <w:sz w:val="16"/>
                <w:szCs w:val="16"/>
              </w:rPr>
            </w:pPr>
            <w:r w:rsidRPr="004A3B37">
              <w:rPr>
                <w:rFonts w:ascii="Times New Roman" w:hAnsi="Times New Roman" w:cs="Times New Roman"/>
                <w:sz w:val="16"/>
                <w:szCs w:val="16"/>
              </w:rPr>
              <w:t>N/A- COVID-19 Pandemic</w:t>
            </w:r>
          </w:p>
        </w:tc>
        <w:tc>
          <w:tcPr>
            <w:tcW w:w="1371" w:type="dxa"/>
          </w:tcPr>
          <w:p w14:paraId="2448763E" w14:textId="2A09F1B5" w:rsidR="00D705F1" w:rsidRPr="004A3B37" w:rsidRDefault="00D705F1" w:rsidP="004A3B37">
            <w:pPr>
              <w:rPr>
                <w:rFonts w:ascii="Times New Roman" w:hAnsi="Times New Roman" w:cs="Times New Roman"/>
                <w:sz w:val="16"/>
                <w:szCs w:val="16"/>
              </w:rPr>
            </w:pPr>
            <w:r w:rsidRPr="004A3B37">
              <w:rPr>
                <w:rFonts w:ascii="Times New Roman" w:hAnsi="Times New Roman" w:cs="Times New Roman"/>
                <w:sz w:val="16"/>
                <w:szCs w:val="16"/>
              </w:rPr>
              <w:t>119</w:t>
            </w:r>
          </w:p>
        </w:tc>
        <w:tc>
          <w:tcPr>
            <w:tcW w:w="1371" w:type="dxa"/>
          </w:tcPr>
          <w:p w14:paraId="0AECF2C8" w14:textId="13AC5683" w:rsidR="00D705F1" w:rsidRPr="004A3B37" w:rsidRDefault="00D705F1" w:rsidP="004A3B37">
            <w:pPr>
              <w:rPr>
                <w:rFonts w:ascii="Times New Roman" w:hAnsi="Times New Roman" w:cs="Times New Roman"/>
                <w:sz w:val="16"/>
                <w:szCs w:val="16"/>
              </w:rPr>
            </w:pPr>
            <w:r w:rsidRPr="004A3B37">
              <w:rPr>
                <w:rFonts w:ascii="Times New Roman" w:hAnsi="Times New Roman" w:cs="Times New Roman"/>
                <w:sz w:val="16"/>
                <w:szCs w:val="16"/>
              </w:rPr>
              <w:t>60-69*</w:t>
            </w:r>
          </w:p>
        </w:tc>
        <w:tc>
          <w:tcPr>
            <w:tcW w:w="1371" w:type="dxa"/>
          </w:tcPr>
          <w:p w14:paraId="3F2A965B" w14:textId="575616BF" w:rsidR="00D705F1" w:rsidRPr="004A3B37" w:rsidRDefault="00D705F1" w:rsidP="004A3B37">
            <w:pPr>
              <w:rPr>
                <w:rFonts w:ascii="Times New Roman" w:hAnsi="Times New Roman" w:cs="Times New Roman"/>
                <w:sz w:val="16"/>
                <w:szCs w:val="16"/>
              </w:rPr>
            </w:pPr>
            <w:r w:rsidRPr="004A3B37">
              <w:rPr>
                <w:rFonts w:ascii="Times New Roman" w:hAnsi="Times New Roman" w:cs="Times New Roman"/>
                <w:sz w:val="16"/>
                <w:szCs w:val="16"/>
              </w:rPr>
              <w:t>44%</w:t>
            </w:r>
          </w:p>
        </w:tc>
        <w:tc>
          <w:tcPr>
            <w:tcW w:w="1669" w:type="dxa"/>
          </w:tcPr>
          <w:p w14:paraId="5FD707A2" w14:textId="572C515D" w:rsidR="00D705F1" w:rsidRPr="004A3B37" w:rsidRDefault="00D705F1" w:rsidP="004A3B37">
            <w:pPr>
              <w:rPr>
                <w:rFonts w:ascii="Times New Roman" w:hAnsi="Times New Roman" w:cs="Times New Roman"/>
                <w:sz w:val="16"/>
                <w:szCs w:val="16"/>
              </w:rPr>
            </w:pPr>
            <w:r w:rsidRPr="004A3B37">
              <w:rPr>
                <w:rFonts w:ascii="Times New Roman" w:hAnsi="Times New Roman" w:cs="Times New Roman"/>
                <w:sz w:val="16"/>
                <w:szCs w:val="16"/>
              </w:rPr>
              <w:t xml:space="preserve">Included revision THR, revision TKR, arthroscopy and biopsy, </w:t>
            </w:r>
            <w:proofErr w:type="gramStart"/>
            <w:r w:rsidRPr="004A3B37">
              <w:rPr>
                <w:rFonts w:ascii="Times New Roman" w:hAnsi="Times New Roman" w:cs="Times New Roman"/>
                <w:sz w:val="16"/>
                <w:szCs w:val="16"/>
              </w:rPr>
              <w:t>foot</w:t>
            </w:r>
            <w:proofErr w:type="gramEnd"/>
            <w:r w:rsidRPr="004A3B37">
              <w:rPr>
                <w:rFonts w:ascii="Times New Roman" w:hAnsi="Times New Roman" w:cs="Times New Roman"/>
                <w:sz w:val="16"/>
                <w:szCs w:val="16"/>
              </w:rPr>
              <w:t xml:space="preserve"> and ankle procedures in analysis.</w:t>
            </w:r>
          </w:p>
        </w:tc>
      </w:tr>
      <w:tr w:rsidR="00950C87" w:rsidRPr="004A3B37" w14:paraId="4DAD9F7F" w14:textId="77777777" w:rsidTr="006E5EE3">
        <w:tc>
          <w:tcPr>
            <w:tcW w:w="1212" w:type="dxa"/>
          </w:tcPr>
          <w:p w14:paraId="02260E7C" w14:textId="3158A09B" w:rsidR="00950C87" w:rsidRPr="004A3B37" w:rsidRDefault="003E2C08" w:rsidP="004A3B37">
            <w:pPr>
              <w:rPr>
                <w:rFonts w:ascii="Times New Roman" w:hAnsi="Times New Roman" w:cs="Times New Roman"/>
                <w:sz w:val="16"/>
                <w:szCs w:val="16"/>
              </w:rPr>
            </w:pPr>
            <w:r>
              <w:rPr>
                <w:rFonts w:ascii="Times New Roman" w:hAnsi="Times New Roman" w:cs="Times New Roman"/>
                <w:sz w:val="16"/>
                <w:szCs w:val="16"/>
              </w:rPr>
              <w:t>Farrow et al. 2022</w:t>
            </w:r>
            <w:r w:rsidR="00CE2B9B">
              <w:rPr>
                <w:rFonts w:ascii="Times New Roman" w:hAnsi="Times New Roman" w:cs="Times New Roman"/>
                <w:sz w:val="16"/>
                <w:szCs w:val="16"/>
              </w:rPr>
              <w:fldChar w:fldCharType="begin"/>
            </w:r>
            <w:r w:rsidR="00817F70">
              <w:rPr>
                <w:rFonts w:ascii="Times New Roman" w:hAnsi="Times New Roman" w:cs="Times New Roman"/>
                <w:sz w:val="16"/>
                <w:szCs w:val="16"/>
              </w:rPr>
              <w:instrText xml:space="preserve"> ADDIN ZOTERO_ITEM CSL_CITATION {"citationID":"cFFHsnYh","properties":{"formattedCitation":"\\super 7\\nosupersub{}","plainCitation":"7","noteIndex":0},"citationItems":[{"id":1777,"uris":["http://zotero.org/users/local/26vZAHNZ/items/JVB8I7L5"],"itemData":{"id":1777,"type":"article-journal","abstract":"Introduction The COVID-19 pandemic has led to unprecedented delays for those awaiting elective hip and knee arthroplasty. Current demand far exceeds available resource, and therefore it is integral that healthcare resource is fairly rationed to those who need it most. We therefore set out to determine if pre-operative health-related quality of life assessment (HRQoL) could be used to triage arthroplasty waiting lists. Methods Data regarding demographics, perioperative variables and patient reported outcome measures (PROMs) (pre-operative and 1-year post-operative EuroQOL five dimension (EQ-5D-3L) and Oxford hip and knee scores (OHS/OKS) were retrospectively extracted from electronic patient health records at a large university teaching hospital. Patients were split into two equal groups based on pre-operative EQ-5D TTO scores and compared (Group1 [worse HRQoL] = −0.239 to 0.487; Group2 [better HRQoL] = 0.516–1 [best]). Results 513 patients were included. Patients in Group1 had significantly greater improvement in post-operative EQ-5D-3L scores compared to Group2 (Median 0.67 vs. 0.19; p &lt; 0.0001), as well as greater improvement in OHS/OKS (Mean 22.4 vs. 16.4; p &lt; 0.0001). Those in Group2 were significantly less likely to achieve the EQ-5D-3L minimum clinically important difference (MCID) attainment (OR 0.13, 95%CI 0.07–0.23; p &lt; 0.0001) with a trend towards lower OHS/OKS MCID attainment (OR 0.66, 95%CI 0.37–1.19; p = 0.168). There was no clinically significant difference in length of stay (Median 3-days both groups), and no statistically significant difference in adverse events (30 days and 1 year readmission/reoperation). Conclusions A pre-operative EQ-5D-3L cut-off of ≤0.487 for hip and knee arthroplasty prioritisation may help to maximise clinical utility and cost-effectiveness in a limited resource setting post COVID-19.","container-title":"Musculoskeletal Care","DOI":"10.1002/msc.1645","ISSN":"1557-0681","issue":"4","language":"en","note":"_eprint: https://onlinelibrary.wiley.com/doi/pdf/10.1002/msc.1645","page":"892-898","source":"Wiley Online Library","title":"Prioritisation of patients awaiting hip and knee arthroplasty: Lower pre-operative EQ-5D is associated with greater improvement in quality of life and joint function","title-short":"Prioritisation of patients awaiting hip and knee arthroplasty","volume":"20","author":[{"family":"Farrow","given":"Luke"},{"family":"Redmore","given":"James"},{"family":"Talukdar","given":"Partha"},{"family":"Clement","given":"Nick"},{"family":"Ashcroft","given":"George P."}],"issued":{"date-parts":[["2022"]]}}}],"schema":"https://github.com/citation-style-language/schema/raw/master/csl-citation.json"} </w:instrText>
            </w:r>
            <w:r w:rsidR="00CE2B9B">
              <w:rPr>
                <w:rFonts w:ascii="Times New Roman" w:hAnsi="Times New Roman" w:cs="Times New Roman"/>
                <w:sz w:val="16"/>
                <w:szCs w:val="16"/>
              </w:rPr>
              <w:fldChar w:fldCharType="separate"/>
            </w:r>
            <w:r w:rsidR="00817F70" w:rsidRPr="00817F70">
              <w:rPr>
                <w:rFonts w:ascii="Times New Roman" w:hAnsi="Times New Roman" w:cs="Times New Roman"/>
                <w:sz w:val="16"/>
                <w:vertAlign w:val="superscript"/>
              </w:rPr>
              <w:t>7</w:t>
            </w:r>
            <w:r w:rsidR="00CE2B9B">
              <w:rPr>
                <w:rFonts w:ascii="Times New Roman" w:hAnsi="Times New Roman" w:cs="Times New Roman"/>
                <w:sz w:val="16"/>
                <w:szCs w:val="16"/>
              </w:rPr>
              <w:fldChar w:fldCharType="end"/>
            </w:r>
          </w:p>
        </w:tc>
        <w:tc>
          <w:tcPr>
            <w:tcW w:w="921" w:type="dxa"/>
          </w:tcPr>
          <w:p w14:paraId="09065589" w14:textId="799E831F" w:rsidR="00950C87" w:rsidRPr="004A3B37" w:rsidRDefault="00146C1E" w:rsidP="004A3B37">
            <w:pPr>
              <w:rPr>
                <w:rFonts w:ascii="Times New Roman" w:hAnsi="Times New Roman" w:cs="Times New Roman"/>
                <w:sz w:val="16"/>
                <w:szCs w:val="16"/>
              </w:rPr>
            </w:pPr>
            <w:r>
              <w:rPr>
                <w:rFonts w:ascii="Times New Roman" w:hAnsi="Times New Roman" w:cs="Times New Roman"/>
                <w:sz w:val="16"/>
                <w:szCs w:val="16"/>
              </w:rPr>
              <w:t>Retrospective Cohort</w:t>
            </w:r>
          </w:p>
        </w:tc>
        <w:tc>
          <w:tcPr>
            <w:tcW w:w="1675" w:type="dxa"/>
          </w:tcPr>
          <w:p w14:paraId="530C1BDF" w14:textId="7134BBE7" w:rsidR="00950C87" w:rsidRPr="004A3B37" w:rsidRDefault="00404A67" w:rsidP="004A3B37">
            <w:pPr>
              <w:rPr>
                <w:rFonts w:ascii="Times New Roman" w:hAnsi="Times New Roman" w:cs="Times New Roman"/>
                <w:sz w:val="16"/>
                <w:szCs w:val="16"/>
              </w:rPr>
            </w:pPr>
            <w:r>
              <w:rPr>
                <w:rFonts w:ascii="Times New Roman" w:hAnsi="Times New Roman" w:cs="Times New Roman"/>
                <w:sz w:val="16"/>
                <w:szCs w:val="16"/>
              </w:rPr>
              <w:t>Patients undergoing primary elective THR/ TKR/ UKR.</w:t>
            </w:r>
          </w:p>
        </w:tc>
        <w:tc>
          <w:tcPr>
            <w:tcW w:w="914" w:type="dxa"/>
          </w:tcPr>
          <w:p w14:paraId="12962634" w14:textId="5A4AB8EA" w:rsidR="00950C87" w:rsidRPr="004A3B37" w:rsidRDefault="005E7BCA" w:rsidP="004A3B37">
            <w:pPr>
              <w:rPr>
                <w:rFonts w:ascii="Times New Roman" w:hAnsi="Times New Roman" w:cs="Times New Roman"/>
                <w:sz w:val="16"/>
                <w:szCs w:val="16"/>
              </w:rPr>
            </w:pPr>
            <w:r>
              <w:rPr>
                <w:rFonts w:ascii="Times New Roman" w:hAnsi="Times New Roman" w:cs="Times New Roman"/>
                <w:sz w:val="16"/>
                <w:szCs w:val="16"/>
              </w:rPr>
              <w:t>2017-2021</w:t>
            </w:r>
          </w:p>
        </w:tc>
        <w:tc>
          <w:tcPr>
            <w:tcW w:w="1066" w:type="dxa"/>
          </w:tcPr>
          <w:p w14:paraId="2544482C" w14:textId="719CB06E" w:rsidR="00950C87" w:rsidRPr="004A3B37" w:rsidRDefault="005E7BCA" w:rsidP="004A3B37">
            <w:pPr>
              <w:rPr>
                <w:rFonts w:ascii="Times New Roman" w:hAnsi="Times New Roman" w:cs="Times New Roman"/>
                <w:sz w:val="16"/>
                <w:szCs w:val="16"/>
              </w:rPr>
            </w:pPr>
            <w:r>
              <w:rPr>
                <w:rFonts w:ascii="Times New Roman" w:hAnsi="Times New Roman" w:cs="Times New Roman"/>
                <w:sz w:val="16"/>
                <w:szCs w:val="16"/>
              </w:rPr>
              <w:t>UK</w:t>
            </w:r>
          </w:p>
        </w:tc>
        <w:tc>
          <w:tcPr>
            <w:tcW w:w="1218" w:type="dxa"/>
          </w:tcPr>
          <w:p w14:paraId="47918B10" w14:textId="3C709AA9" w:rsidR="00950C87" w:rsidRPr="004A3B37" w:rsidRDefault="005E7BCA" w:rsidP="004A3B37">
            <w:pPr>
              <w:rPr>
                <w:rFonts w:ascii="Times New Roman" w:hAnsi="Times New Roman" w:cs="Times New Roman"/>
                <w:sz w:val="16"/>
                <w:szCs w:val="16"/>
              </w:rPr>
            </w:pPr>
            <w:r>
              <w:rPr>
                <w:rFonts w:ascii="Times New Roman" w:hAnsi="Times New Roman" w:cs="Times New Roman"/>
                <w:sz w:val="16"/>
                <w:szCs w:val="16"/>
              </w:rPr>
              <w:t>Single</w:t>
            </w:r>
            <w:r w:rsidR="00A11213">
              <w:rPr>
                <w:rFonts w:ascii="Times New Roman" w:hAnsi="Times New Roman" w:cs="Times New Roman"/>
                <w:sz w:val="16"/>
                <w:szCs w:val="16"/>
              </w:rPr>
              <w:t>-</w:t>
            </w:r>
            <w:r>
              <w:rPr>
                <w:rFonts w:ascii="Times New Roman" w:hAnsi="Times New Roman" w:cs="Times New Roman"/>
                <w:sz w:val="16"/>
                <w:szCs w:val="16"/>
              </w:rPr>
              <w:t>Centre</w:t>
            </w:r>
          </w:p>
        </w:tc>
        <w:tc>
          <w:tcPr>
            <w:tcW w:w="1523" w:type="dxa"/>
          </w:tcPr>
          <w:p w14:paraId="3590BECD" w14:textId="2F22E915" w:rsidR="00950C87" w:rsidRPr="004A3B37" w:rsidRDefault="005E7BCA" w:rsidP="004A3B37">
            <w:pPr>
              <w:rPr>
                <w:rFonts w:ascii="Times New Roman" w:hAnsi="Times New Roman" w:cs="Times New Roman"/>
                <w:sz w:val="16"/>
                <w:szCs w:val="16"/>
              </w:rPr>
            </w:pPr>
            <w:r>
              <w:rPr>
                <w:rFonts w:ascii="Times New Roman" w:hAnsi="Times New Roman" w:cs="Times New Roman"/>
                <w:sz w:val="16"/>
                <w:szCs w:val="16"/>
              </w:rPr>
              <w:t>N/A- Not Collected</w:t>
            </w:r>
            <w:r w:rsidR="008D636C">
              <w:rPr>
                <w:rFonts w:ascii="Times New Roman" w:hAnsi="Times New Roman" w:cs="Times New Roman"/>
                <w:sz w:val="16"/>
                <w:szCs w:val="16"/>
              </w:rPr>
              <w:t>. Participants stratified by preoperative joint function</w:t>
            </w:r>
            <w:r w:rsidR="005216E5">
              <w:rPr>
                <w:rFonts w:ascii="Times New Roman" w:hAnsi="Times New Roman" w:cs="Times New Roman"/>
                <w:sz w:val="16"/>
                <w:szCs w:val="16"/>
              </w:rPr>
              <w:t xml:space="preserve"> [</w:t>
            </w:r>
            <w:r w:rsidR="0040077F">
              <w:rPr>
                <w:rFonts w:ascii="Times New Roman" w:hAnsi="Times New Roman" w:cs="Times New Roman"/>
                <w:sz w:val="16"/>
                <w:szCs w:val="16"/>
              </w:rPr>
              <w:t>low, high]</w:t>
            </w:r>
            <w:r w:rsidR="008D636C">
              <w:rPr>
                <w:rFonts w:ascii="Times New Roman" w:hAnsi="Times New Roman" w:cs="Times New Roman"/>
                <w:sz w:val="16"/>
                <w:szCs w:val="16"/>
              </w:rPr>
              <w:t>.</w:t>
            </w:r>
          </w:p>
        </w:tc>
        <w:tc>
          <w:tcPr>
            <w:tcW w:w="1371" w:type="dxa"/>
          </w:tcPr>
          <w:p w14:paraId="0CF49E16" w14:textId="197D3B05" w:rsidR="00950C87" w:rsidRPr="004A3B37" w:rsidRDefault="005216E5" w:rsidP="004A3B37">
            <w:pPr>
              <w:rPr>
                <w:rFonts w:ascii="Times New Roman" w:hAnsi="Times New Roman" w:cs="Times New Roman"/>
                <w:sz w:val="16"/>
                <w:szCs w:val="16"/>
              </w:rPr>
            </w:pPr>
            <w:r>
              <w:rPr>
                <w:rFonts w:ascii="Times New Roman" w:hAnsi="Times New Roman" w:cs="Times New Roman"/>
                <w:sz w:val="16"/>
                <w:szCs w:val="16"/>
              </w:rPr>
              <w:t xml:space="preserve">513 </w:t>
            </w:r>
            <w:r w:rsidR="0040077F">
              <w:rPr>
                <w:rFonts w:ascii="Times New Roman" w:hAnsi="Times New Roman" w:cs="Times New Roman"/>
                <w:sz w:val="16"/>
                <w:szCs w:val="16"/>
              </w:rPr>
              <w:t>[244,269]</w:t>
            </w:r>
          </w:p>
        </w:tc>
        <w:tc>
          <w:tcPr>
            <w:tcW w:w="1371" w:type="dxa"/>
          </w:tcPr>
          <w:p w14:paraId="1F615CC7" w14:textId="4709177A" w:rsidR="00950C87" w:rsidRPr="004A3B37" w:rsidRDefault="00B02AC2" w:rsidP="004A3B37">
            <w:pPr>
              <w:rPr>
                <w:rFonts w:ascii="Times New Roman" w:hAnsi="Times New Roman" w:cs="Times New Roman"/>
                <w:sz w:val="16"/>
                <w:szCs w:val="16"/>
              </w:rPr>
            </w:pPr>
            <w:r>
              <w:rPr>
                <w:rFonts w:ascii="Times New Roman" w:hAnsi="Times New Roman" w:cs="Times New Roman"/>
                <w:sz w:val="16"/>
                <w:szCs w:val="16"/>
              </w:rPr>
              <w:t>69.4</w:t>
            </w:r>
          </w:p>
        </w:tc>
        <w:tc>
          <w:tcPr>
            <w:tcW w:w="1371" w:type="dxa"/>
          </w:tcPr>
          <w:p w14:paraId="75310D44" w14:textId="4E052949" w:rsidR="00950C87" w:rsidRPr="004A3B37" w:rsidRDefault="00B02AC2" w:rsidP="004A3B37">
            <w:pPr>
              <w:rPr>
                <w:rFonts w:ascii="Times New Roman" w:hAnsi="Times New Roman" w:cs="Times New Roman"/>
                <w:sz w:val="16"/>
                <w:szCs w:val="16"/>
              </w:rPr>
            </w:pPr>
            <w:r>
              <w:rPr>
                <w:rFonts w:ascii="Times New Roman" w:hAnsi="Times New Roman" w:cs="Times New Roman"/>
                <w:sz w:val="16"/>
                <w:szCs w:val="16"/>
              </w:rPr>
              <w:t>57.7%</w:t>
            </w:r>
          </w:p>
        </w:tc>
        <w:tc>
          <w:tcPr>
            <w:tcW w:w="1669" w:type="dxa"/>
          </w:tcPr>
          <w:p w14:paraId="106ABE39" w14:textId="77777777" w:rsidR="00950C87" w:rsidRDefault="00B02AC2" w:rsidP="004A3B37">
            <w:pPr>
              <w:rPr>
                <w:rFonts w:ascii="Times New Roman" w:hAnsi="Times New Roman" w:cs="Times New Roman"/>
                <w:sz w:val="16"/>
                <w:szCs w:val="16"/>
              </w:rPr>
            </w:pPr>
            <w:r>
              <w:rPr>
                <w:rFonts w:ascii="Times New Roman" w:hAnsi="Times New Roman" w:cs="Times New Roman"/>
                <w:sz w:val="16"/>
                <w:szCs w:val="16"/>
              </w:rPr>
              <w:t xml:space="preserve">No </w:t>
            </w:r>
            <w:r w:rsidR="00946EFC">
              <w:rPr>
                <w:rFonts w:ascii="Times New Roman" w:hAnsi="Times New Roman" w:cs="Times New Roman"/>
                <w:sz w:val="16"/>
                <w:szCs w:val="16"/>
              </w:rPr>
              <w:t xml:space="preserve">waiting time data available. </w:t>
            </w:r>
          </w:p>
          <w:p w14:paraId="0FE3306B" w14:textId="77777777" w:rsidR="00CC26E8" w:rsidRDefault="00CC26E8" w:rsidP="004A3B37">
            <w:pPr>
              <w:rPr>
                <w:rFonts w:ascii="Times New Roman" w:hAnsi="Times New Roman" w:cs="Times New Roman"/>
                <w:sz w:val="16"/>
                <w:szCs w:val="16"/>
              </w:rPr>
            </w:pPr>
          </w:p>
          <w:p w14:paraId="75D6D4C6" w14:textId="3C6E24D8" w:rsidR="00CC26E8" w:rsidRPr="004A3B37" w:rsidRDefault="00CC26E8" w:rsidP="004A3B37">
            <w:pPr>
              <w:rPr>
                <w:rFonts w:ascii="Times New Roman" w:hAnsi="Times New Roman" w:cs="Times New Roman"/>
                <w:sz w:val="16"/>
                <w:szCs w:val="16"/>
              </w:rPr>
            </w:pPr>
            <w:r>
              <w:rPr>
                <w:rFonts w:ascii="Times New Roman" w:hAnsi="Times New Roman" w:cs="Times New Roman"/>
                <w:sz w:val="16"/>
                <w:szCs w:val="16"/>
              </w:rPr>
              <w:t>Included UKR in analysis.</w:t>
            </w:r>
          </w:p>
        </w:tc>
      </w:tr>
      <w:tr w:rsidR="00950C87" w:rsidRPr="004A3B37" w14:paraId="0448001F" w14:textId="77777777" w:rsidTr="006E5EE3">
        <w:tc>
          <w:tcPr>
            <w:tcW w:w="1212" w:type="dxa"/>
          </w:tcPr>
          <w:p w14:paraId="3DBCCF85" w14:textId="52DF827D" w:rsidR="00950C87" w:rsidRPr="004A3B37" w:rsidRDefault="00A11213" w:rsidP="004A3B37">
            <w:pPr>
              <w:rPr>
                <w:rFonts w:ascii="Times New Roman" w:hAnsi="Times New Roman" w:cs="Times New Roman"/>
                <w:sz w:val="16"/>
                <w:szCs w:val="16"/>
              </w:rPr>
            </w:pPr>
            <w:r>
              <w:rPr>
                <w:rFonts w:ascii="Times New Roman" w:hAnsi="Times New Roman" w:cs="Times New Roman"/>
                <w:sz w:val="16"/>
                <w:szCs w:val="16"/>
              </w:rPr>
              <w:t>Mandl et al. 2020</w:t>
            </w:r>
            <w:r w:rsidR="00FD69B7">
              <w:rPr>
                <w:rFonts w:ascii="Times New Roman" w:hAnsi="Times New Roman" w:cs="Times New Roman"/>
                <w:sz w:val="16"/>
                <w:szCs w:val="16"/>
              </w:rPr>
              <w:fldChar w:fldCharType="begin"/>
            </w:r>
            <w:r w:rsidR="00817F70">
              <w:rPr>
                <w:rFonts w:ascii="Times New Roman" w:hAnsi="Times New Roman" w:cs="Times New Roman"/>
                <w:sz w:val="16"/>
                <w:szCs w:val="16"/>
              </w:rPr>
              <w:instrText xml:space="preserve"> ADDIN ZOTERO_ITEM CSL_CITATION {"citationID":"zAzQ7gb0","properties":{"formattedCitation":"\\super 8\\nosupersub{}","plainCitation":"8","noteIndex":0},"citationItems":[{"id":1779,"uris":["http://zotero.org/users/local/26vZAHNZ/items/RMCFEI9D"],"itemData":{"id":1779,"type":"paper-conference","abstract":"Background/Purpose: Over 520 million people have been infected by SARS-CoV-2. In 10-40%, disabling symptoms such as fatigue and dyspnea can persist. Risk factors for poor outcomes after both COVID19 and total knee arthroplasty (TKA) are similar. To our knowledge, whether previous SARS-CoV-2 infection is associated with poor outcomes after TKA has never been evaluated. Methods: […]","container-title":"ACR Meeting Abstracts","event-place":"Philadelphia, PA.","event-title":"ACR Convergence 2022","language":"en-US","publisher-place":"Philadelphia, PA.","title":"Is SARS-CoV-2 Associated with Worse Outcomes After Total Knee Arthroplasty?","URL":"https://acrabstracts.org/abstract/is-sars-cov-2-associated-with-worse-outcomes-after-total-knee-arthroplasty/","author":[{"family":"Lisa Mandl, Benjamin Swett, Robyn Lipschultz, Myriam Lin, Alison Zhao, Carola Hanreich, Dongmei Sun, Kethy Jules-elysee and Friedrich Boettner","given":""}],"accessed":{"date-parts":[["2023",3,22]]},"issued":{"date-parts":[["2022",11,10]]}}}],"schema":"https://github.com/citation-style-language/schema/raw/master/csl-citation.json"} </w:instrText>
            </w:r>
            <w:r w:rsidR="00FD69B7">
              <w:rPr>
                <w:rFonts w:ascii="Times New Roman" w:hAnsi="Times New Roman" w:cs="Times New Roman"/>
                <w:sz w:val="16"/>
                <w:szCs w:val="16"/>
              </w:rPr>
              <w:fldChar w:fldCharType="separate"/>
            </w:r>
            <w:r w:rsidR="00817F70" w:rsidRPr="00817F70">
              <w:rPr>
                <w:rFonts w:ascii="Times New Roman" w:hAnsi="Times New Roman" w:cs="Times New Roman"/>
                <w:sz w:val="16"/>
                <w:vertAlign w:val="superscript"/>
              </w:rPr>
              <w:t>8</w:t>
            </w:r>
            <w:r w:rsidR="00FD69B7">
              <w:rPr>
                <w:rFonts w:ascii="Times New Roman" w:hAnsi="Times New Roman" w:cs="Times New Roman"/>
                <w:sz w:val="16"/>
                <w:szCs w:val="16"/>
              </w:rPr>
              <w:fldChar w:fldCharType="end"/>
            </w:r>
          </w:p>
        </w:tc>
        <w:tc>
          <w:tcPr>
            <w:tcW w:w="921" w:type="dxa"/>
          </w:tcPr>
          <w:p w14:paraId="0F71F098" w14:textId="310D6C98" w:rsidR="00950C87" w:rsidRPr="004A3B37" w:rsidRDefault="005F5C65" w:rsidP="004A3B37">
            <w:pPr>
              <w:rPr>
                <w:rFonts w:ascii="Times New Roman" w:hAnsi="Times New Roman" w:cs="Times New Roman"/>
                <w:sz w:val="16"/>
                <w:szCs w:val="16"/>
              </w:rPr>
            </w:pPr>
            <w:r>
              <w:rPr>
                <w:rFonts w:ascii="Times New Roman" w:hAnsi="Times New Roman" w:cs="Times New Roman"/>
                <w:sz w:val="16"/>
                <w:szCs w:val="16"/>
              </w:rPr>
              <w:t>Prospective</w:t>
            </w:r>
            <w:r w:rsidR="00E431E5">
              <w:rPr>
                <w:rFonts w:ascii="Times New Roman" w:hAnsi="Times New Roman" w:cs="Times New Roman"/>
                <w:sz w:val="16"/>
                <w:szCs w:val="16"/>
              </w:rPr>
              <w:t xml:space="preserve"> Cohort</w:t>
            </w:r>
          </w:p>
        </w:tc>
        <w:tc>
          <w:tcPr>
            <w:tcW w:w="1675" w:type="dxa"/>
          </w:tcPr>
          <w:p w14:paraId="2127B171" w14:textId="6618AABE" w:rsidR="00950C87" w:rsidRPr="004A3B37" w:rsidRDefault="000050DC" w:rsidP="004A3B37">
            <w:pPr>
              <w:rPr>
                <w:rFonts w:ascii="Times New Roman" w:hAnsi="Times New Roman" w:cs="Times New Roman"/>
                <w:sz w:val="16"/>
                <w:szCs w:val="16"/>
              </w:rPr>
            </w:pPr>
            <w:r>
              <w:rPr>
                <w:rFonts w:ascii="Times New Roman" w:hAnsi="Times New Roman" w:cs="Times New Roman"/>
                <w:sz w:val="16"/>
                <w:szCs w:val="16"/>
              </w:rPr>
              <w:t>Patients with knee OA undergoing TKR.</w:t>
            </w:r>
          </w:p>
        </w:tc>
        <w:tc>
          <w:tcPr>
            <w:tcW w:w="914" w:type="dxa"/>
          </w:tcPr>
          <w:p w14:paraId="0ACEF4B3" w14:textId="25F81C40" w:rsidR="00950C87" w:rsidRPr="004A3B37" w:rsidRDefault="00A11213" w:rsidP="004A3B37">
            <w:pPr>
              <w:rPr>
                <w:rFonts w:ascii="Times New Roman" w:hAnsi="Times New Roman" w:cs="Times New Roman"/>
                <w:sz w:val="16"/>
                <w:szCs w:val="16"/>
              </w:rPr>
            </w:pPr>
            <w:r>
              <w:rPr>
                <w:rFonts w:ascii="Times New Roman" w:hAnsi="Times New Roman" w:cs="Times New Roman"/>
                <w:sz w:val="16"/>
                <w:szCs w:val="16"/>
              </w:rPr>
              <w:t>2020-2021</w:t>
            </w:r>
          </w:p>
        </w:tc>
        <w:tc>
          <w:tcPr>
            <w:tcW w:w="1066" w:type="dxa"/>
          </w:tcPr>
          <w:p w14:paraId="408E36CB" w14:textId="602AC0B5" w:rsidR="00950C87" w:rsidRPr="004A3B37" w:rsidRDefault="00A11213" w:rsidP="004A3B37">
            <w:pPr>
              <w:rPr>
                <w:rFonts w:ascii="Times New Roman" w:hAnsi="Times New Roman" w:cs="Times New Roman"/>
                <w:sz w:val="16"/>
                <w:szCs w:val="16"/>
              </w:rPr>
            </w:pPr>
            <w:r>
              <w:rPr>
                <w:rFonts w:ascii="Times New Roman" w:hAnsi="Times New Roman" w:cs="Times New Roman"/>
                <w:sz w:val="16"/>
                <w:szCs w:val="16"/>
              </w:rPr>
              <w:t>USA</w:t>
            </w:r>
          </w:p>
        </w:tc>
        <w:tc>
          <w:tcPr>
            <w:tcW w:w="1218" w:type="dxa"/>
          </w:tcPr>
          <w:p w14:paraId="2AD8D354" w14:textId="2D9A4E6F" w:rsidR="00950C87" w:rsidRPr="004A3B37" w:rsidRDefault="00A11213" w:rsidP="004A3B37">
            <w:pPr>
              <w:rPr>
                <w:rFonts w:ascii="Times New Roman" w:hAnsi="Times New Roman" w:cs="Times New Roman"/>
                <w:sz w:val="16"/>
                <w:szCs w:val="16"/>
              </w:rPr>
            </w:pPr>
            <w:r>
              <w:rPr>
                <w:rFonts w:ascii="Times New Roman" w:hAnsi="Times New Roman" w:cs="Times New Roman"/>
                <w:sz w:val="16"/>
                <w:szCs w:val="16"/>
              </w:rPr>
              <w:t>Single-Centre</w:t>
            </w:r>
          </w:p>
        </w:tc>
        <w:tc>
          <w:tcPr>
            <w:tcW w:w="1523" w:type="dxa"/>
          </w:tcPr>
          <w:p w14:paraId="5B2FFF3A" w14:textId="3BAAFB20" w:rsidR="00950C87" w:rsidRPr="004A3B37" w:rsidRDefault="008A511D" w:rsidP="004A3B37">
            <w:pPr>
              <w:rPr>
                <w:rFonts w:ascii="Times New Roman" w:hAnsi="Times New Roman" w:cs="Times New Roman"/>
                <w:sz w:val="16"/>
                <w:szCs w:val="16"/>
              </w:rPr>
            </w:pPr>
            <w:r>
              <w:rPr>
                <w:rFonts w:ascii="Times New Roman" w:hAnsi="Times New Roman" w:cs="Times New Roman"/>
                <w:sz w:val="16"/>
                <w:szCs w:val="16"/>
              </w:rPr>
              <w:t>N/A- Positive COVID-19 immunoglobulins</w:t>
            </w:r>
            <w:r w:rsidR="009912DE">
              <w:rPr>
                <w:rFonts w:ascii="Times New Roman" w:hAnsi="Times New Roman" w:cs="Times New Roman"/>
                <w:sz w:val="16"/>
                <w:szCs w:val="16"/>
              </w:rPr>
              <w:t xml:space="preserve"> [positive, negative]</w:t>
            </w:r>
          </w:p>
        </w:tc>
        <w:tc>
          <w:tcPr>
            <w:tcW w:w="1371" w:type="dxa"/>
          </w:tcPr>
          <w:p w14:paraId="5B5F395F" w14:textId="13313AAE" w:rsidR="00950C87" w:rsidRPr="004A3B37" w:rsidRDefault="009912DE" w:rsidP="004A3B37">
            <w:pPr>
              <w:rPr>
                <w:rFonts w:ascii="Times New Roman" w:hAnsi="Times New Roman" w:cs="Times New Roman"/>
                <w:sz w:val="16"/>
                <w:szCs w:val="16"/>
              </w:rPr>
            </w:pPr>
            <w:r>
              <w:rPr>
                <w:rFonts w:ascii="Times New Roman" w:hAnsi="Times New Roman" w:cs="Times New Roman"/>
                <w:sz w:val="16"/>
                <w:szCs w:val="16"/>
              </w:rPr>
              <w:t>144 [67,77]</w:t>
            </w:r>
          </w:p>
        </w:tc>
        <w:tc>
          <w:tcPr>
            <w:tcW w:w="1371" w:type="dxa"/>
          </w:tcPr>
          <w:p w14:paraId="6F28E187" w14:textId="6404B9C7" w:rsidR="00950C87" w:rsidRPr="004A3B37" w:rsidRDefault="00622F9E" w:rsidP="004A3B37">
            <w:pPr>
              <w:rPr>
                <w:rFonts w:ascii="Times New Roman" w:hAnsi="Times New Roman" w:cs="Times New Roman"/>
                <w:sz w:val="16"/>
                <w:szCs w:val="16"/>
              </w:rPr>
            </w:pPr>
            <w:r>
              <w:rPr>
                <w:rFonts w:ascii="Times New Roman" w:hAnsi="Times New Roman" w:cs="Times New Roman"/>
                <w:sz w:val="16"/>
                <w:szCs w:val="16"/>
              </w:rPr>
              <w:t>64</w:t>
            </w:r>
          </w:p>
        </w:tc>
        <w:tc>
          <w:tcPr>
            <w:tcW w:w="1371" w:type="dxa"/>
          </w:tcPr>
          <w:p w14:paraId="0E60E717" w14:textId="2F10CCBA" w:rsidR="00950C87" w:rsidRPr="004A3B37" w:rsidRDefault="00622F9E" w:rsidP="004A3B37">
            <w:pPr>
              <w:rPr>
                <w:rFonts w:ascii="Times New Roman" w:hAnsi="Times New Roman" w:cs="Times New Roman"/>
                <w:sz w:val="16"/>
                <w:szCs w:val="16"/>
              </w:rPr>
            </w:pPr>
            <w:r>
              <w:rPr>
                <w:rFonts w:ascii="Times New Roman" w:hAnsi="Times New Roman" w:cs="Times New Roman"/>
                <w:sz w:val="16"/>
                <w:szCs w:val="16"/>
              </w:rPr>
              <w:t>58.3%</w:t>
            </w:r>
          </w:p>
        </w:tc>
        <w:tc>
          <w:tcPr>
            <w:tcW w:w="1669" w:type="dxa"/>
          </w:tcPr>
          <w:p w14:paraId="368E1853" w14:textId="5F41CA8D" w:rsidR="00950C87" w:rsidRPr="004A3B37" w:rsidRDefault="00BE5C3E" w:rsidP="004A3B37">
            <w:pPr>
              <w:rPr>
                <w:rFonts w:ascii="Times New Roman" w:hAnsi="Times New Roman" w:cs="Times New Roman"/>
                <w:sz w:val="16"/>
                <w:szCs w:val="16"/>
              </w:rPr>
            </w:pPr>
            <w:r>
              <w:rPr>
                <w:rFonts w:ascii="Times New Roman" w:hAnsi="Times New Roman" w:cs="Times New Roman"/>
                <w:sz w:val="16"/>
                <w:szCs w:val="16"/>
              </w:rPr>
              <w:t>No waiting time data available.</w:t>
            </w:r>
          </w:p>
        </w:tc>
      </w:tr>
    </w:tbl>
    <w:p w14:paraId="6F0B1921" w14:textId="77777777" w:rsidR="00D472EF" w:rsidRPr="004A3B37" w:rsidRDefault="00D472EF" w:rsidP="004A3B37">
      <w:pPr>
        <w:rPr>
          <w:rFonts w:ascii="Times New Roman" w:hAnsi="Times New Roman" w:cs="Times New Roman"/>
          <w:b/>
          <w:bCs/>
          <w:sz w:val="16"/>
          <w:szCs w:val="16"/>
        </w:rPr>
      </w:pPr>
    </w:p>
    <w:p w14:paraId="18622B11" w14:textId="5C33A687" w:rsidR="00393D01" w:rsidRPr="00322094" w:rsidRDefault="001F27AB" w:rsidP="004A3B37">
      <w:pPr>
        <w:rPr>
          <w:rFonts w:ascii="Times New Roman" w:hAnsi="Times New Roman" w:cs="Times New Roman"/>
          <w:sz w:val="20"/>
          <w:szCs w:val="20"/>
        </w:rPr>
      </w:pPr>
      <w:r w:rsidRPr="00322094">
        <w:rPr>
          <w:rFonts w:ascii="Times New Roman" w:hAnsi="Times New Roman" w:cs="Times New Roman"/>
          <w:b/>
          <w:bCs/>
          <w:i/>
          <w:iCs/>
          <w:sz w:val="20"/>
          <w:szCs w:val="20"/>
        </w:rPr>
        <w:t>Supplementary Table 2:</w:t>
      </w:r>
      <w:r w:rsidR="004B457E" w:rsidRPr="00322094">
        <w:rPr>
          <w:rFonts w:ascii="Times New Roman" w:hAnsi="Times New Roman" w:cs="Times New Roman"/>
          <w:b/>
          <w:bCs/>
          <w:i/>
          <w:iCs/>
          <w:sz w:val="20"/>
          <w:szCs w:val="20"/>
        </w:rPr>
        <w:t xml:space="preserve"> </w:t>
      </w:r>
      <w:r w:rsidR="004B457E" w:rsidRPr="00322094">
        <w:rPr>
          <w:rFonts w:ascii="Times New Roman" w:hAnsi="Times New Roman" w:cs="Times New Roman"/>
          <w:i/>
          <w:iCs/>
          <w:sz w:val="20"/>
          <w:szCs w:val="20"/>
        </w:rPr>
        <w:t>Summary characteristics</w:t>
      </w:r>
      <w:r w:rsidR="00A24CAE" w:rsidRPr="00322094">
        <w:rPr>
          <w:rFonts w:ascii="Times New Roman" w:hAnsi="Times New Roman" w:cs="Times New Roman"/>
          <w:i/>
          <w:iCs/>
          <w:sz w:val="20"/>
          <w:szCs w:val="20"/>
        </w:rPr>
        <w:t xml:space="preserve"> and exclusory cases </w:t>
      </w:r>
      <w:r w:rsidR="004B457E" w:rsidRPr="00322094">
        <w:rPr>
          <w:rFonts w:ascii="Times New Roman" w:hAnsi="Times New Roman" w:cs="Times New Roman"/>
          <w:i/>
          <w:iCs/>
          <w:sz w:val="20"/>
          <w:szCs w:val="20"/>
        </w:rPr>
        <w:t xml:space="preserve"> of studies </w:t>
      </w:r>
      <w:r w:rsidR="00A24CAE" w:rsidRPr="00322094">
        <w:rPr>
          <w:rFonts w:ascii="Times New Roman" w:hAnsi="Times New Roman" w:cs="Times New Roman"/>
          <w:i/>
          <w:iCs/>
          <w:sz w:val="20"/>
          <w:szCs w:val="20"/>
        </w:rPr>
        <w:t>excluded</w:t>
      </w:r>
      <w:r w:rsidR="004B457E" w:rsidRPr="00322094">
        <w:rPr>
          <w:rFonts w:ascii="Times New Roman" w:hAnsi="Times New Roman" w:cs="Times New Roman"/>
          <w:i/>
          <w:iCs/>
          <w:sz w:val="20"/>
          <w:szCs w:val="20"/>
        </w:rPr>
        <w:t xml:space="preserve"> in systematic review and meta-analysis.</w:t>
      </w:r>
      <w:r w:rsidRPr="00322094">
        <w:rPr>
          <w:rFonts w:ascii="Times New Roman" w:hAnsi="Times New Roman" w:cs="Times New Roman"/>
          <w:b/>
          <w:bCs/>
          <w:i/>
          <w:iCs/>
          <w:sz w:val="20"/>
          <w:szCs w:val="20"/>
        </w:rPr>
        <w:t xml:space="preserve"> </w:t>
      </w:r>
      <w:r w:rsidR="00D472EF" w:rsidRPr="00322094">
        <w:rPr>
          <w:rFonts w:ascii="Times New Roman" w:hAnsi="Times New Roman" w:cs="Times New Roman"/>
          <w:i/>
          <w:iCs/>
          <w:sz w:val="20"/>
          <w:szCs w:val="20"/>
        </w:rPr>
        <w:t>RCT</w:t>
      </w:r>
      <w:r w:rsidR="00D472EF" w:rsidRPr="00322094">
        <w:rPr>
          <w:rFonts w:ascii="Times New Roman" w:hAnsi="Times New Roman" w:cs="Times New Roman"/>
          <w:sz w:val="20"/>
          <w:szCs w:val="20"/>
        </w:rPr>
        <w:t>:</w:t>
      </w:r>
      <w:r w:rsidR="00D472EF" w:rsidRPr="00322094">
        <w:rPr>
          <w:rFonts w:ascii="Times New Roman" w:hAnsi="Times New Roman" w:cs="Times New Roman"/>
          <w:i/>
          <w:iCs/>
          <w:sz w:val="20"/>
          <w:szCs w:val="20"/>
        </w:rPr>
        <w:t xml:space="preserve"> Randomised Controlled Trial</w:t>
      </w:r>
      <w:r w:rsidR="00CD4650" w:rsidRPr="00322094">
        <w:rPr>
          <w:rFonts w:ascii="Times New Roman" w:hAnsi="Times New Roman" w:cs="Times New Roman"/>
          <w:i/>
          <w:iCs/>
          <w:sz w:val="20"/>
          <w:szCs w:val="20"/>
        </w:rPr>
        <w:t xml:space="preserve">; THR: Total Hip Replacement; TKR: Total Knee Replacement; </w:t>
      </w:r>
      <w:r w:rsidR="002C6572" w:rsidRPr="00322094">
        <w:rPr>
          <w:rFonts w:ascii="Times New Roman" w:hAnsi="Times New Roman" w:cs="Times New Roman"/>
          <w:i/>
          <w:iCs/>
          <w:sz w:val="20"/>
          <w:szCs w:val="20"/>
        </w:rPr>
        <w:t xml:space="preserve">OA: </w:t>
      </w:r>
      <w:proofErr w:type="spellStart"/>
      <w:r w:rsidR="002C6572" w:rsidRPr="00322094">
        <w:rPr>
          <w:rFonts w:ascii="Times New Roman" w:hAnsi="Times New Roman" w:cs="Times New Roman"/>
          <w:i/>
          <w:iCs/>
          <w:sz w:val="20"/>
          <w:szCs w:val="20"/>
        </w:rPr>
        <w:t>Osteoartritis</w:t>
      </w:r>
      <w:proofErr w:type="spellEnd"/>
      <w:r w:rsidR="002C6572" w:rsidRPr="00322094">
        <w:rPr>
          <w:rFonts w:ascii="Times New Roman" w:hAnsi="Times New Roman" w:cs="Times New Roman"/>
          <w:i/>
          <w:iCs/>
          <w:sz w:val="20"/>
          <w:szCs w:val="20"/>
        </w:rPr>
        <w:t xml:space="preserve">; </w:t>
      </w:r>
      <w:r w:rsidR="005E7BCA" w:rsidRPr="00322094">
        <w:rPr>
          <w:rFonts w:ascii="Times New Roman" w:hAnsi="Times New Roman" w:cs="Times New Roman"/>
          <w:i/>
          <w:iCs/>
          <w:sz w:val="20"/>
          <w:szCs w:val="20"/>
        </w:rPr>
        <w:t xml:space="preserve">UK: United Kingdom; </w:t>
      </w:r>
      <w:r w:rsidR="00CD4650" w:rsidRPr="00322094">
        <w:rPr>
          <w:rFonts w:ascii="Times New Roman" w:hAnsi="Times New Roman" w:cs="Times New Roman"/>
          <w:i/>
          <w:iCs/>
          <w:sz w:val="20"/>
          <w:szCs w:val="20"/>
        </w:rPr>
        <w:t>USA: United States of America</w:t>
      </w:r>
      <w:r w:rsidR="00404A67" w:rsidRPr="00322094">
        <w:rPr>
          <w:rFonts w:ascii="Times New Roman" w:hAnsi="Times New Roman" w:cs="Times New Roman"/>
          <w:i/>
          <w:iCs/>
          <w:sz w:val="20"/>
          <w:szCs w:val="20"/>
        </w:rPr>
        <w:t xml:space="preserve">; UKR: </w:t>
      </w:r>
      <w:proofErr w:type="spellStart"/>
      <w:r w:rsidR="00404A67" w:rsidRPr="00322094">
        <w:rPr>
          <w:rFonts w:ascii="Times New Roman" w:hAnsi="Times New Roman" w:cs="Times New Roman"/>
          <w:i/>
          <w:iCs/>
          <w:sz w:val="20"/>
          <w:szCs w:val="20"/>
        </w:rPr>
        <w:t>Unicompartmental</w:t>
      </w:r>
      <w:proofErr w:type="spellEnd"/>
      <w:r w:rsidR="00404A67" w:rsidRPr="00322094">
        <w:rPr>
          <w:rFonts w:ascii="Times New Roman" w:hAnsi="Times New Roman" w:cs="Times New Roman"/>
          <w:i/>
          <w:iCs/>
          <w:sz w:val="20"/>
          <w:szCs w:val="20"/>
        </w:rPr>
        <w:t xml:space="preserve"> Knee Replacement </w:t>
      </w:r>
      <w:r w:rsidR="00F26E75" w:rsidRPr="00322094">
        <w:rPr>
          <w:rFonts w:ascii="Times New Roman" w:hAnsi="Times New Roman" w:cs="Times New Roman"/>
          <w:i/>
          <w:iCs/>
          <w:sz w:val="20"/>
          <w:szCs w:val="20"/>
        </w:rPr>
        <w:t xml:space="preserve"> *Median</w:t>
      </w:r>
      <w:r w:rsidR="00D705F1" w:rsidRPr="00322094">
        <w:rPr>
          <w:rFonts w:ascii="Times New Roman" w:hAnsi="Times New Roman" w:cs="Times New Roman"/>
          <w:i/>
          <w:iCs/>
          <w:sz w:val="20"/>
          <w:szCs w:val="20"/>
        </w:rPr>
        <w:t xml:space="preserve"> value</w:t>
      </w:r>
      <w:r w:rsidR="00393D01" w:rsidRPr="00322094">
        <w:rPr>
          <w:rFonts w:ascii="Times New Roman" w:hAnsi="Times New Roman" w:cs="Times New Roman"/>
          <w:sz w:val="20"/>
          <w:szCs w:val="20"/>
        </w:rPr>
        <w:br w:type="page"/>
      </w:r>
    </w:p>
    <w:p w14:paraId="6A850AAB" w14:textId="33DAEA34" w:rsidR="00574545" w:rsidRPr="00322094" w:rsidRDefault="00393D01" w:rsidP="004A3B37">
      <w:pPr>
        <w:rPr>
          <w:rFonts w:ascii="Times New Roman" w:hAnsi="Times New Roman" w:cs="Times New Roman"/>
          <w:b/>
          <w:bCs/>
          <w:sz w:val="20"/>
          <w:szCs w:val="20"/>
        </w:rPr>
      </w:pPr>
      <w:r w:rsidRPr="00322094">
        <w:rPr>
          <w:rFonts w:ascii="Times New Roman" w:hAnsi="Times New Roman" w:cs="Times New Roman"/>
          <w:b/>
          <w:bCs/>
          <w:sz w:val="20"/>
          <w:szCs w:val="20"/>
        </w:rPr>
        <w:lastRenderedPageBreak/>
        <w:t>Supplementary Table 3</w:t>
      </w:r>
      <w:r w:rsidR="00712C47" w:rsidRPr="00322094">
        <w:rPr>
          <w:rFonts w:ascii="Times New Roman" w:hAnsi="Times New Roman" w:cs="Times New Roman"/>
          <w:b/>
          <w:bCs/>
          <w:sz w:val="20"/>
          <w:szCs w:val="20"/>
        </w:rPr>
        <w:t>: Risk of Bias in Randomised Controlled Trials by Risk of Bias 2 (ROB-2).</w:t>
      </w:r>
    </w:p>
    <w:tbl>
      <w:tblPr>
        <w:tblW w:w="0" w:type="auto"/>
        <w:tblCellMar>
          <w:top w:w="15" w:type="dxa"/>
          <w:left w:w="15" w:type="dxa"/>
          <w:bottom w:w="15" w:type="dxa"/>
          <w:right w:w="15" w:type="dxa"/>
        </w:tblCellMar>
        <w:tblLook w:val="04A0" w:firstRow="1" w:lastRow="0" w:firstColumn="1" w:lastColumn="0" w:noHBand="0" w:noVBand="1"/>
      </w:tblPr>
      <w:tblGrid>
        <w:gridCol w:w="1274"/>
        <w:gridCol w:w="2341"/>
        <w:gridCol w:w="2574"/>
        <w:gridCol w:w="1822"/>
        <w:gridCol w:w="616"/>
        <w:gridCol w:w="616"/>
        <w:gridCol w:w="616"/>
        <w:gridCol w:w="460"/>
        <w:gridCol w:w="460"/>
        <w:gridCol w:w="460"/>
        <w:gridCol w:w="567"/>
        <w:gridCol w:w="567"/>
        <w:gridCol w:w="567"/>
      </w:tblGrid>
      <w:tr w:rsidR="00897D8F" w:rsidRPr="004A3B37" w14:paraId="7C694021" w14:textId="77777777" w:rsidTr="00897D8F">
        <w:trPr>
          <w:trHeight w:val="945"/>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9A70B" w14:textId="77777777" w:rsidR="00712C47" w:rsidRPr="004A3B37" w:rsidRDefault="00712C47" w:rsidP="004A3B37">
            <w:pPr>
              <w:jc w:val="both"/>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Study Name</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A1FAC" w14:textId="77777777" w:rsidR="00712C47" w:rsidRPr="004A3B37" w:rsidRDefault="00712C47" w:rsidP="004A3B37">
            <w:pP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Risk of bias arising from the randomisation process</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DD8AE" w14:textId="77777777" w:rsidR="00712C47" w:rsidRPr="004A3B37" w:rsidRDefault="00712C47" w:rsidP="004A3B37">
            <w:pP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Risk of bias due to deviations from the intended intervention</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CE8B31" w14:textId="77777777" w:rsidR="00712C47" w:rsidRPr="004A3B37" w:rsidRDefault="00712C47" w:rsidP="004A3B37">
            <w:pP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Risk of bias due to missing outcome data</w:t>
            </w:r>
          </w:p>
        </w:tc>
        <w:tc>
          <w:tcPr>
            <w:tcW w:w="184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E9392" w14:textId="5EF7C0B1" w:rsidR="00712C47" w:rsidRPr="004A3B37" w:rsidRDefault="00712C47" w:rsidP="004A3B37">
            <w:pPr>
              <w:ind w:right="360"/>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Risk of bias in measurement of the</w:t>
            </w:r>
            <w:r w:rsidR="00897D8F">
              <w:rPr>
                <w:rFonts w:ascii="Times New Roman" w:eastAsia="Times New Roman" w:hAnsi="Times New Roman" w:cs="Times New Roman"/>
                <w:color w:val="000000"/>
                <w:sz w:val="16"/>
                <w:szCs w:val="16"/>
                <w:lang w:eastAsia="en-GB"/>
              </w:rPr>
              <w:t xml:space="preserve"> </w:t>
            </w:r>
            <w:r w:rsidRPr="004A3B37">
              <w:rPr>
                <w:rFonts w:ascii="Times New Roman" w:eastAsia="Times New Roman" w:hAnsi="Times New Roman" w:cs="Times New Roman"/>
                <w:color w:val="000000"/>
                <w:sz w:val="16"/>
                <w:szCs w:val="16"/>
                <w:lang w:eastAsia="en-GB"/>
              </w:rPr>
              <w:t>outcome</w:t>
            </w:r>
          </w:p>
        </w:tc>
        <w:tc>
          <w:tcPr>
            <w:tcW w:w="1380" w:type="dxa"/>
            <w:gridSpan w:val="3"/>
            <w:tcBorders>
              <w:top w:val="single" w:sz="8" w:space="0" w:color="000000"/>
              <w:left w:val="single" w:sz="8" w:space="0" w:color="000000"/>
              <w:bottom w:val="single" w:sz="4" w:space="0" w:color="auto"/>
              <w:right w:val="single" w:sz="8" w:space="0" w:color="000000"/>
            </w:tcBorders>
            <w:tcMar>
              <w:top w:w="20" w:type="dxa"/>
              <w:left w:w="20" w:type="dxa"/>
              <w:bottom w:w="20" w:type="dxa"/>
              <w:right w:w="20" w:type="dxa"/>
            </w:tcMar>
            <w:hideMark/>
          </w:tcPr>
          <w:p w14:paraId="0330076F" w14:textId="77777777" w:rsidR="00712C47" w:rsidRPr="004A3B37" w:rsidRDefault="00712C47" w:rsidP="004A3B37">
            <w:pP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Risk of bias in selection of reported result</w:t>
            </w:r>
          </w:p>
        </w:tc>
        <w:tc>
          <w:tcPr>
            <w:tcW w:w="1701" w:type="dxa"/>
            <w:gridSpan w:val="3"/>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6499D40F" w14:textId="77777777" w:rsidR="00712C47" w:rsidRPr="004A3B37" w:rsidRDefault="00712C47" w:rsidP="004A3B37">
            <w:pP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Overall Risk of Bias</w:t>
            </w:r>
          </w:p>
        </w:tc>
      </w:tr>
      <w:tr w:rsidR="00897D8F" w:rsidRPr="004A3B37" w14:paraId="2A4E44BE" w14:textId="77777777" w:rsidTr="00897D8F">
        <w:trPr>
          <w:trHeight w:val="51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CE2C6B" w14:textId="77777777" w:rsidR="00897D8F" w:rsidRPr="004A3B37" w:rsidRDefault="00897D8F" w:rsidP="00897D8F">
            <w:pPr>
              <w:rPr>
                <w:rFonts w:ascii="Times New Roman" w:eastAsia="Times New Roman" w:hAnsi="Times New Roman" w:cs="Times New Roman"/>
                <w:sz w:val="16"/>
                <w:szCs w:val="16"/>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C8AFD95" w14:textId="77777777" w:rsidR="00897D8F" w:rsidRPr="004A3B37" w:rsidRDefault="00897D8F" w:rsidP="00897D8F">
            <w:pPr>
              <w:rPr>
                <w:rFonts w:ascii="Times New Roman" w:eastAsia="Times New Roman" w:hAnsi="Times New Roman" w:cs="Times New Roman"/>
                <w:sz w:val="16"/>
                <w:szCs w:val="16"/>
                <w:lang w:eastAsia="en-GB"/>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B2F0895" w14:textId="77777777" w:rsidR="00897D8F" w:rsidRPr="004A3B37" w:rsidRDefault="00897D8F" w:rsidP="00897D8F">
            <w:pPr>
              <w:rPr>
                <w:rFonts w:ascii="Times New Roman" w:eastAsia="Times New Roman" w:hAnsi="Times New Roman" w:cs="Times New Roman"/>
                <w:sz w:val="16"/>
                <w:szCs w:val="16"/>
                <w:lang w:eastAsia="en-GB"/>
              </w:rPr>
            </w:pPr>
          </w:p>
        </w:tc>
        <w:tc>
          <w:tcPr>
            <w:tcW w:w="0" w:type="auto"/>
            <w:vMerge/>
            <w:tcBorders>
              <w:top w:val="single" w:sz="8" w:space="0" w:color="000000"/>
              <w:left w:val="single" w:sz="8" w:space="0" w:color="000000"/>
              <w:bottom w:val="single" w:sz="8" w:space="0" w:color="000000"/>
              <w:right w:val="single" w:sz="4" w:space="0" w:color="auto"/>
            </w:tcBorders>
            <w:vAlign w:val="center"/>
            <w:hideMark/>
          </w:tcPr>
          <w:p w14:paraId="16691299" w14:textId="77777777" w:rsidR="00897D8F" w:rsidRPr="004A3B37" w:rsidRDefault="00897D8F" w:rsidP="00897D8F">
            <w:pPr>
              <w:rPr>
                <w:rFonts w:ascii="Times New Roman" w:eastAsia="Times New Roman" w:hAnsi="Times New Roman" w:cs="Times New Roman"/>
                <w:sz w:val="16"/>
                <w:szCs w:val="16"/>
                <w:lang w:eastAsia="en-GB"/>
              </w:rPr>
            </w:pPr>
          </w:p>
        </w:tc>
        <w:tc>
          <w:tcPr>
            <w:tcW w:w="61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D364783" w14:textId="0104532E" w:rsidR="00897D8F" w:rsidRPr="004A3B37" w:rsidRDefault="00897D8F" w:rsidP="00897D8F">
            <w:pPr>
              <w:jc w:val="both"/>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A</w:t>
            </w:r>
          </w:p>
        </w:tc>
        <w:tc>
          <w:tcPr>
            <w:tcW w:w="616"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hideMark/>
          </w:tcPr>
          <w:p w14:paraId="06625053" w14:textId="6234251F" w:rsidR="00897D8F" w:rsidRPr="004A3B37" w:rsidRDefault="00897D8F" w:rsidP="00897D8F">
            <w:pPr>
              <w:jc w:val="both"/>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B</w:t>
            </w:r>
          </w:p>
        </w:tc>
        <w:tc>
          <w:tcPr>
            <w:tcW w:w="61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138E707E" w14:textId="50D7E9C4" w:rsidR="00897D8F" w:rsidRPr="004A3B37" w:rsidRDefault="00897D8F" w:rsidP="00897D8F">
            <w:pPr>
              <w:jc w:val="both"/>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C</w:t>
            </w:r>
          </w:p>
        </w:tc>
        <w:tc>
          <w:tcPr>
            <w:tcW w:w="46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0AB8A610" w14:textId="701E638A" w:rsidR="00897D8F" w:rsidRPr="004A3B37" w:rsidRDefault="00897D8F" w:rsidP="00897D8F">
            <w:pPr>
              <w:jc w:val="both"/>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A</w:t>
            </w:r>
          </w:p>
        </w:tc>
        <w:tc>
          <w:tcPr>
            <w:tcW w:w="460" w:type="dxa"/>
            <w:tcBorders>
              <w:top w:val="single" w:sz="4" w:space="0" w:color="auto"/>
              <w:left w:val="single" w:sz="4" w:space="0" w:color="auto"/>
              <w:bottom w:val="single" w:sz="4" w:space="0" w:color="auto"/>
              <w:right w:val="single" w:sz="4" w:space="0" w:color="auto"/>
            </w:tcBorders>
          </w:tcPr>
          <w:p w14:paraId="68C77945" w14:textId="58DD9A05" w:rsidR="00897D8F" w:rsidRPr="004A3B37" w:rsidRDefault="00897D8F" w:rsidP="00897D8F">
            <w:pPr>
              <w:jc w:val="both"/>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B</w:t>
            </w:r>
          </w:p>
        </w:tc>
        <w:tc>
          <w:tcPr>
            <w:tcW w:w="460" w:type="dxa"/>
            <w:tcBorders>
              <w:top w:val="single" w:sz="4" w:space="0" w:color="auto"/>
              <w:left w:val="single" w:sz="4" w:space="0" w:color="auto"/>
              <w:bottom w:val="single" w:sz="4" w:space="0" w:color="auto"/>
              <w:right w:val="single" w:sz="4" w:space="0" w:color="auto"/>
            </w:tcBorders>
          </w:tcPr>
          <w:p w14:paraId="75AB66A7" w14:textId="045B2746" w:rsidR="00897D8F" w:rsidRPr="004A3B37" w:rsidRDefault="00897D8F" w:rsidP="00897D8F">
            <w:pPr>
              <w:jc w:val="both"/>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C</w:t>
            </w:r>
          </w:p>
        </w:tc>
        <w:tc>
          <w:tcPr>
            <w:tcW w:w="56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302470D3" w14:textId="4279F266" w:rsidR="00897D8F" w:rsidRPr="004A3B37" w:rsidRDefault="00897D8F" w:rsidP="00897D8F">
            <w:pPr>
              <w:jc w:val="both"/>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A</w:t>
            </w:r>
          </w:p>
        </w:tc>
        <w:tc>
          <w:tcPr>
            <w:tcW w:w="567" w:type="dxa"/>
            <w:tcBorders>
              <w:top w:val="single" w:sz="4" w:space="0" w:color="auto"/>
              <w:left w:val="single" w:sz="4" w:space="0" w:color="auto"/>
              <w:bottom w:val="single" w:sz="4" w:space="0" w:color="auto"/>
              <w:right w:val="single" w:sz="4" w:space="0" w:color="auto"/>
            </w:tcBorders>
          </w:tcPr>
          <w:p w14:paraId="01091C48" w14:textId="5B54FEBB" w:rsidR="00897D8F" w:rsidRPr="004A3B37" w:rsidRDefault="00897D8F" w:rsidP="00897D8F">
            <w:pPr>
              <w:jc w:val="both"/>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B</w:t>
            </w:r>
          </w:p>
        </w:tc>
        <w:tc>
          <w:tcPr>
            <w:tcW w:w="567" w:type="dxa"/>
            <w:tcBorders>
              <w:top w:val="single" w:sz="4" w:space="0" w:color="auto"/>
              <w:left w:val="single" w:sz="4" w:space="0" w:color="auto"/>
              <w:bottom w:val="single" w:sz="4" w:space="0" w:color="auto"/>
              <w:right w:val="single" w:sz="4" w:space="0" w:color="auto"/>
            </w:tcBorders>
          </w:tcPr>
          <w:p w14:paraId="1015AB03" w14:textId="48598B9A" w:rsidR="00897D8F" w:rsidRPr="004A3B37" w:rsidRDefault="00897D8F" w:rsidP="00897D8F">
            <w:pPr>
              <w:jc w:val="both"/>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C</w:t>
            </w:r>
          </w:p>
        </w:tc>
      </w:tr>
      <w:tr w:rsidR="00897D8F" w:rsidRPr="004A3B37" w14:paraId="70E63A21" w14:textId="77777777" w:rsidTr="00897D8F">
        <w:trPr>
          <w:trHeight w:val="103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AFFEC6" w14:textId="6B7E150D" w:rsidR="00897D8F" w:rsidRPr="004A3B37" w:rsidRDefault="00897D8F" w:rsidP="00897D8F">
            <w:pPr>
              <w:rPr>
                <w:rFonts w:ascii="Times New Roman" w:eastAsia="Times New Roman" w:hAnsi="Times New Roman" w:cs="Times New Roman"/>
                <w:sz w:val="16"/>
                <w:szCs w:val="16"/>
                <w:lang w:eastAsia="en-GB"/>
              </w:rPr>
            </w:pPr>
            <w:proofErr w:type="spellStart"/>
            <w:r w:rsidRPr="004A3B37">
              <w:rPr>
                <w:rFonts w:ascii="Times New Roman" w:hAnsi="Times New Roman" w:cs="Times New Roman"/>
                <w:sz w:val="16"/>
                <w:szCs w:val="16"/>
              </w:rPr>
              <w:t>Hirvonen</w:t>
            </w:r>
            <w:proofErr w:type="spellEnd"/>
            <w:r w:rsidRPr="004A3B37">
              <w:rPr>
                <w:rFonts w:ascii="Times New Roman" w:hAnsi="Times New Roman" w:cs="Times New Roman"/>
                <w:sz w:val="16"/>
                <w:szCs w:val="16"/>
              </w:rPr>
              <w:t xml:space="preserve"> et al. 2007</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{"citationID":"oWlV9gWL","properties":{"formattedCitation":"\\super 9\\nosupersub{}","plainCitation":"9","noteIndex":0},"citationItems":[{"id":1439,"uris":["http://zotero.org/users/local/26vZAHNZ/items/FYHJZXDE"],"itemData":{"id":1439,"type":"article-journal","abstract":"AIMS: To evaluate the effect of waiting on health-related quality of life (HRQoL), pain and physical function in patients awaiting primary total knee replacement (TKR) due to osteoarthritis.\nMETHODS: Some 438 patients awaiting TKR were randomized to a short waiting time (WT) group (&lt; or =3 months) or a non-fixed WT group. In the final assessment, 310 patients (213 women) with a mean age of 68 years were included. HRQoL was measured on being placed on the waiting list and again at hospital admission using the generic 15D. Patients' self-report pain and physical function were evaluated using a scale modified from the Knee Society Clinical Rating System.\nRESULTS: The median WTs for patients with short and non-fixed WT were 73 days (range 8-600 days) and 266 days (range 28-818 days), respectively. At admission, as assessed by the intention-to-treat analysis, there were no statistically significant differences between the groups in the 15D total score and disease-specific pain and function.\nCONCLUSIONS: Our study showed that longer WT did not result in worse pre-operative HRQoL.","container-title":"Journal of Evaluation in Clinical Practice","DOI":"10.1111/j.1365-2753.2006.00745.x","ISSN":"1356-1294","issue":"5","journalAbbreviation":"J Eval Clin Pract","language":"eng","note":"PMID: 17824865","page":"728-733","source":"PubMed","title":"Evaluating waiting time effect on health outcomes at admission: a prospective randomized study on patients with osteoarthritis of the knee joint","title-short":"Evaluating waiting time effect on health outcomes at admission","volume":"13","author":[{"family":"Hirvonen","given":"Johanna"},{"family":"Blom","given":"Marja"},{"family":"Tuominen","given":"Ulla"},{"family":"Seitsalo","given":"Seppo"},{"family":"Lehto","given":"Matti"},{"family":"Paavolainen","given":"Pekka"},{"family":"Hietaniemi","given":"Kalevi"},{"family":"Rissanen","given":"Pekka"},{"family":"Sintonen","given":"Harri"}],"issued":{"date-parts":[["2007",10]]}}}],"schema":"https://github.com/citation-style-language/schema/raw/master/csl-citation.json"} </w:instrText>
            </w:r>
            <w:r>
              <w:rPr>
                <w:rFonts w:ascii="Times New Roman" w:hAnsi="Times New Roman" w:cs="Times New Roman"/>
                <w:sz w:val="16"/>
                <w:szCs w:val="16"/>
              </w:rPr>
              <w:fldChar w:fldCharType="separate"/>
            </w:r>
            <w:r w:rsidRPr="00817F70">
              <w:rPr>
                <w:rFonts w:ascii="Times New Roman" w:hAnsi="Times New Roman" w:cs="Times New Roman"/>
                <w:sz w:val="16"/>
                <w:vertAlign w:val="superscript"/>
              </w:rPr>
              <w:t>9</w:t>
            </w:r>
            <w:r>
              <w:rPr>
                <w:rFonts w:ascii="Times New Roman" w:hAnsi="Times New Roman" w:cs="Times New Roman"/>
                <w:sz w:val="16"/>
                <w:szCs w:val="16"/>
              </w:rPr>
              <w:fldChar w:fldCharType="end"/>
            </w:r>
          </w:p>
        </w:tc>
        <w:tc>
          <w:tcPr>
            <w:tcW w:w="0" w:type="auto"/>
            <w:tcBorders>
              <w:top w:val="single" w:sz="8" w:space="0" w:color="000000"/>
              <w:left w:val="single" w:sz="8" w:space="0" w:color="000000"/>
              <w:bottom w:val="single" w:sz="8" w:space="0" w:color="000000"/>
              <w:right w:val="single" w:sz="8" w:space="0" w:color="000000"/>
            </w:tcBorders>
            <w:shd w:val="clear" w:color="auto" w:fill="A8D08D" w:themeFill="accent6" w:themeFillTint="99"/>
            <w:tcMar>
              <w:top w:w="100" w:type="dxa"/>
              <w:left w:w="100" w:type="dxa"/>
              <w:bottom w:w="100" w:type="dxa"/>
              <w:right w:w="100" w:type="dxa"/>
            </w:tcMar>
          </w:tcPr>
          <w:p w14:paraId="55CDABEC" w14:textId="3E8FCF90"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0" w:type="auto"/>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tcPr>
          <w:p w14:paraId="4E496D34" w14:textId="1A2F5E52"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w:t>
            </w:r>
          </w:p>
        </w:tc>
        <w:tc>
          <w:tcPr>
            <w:tcW w:w="0" w:type="auto"/>
            <w:tcBorders>
              <w:top w:val="single" w:sz="8" w:space="0" w:color="000000"/>
              <w:left w:val="single" w:sz="8" w:space="0" w:color="000000"/>
              <w:bottom w:val="single" w:sz="8" w:space="0" w:color="000000"/>
              <w:right w:val="single" w:sz="4" w:space="0" w:color="auto"/>
            </w:tcBorders>
            <w:shd w:val="clear" w:color="auto" w:fill="A8D08D" w:themeFill="accent6" w:themeFillTint="99"/>
            <w:tcMar>
              <w:top w:w="100" w:type="dxa"/>
              <w:left w:w="100" w:type="dxa"/>
              <w:bottom w:w="100" w:type="dxa"/>
              <w:right w:w="100" w:type="dxa"/>
            </w:tcMar>
          </w:tcPr>
          <w:p w14:paraId="71EF3004" w14:textId="179964C4"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616"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20" w:type="dxa"/>
              <w:left w:w="20" w:type="dxa"/>
              <w:bottom w:w="20" w:type="dxa"/>
              <w:right w:w="20" w:type="dxa"/>
            </w:tcMar>
          </w:tcPr>
          <w:p w14:paraId="4C6E61C8" w14:textId="1DF7B9CB"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616" w:type="dxa"/>
            <w:tcBorders>
              <w:top w:val="single" w:sz="8" w:space="0" w:color="000000"/>
              <w:left w:val="single" w:sz="4" w:space="0" w:color="auto"/>
              <w:bottom w:val="single" w:sz="8" w:space="0" w:color="000000"/>
              <w:right w:val="single" w:sz="4" w:space="0" w:color="auto"/>
            </w:tcBorders>
            <w:shd w:val="clear" w:color="auto" w:fill="A8D08D" w:themeFill="accent6" w:themeFillTint="99"/>
            <w:tcMar>
              <w:top w:w="20" w:type="dxa"/>
              <w:left w:w="20" w:type="dxa"/>
              <w:bottom w:w="20" w:type="dxa"/>
              <w:right w:w="20" w:type="dxa"/>
            </w:tcMar>
          </w:tcPr>
          <w:p w14:paraId="41AA1305" w14:textId="74EEDE58"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61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39EF757" w14:textId="14FF84A8"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X</w:t>
            </w:r>
          </w:p>
        </w:tc>
        <w:tc>
          <w:tcPr>
            <w:tcW w:w="4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20" w:type="dxa"/>
              <w:left w:w="20" w:type="dxa"/>
              <w:bottom w:w="20" w:type="dxa"/>
              <w:right w:w="20" w:type="dxa"/>
            </w:tcMar>
          </w:tcPr>
          <w:p w14:paraId="47431230" w14:textId="178B57AA"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46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31D8C6F" w14:textId="57AEDB30"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460" w:type="dxa"/>
            <w:tcBorders>
              <w:top w:val="single" w:sz="4" w:space="0" w:color="auto"/>
              <w:left w:val="single" w:sz="4" w:space="0" w:color="auto"/>
              <w:bottom w:val="single" w:sz="4" w:space="0" w:color="auto"/>
              <w:right w:val="single" w:sz="4" w:space="0" w:color="auto"/>
            </w:tcBorders>
          </w:tcPr>
          <w:p w14:paraId="49FF1C99" w14:textId="37FE5DDB"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X</w:t>
            </w:r>
          </w:p>
        </w:tc>
        <w:tc>
          <w:tcPr>
            <w:tcW w:w="56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20" w:type="dxa"/>
              <w:left w:w="20" w:type="dxa"/>
              <w:bottom w:w="20" w:type="dxa"/>
              <w:right w:w="20" w:type="dxa"/>
            </w:tcMar>
          </w:tcPr>
          <w:p w14:paraId="74B9EABE" w14:textId="6EA849F1"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B6F78C1" w14:textId="2518F74E"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w:t>
            </w:r>
          </w:p>
        </w:tc>
        <w:tc>
          <w:tcPr>
            <w:tcW w:w="567" w:type="dxa"/>
            <w:tcBorders>
              <w:top w:val="single" w:sz="4" w:space="0" w:color="auto"/>
              <w:left w:val="single" w:sz="4" w:space="0" w:color="auto"/>
              <w:bottom w:val="single" w:sz="4" w:space="0" w:color="auto"/>
              <w:right w:val="single" w:sz="4" w:space="0" w:color="auto"/>
            </w:tcBorders>
          </w:tcPr>
          <w:p w14:paraId="5924B951" w14:textId="2E4D6B5D"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X</w:t>
            </w:r>
          </w:p>
        </w:tc>
      </w:tr>
      <w:tr w:rsidR="00897D8F" w:rsidRPr="004A3B37" w14:paraId="391BF08F" w14:textId="77777777" w:rsidTr="00897D8F">
        <w:trPr>
          <w:trHeight w:val="61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50FECC" w14:textId="5F2D1142" w:rsidR="00897D8F" w:rsidRPr="004A3B37" w:rsidRDefault="00897D8F" w:rsidP="00897D8F">
            <w:pPr>
              <w:rPr>
                <w:rFonts w:ascii="Times New Roman" w:eastAsia="Times New Roman" w:hAnsi="Times New Roman" w:cs="Times New Roman"/>
                <w:sz w:val="16"/>
                <w:szCs w:val="16"/>
                <w:lang w:eastAsia="en-GB"/>
              </w:rPr>
            </w:pPr>
            <w:r w:rsidRPr="004A3B37">
              <w:rPr>
                <w:rFonts w:ascii="Times New Roman" w:hAnsi="Times New Roman" w:cs="Times New Roman"/>
                <w:sz w:val="16"/>
                <w:szCs w:val="16"/>
              </w:rPr>
              <w:t>Tuominen et al. 2010</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{"citationID":"nRjlnCYK","properties":{"formattedCitation":"\\super 10\\nosupersub{}","plainCitation":"10","noteIndex":0},"citationItems":[{"id":1454,"uris":["http://zotero.org/users/local/26vZAHNZ/items/7GH85R8S"],"itemData":{"id":1454,"type":"article-journal","abstract":"BACKGROUND: The aim of this prospective randomized study was to evaluate the effect of waiting time (WT) on health-related quality of life (HRQoL), knee pain and physical function, and the use and costs of medication of patients awaiting total knee replacement.\nMETHODS: When placed on the waiting list, 438 patients were randomized into a short waiting time (SWT ≤ 3 months) or a nonfixed waiting time (NFWT &gt; 3 months) group. HRQoL was measured by the 15D, and pain and physical function by modified Knee Society Clinical Rating System at baseline, admission, and 3 and 12 months postoperatively. The costs of medication due to osteoarthritis were calculated at the same measurement points. All analyses were performed using the intention-to-treat principle.\nRESULTS: The mean WT was 94 and 239 days in the SWT and NFWT groups, respectively. Apart from higher weekly cost of medication in the SWT group at admission and better HRQoL in the NFWT group 1 year postoperatively, there were no statistically significant differences between the groups in other outcomes during the follow-up.\nCONCLUSION: Those in the SWT group had higher weekly costs of medication at admission, and reached better HRQoL 3 months earlier than those in the NFWT group, but the latter had better HRQoL after operation. Otherwise, the length of WT was not associated with different health and HRQoL outcomes in the groups.","container-title":"Value in Health: The Journal of the International Society for Pharmacoeconomics and Outcomes Research","DOI":"10.1111/j.1524-4733.2010.00779.x","ISSN":"1524-4733","issue":"8","journalAbbreviation":"Value Health","language":"eng","note":"PMID: 20825622","page":"998-1004","source":"PubMed","title":"Is longer waiting time for total knee replacement associated with health outcomes and medication costs? Randomized clinical trial","title-short":"Is longer waiting time for total knee replacement associated with health outcomes and medication costs?","volume":"13","author":[{"family":"Tuominen","given":"Ulla"},{"family":"Sintonen","given":"Harri"},{"family":"Hirvonen","given":"Johanna"},{"family":"Seitsalo","given":"Seppo"},{"family":"Paavolainen","given":"Pekka"},{"family":"Lehto","given":"Matti"},{"family":"Hietaniemi","given":"Kalevi"},{"family":"Blom","given":"Marja"}],"issued":{"date-parts":[["2010",12]]}}}],"schema":"https://github.com/citation-style-language/schema/raw/master/csl-citation.json"} </w:instrText>
            </w:r>
            <w:r>
              <w:rPr>
                <w:rFonts w:ascii="Times New Roman" w:hAnsi="Times New Roman" w:cs="Times New Roman"/>
                <w:sz w:val="16"/>
                <w:szCs w:val="16"/>
              </w:rPr>
              <w:fldChar w:fldCharType="separate"/>
            </w:r>
            <w:r w:rsidRPr="00817F70">
              <w:rPr>
                <w:rFonts w:ascii="Times New Roman" w:hAnsi="Times New Roman" w:cs="Times New Roman"/>
                <w:sz w:val="16"/>
                <w:vertAlign w:val="superscript"/>
              </w:rPr>
              <w:t>10</w:t>
            </w:r>
            <w:r>
              <w:rPr>
                <w:rFonts w:ascii="Times New Roman" w:hAnsi="Times New Roman" w:cs="Times New Roman"/>
                <w:sz w:val="16"/>
                <w:szCs w:val="16"/>
              </w:rPr>
              <w:fldChar w:fldCharType="end"/>
            </w:r>
          </w:p>
        </w:tc>
        <w:tc>
          <w:tcPr>
            <w:tcW w:w="0" w:type="auto"/>
            <w:tcBorders>
              <w:top w:val="single" w:sz="8" w:space="0" w:color="000000"/>
              <w:left w:val="single" w:sz="8" w:space="0" w:color="000000"/>
              <w:bottom w:val="single" w:sz="8" w:space="0" w:color="000000"/>
              <w:right w:val="single" w:sz="8" w:space="0" w:color="000000"/>
            </w:tcBorders>
            <w:shd w:val="clear" w:color="auto" w:fill="A8D08D" w:themeFill="accent6" w:themeFillTint="99"/>
            <w:tcMar>
              <w:top w:w="100" w:type="dxa"/>
              <w:left w:w="100" w:type="dxa"/>
              <w:bottom w:w="100" w:type="dxa"/>
              <w:right w:w="100" w:type="dxa"/>
            </w:tcMar>
          </w:tcPr>
          <w:p w14:paraId="7D4BA6DB" w14:textId="0A8E2B00"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0" w:type="auto"/>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tcPr>
          <w:p w14:paraId="5A4D1C17" w14:textId="5F0CE551"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w:t>
            </w:r>
          </w:p>
        </w:tc>
        <w:tc>
          <w:tcPr>
            <w:tcW w:w="0" w:type="auto"/>
            <w:tcBorders>
              <w:top w:val="single" w:sz="8" w:space="0" w:color="000000"/>
              <w:left w:val="single" w:sz="8" w:space="0" w:color="000000"/>
              <w:bottom w:val="single" w:sz="8" w:space="0" w:color="000000"/>
              <w:right w:val="single" w:sz="4" w:space="0" w:color="auto"/>
            </w:tcBorders>
            <w:shd w:val="clear" w:color="auto" w:fill="A8D08D" w:themeFill="accent6" w:themeFillTint="99"/>
            <w:tcMar>
              <w:top w:w="100" w:type="dxa"/>
              <w:left w:w="100" w:type="dxa"/>
              <w:bottom w:w="100" w:type="dxa"/>
              <w:right w:w="100" w:type="dxa"/>
            </w:tcMar>
          </w:tcPr>
          <w:p w14:paraId="5B3B73FF" w14:textId="0CC646C5"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616"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20" w:type="dxa"/>
              <w:left w:w="20" w:type="dxa"/>
              <w:bottom w:w="20" w:type="dxa"/>
              <w:right w:w="20" w:type="dxa"/>
            </w:tcMar>
          </w:tcPr>
          <w:p w14:paraId="6729AC41" w14:textId="439F6F6C"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616" w:type="dxa"/>
            <w:tcBorders>
              <w:top w:val="single" w:sz="8" w:space="0" w:color="000000"/>
              <w:left w:val="single" w:sz="4" w:space="0" w:color="auto"/>
              <w:bottom w:val="single" w:sz="8" w:space="0" w:color="000000"/>
              <w:right w:val="single" w:sz="4" w:space="0" w:color="auto"/>
            </w:tcBorders>
            <w:shd w:val="clear" w:color="auto" w:fill="A8D08D" w:themeFill="accent6" w:themeFillTint="99"/>
            <w:tcMar>
              <w:top w:w="20" w:type="dxa"/>
              <w:left w:w="20" w:type="dxa"/>
              <w:bottom w:w="20" w:type="dxa"/>
              <w:right w:w="20" w:type="dxa"/>
            </w:tcMar>
          </w:tcPr>
          <w:p w14:paraId="44C21939" w14:textId="72B7B53B"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61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7EEB4730" w14:textId="2498CA87"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X</w:t>
            </w:r>
          </w:p>
        </w:tc>
        <w:tc>
          <w:tcPr>
            <w:tcW w:w="4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20" w:type="dxa"/>
              <w:left w:w="20" w:type="dxa"/>
              <w:bottom w:w="20" w:type="dxa"/>
              <w:right w:w="20" w:type="dxa"/>
            </w:tcMar>
          </w:tcPr>
          <w:p w14:paraId="14435997" w14:textId="34E54813"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46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6D0BB16" w14:textId="5B0AC409"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color w:val="000000"/>
                <w:sz w:val="16"/>
                <w:szCs w:val="16"/>
                <w:lang w:eastAsia="en-GB"/>
              </w:rPr>
              <w:t>↓</w:t>
            </w:r>
          </w:p>
        </w:tc>
        <w:tc>
          <w:tcPr>
            <w:tcW w:w="460" w:type="dxa"/>
            <w:tcBorders>
              <w:top w:val="single" w:sz="4" w:space="0" w:color="auto"/>
              <w:left w:val="single" w:sz="4" w:space="0" w:color="auto"/>
              <w:bottom w:val="single" w:sz="4" w:space="0" w:color="auto"/>
              <w:right w:val="single" w:sz="4" w:space="0" w:color="auto"/>
            </w:tcBorders>
          </w:tcPr>
          <w:p w14:paraId="5E2C6C8C" w14:textId="34636197"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X</w:t>
            </w:r>
          </w:p>
        </w:tc>
        <w:tc>
          <w:tcPr>
            <w:tcW w:w="56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20" w:type="dxa"/>
              <w:left w:w="20" w:type="dxa"/>
              <w:bottom w:w="20" w:type="dxa"/>
              <w:right w:w="20" w:type="dxa"/>
            </w:tcMar>
          </w:tcPr>
          <w:p w14:paraId="1A43A667" w14:textId="5E36DBE9"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0537DB5" w14:textId="7021AFEA"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w:t>
            </w:r>
          </w:p>
        </w:tc>
        <w:tc>
          <w:tcPr>
            <w:tcW w:w="567" w:type="dxa"/>
            <w:tcBorders>
              <w:top w:val="single" w:sz="4" w:space="0" w:color="auto"/>
              <w:left w:val="single" w:sz="4" w:space="0" w:color="auto"/>
              <w:bottom w:val="single" w:sz="4" w:space="0" w:color="auto"/>
              <w:right w:val="single" w:sz="4" w:space="0" w:color="auto"/>
            </w:tcBorders>
          </w:tcPr>
          <w:p w14:paraId="55B5C38E" w14:textId="6B1C8F25" w:rsidR="00897D8F" w:rsidRPr="004A3B37" w:rsidRDefault="00897D8F" w:rsidP="003D5B70">
            <w:pPr>
              <w:jc w:val="center"/>
              <w:rPr>
                <w:rFonts w:ascii="Times New Roman" w:eastAsia="Times New Roman" w:hAnsi="Times New Roman" w:cs="Times New Roman"/>
                <w:sz w:val="16"/>
                <w:szCs w:val="16"/>
                <w:lang w:eastAsia="en-GB"/>
              </w:rPr>
            </w:pPr>
            <w:r w:rsidRPr="004A3B37">
              <w:rPr>
                <w:rFonts w:ascii="Times New Roman" w:eastAsia="Times New Roman" w:hAnsi="Times New Roman" w:cs="Times New Roman"/>
                <w:sz w:val="16"/>
                <w:szCs w:val="16"/>
                <w:lang w:eastAsia="en-GB"/>
              </w:rPr>
              <w:t>X</w:t>
            </w:r>
          </w:p>
        </w:tc>
      </w:tr>
      <w:tr w:rsidR="00B73B8C" w:rsidRPr="004A3B37" w14:paraId="19CDAC34" w14:textId="77777777" w:rsidTr="00897D8F">
        <w:trPr>
          <w:trHeight w:val="61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2FD539" w14:textId="487F37DC" w:rsidR="00B73B8C" w:rsidRPr="004A3B37" w:rsidRDefault="00B73B8C" w:rsidP="00897D8F">
            <w:pPr>
              <w:rPr>
                <w:rFonts w:ascii="Times New Roman" w:hAnsi="Times New Roman" w:cs="Times New Roman"/>
                <w:sz w:val="16"/>
                <w:szCs w:val="16"/>
              </w:rPr>
            </w:pPr>
            <w:proofErr w:type="spellStart"/>
            <w:r>
              <w:rPr>
                <w:rFonts w:ascii="Times New Roman" w:hAnsi="Times New Roman" w:cs="Times New Roman"/>
                <w:sz w:val="16"/>
                <w:szCs w:val="16"/>
              </w:rPr>
              <w:t>Skou</w:t>
            </w:r>
            <w:proofErr w:type="spellEnd"/>
            <w:r>
              <w:rPr>
                <w:rFonts w:ascii="Times New Roman" w:hAnsi="Times New Roman" w:cs="Times New Roman"/>
                <w:sz w:val="16"/>
                <w:szCs w:val="16"/>
              </w:rPr>
              <w:t xml:space="preserve"> et al. 2022</w:t>
            </w:r>
            <w:r w:rsidR="003A04FA">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{"citationID":"pPFBhLTZ","properties":{"formattedCitation":"\\super 11\\nosupersub{}","plainCitation":"11","noteIndex":0},"citationItems":[{"id":1790,"uris":["http://zotero.org/users/local/26vZAHNZ/items/2LID9GU4"],"itemData":{"id":1790,"type":"article-journal","container-title":"New England Journal of Medicine","DOI":"10.1056/NEJMoa1505467","ISSN":"0028-4793, 1533-4406","issue":"17","journalAbbreviation":"N Engl J Med","language":"en","page":"1597-1606","source":"DOI.org (Crossref)","title":"A Randomized, Controlled Trial of Total Knee Replacement","volume":"373","author":[{"family":"Skou","given":"Søren T."},{"family":"Roos","given":"Ewa M."},{"family":"Laursen","given":"Mogens B."},{"family":"Rathleff","given":"Michael S."},{"family":"Arendt-Nielsen","given":"Lars"},{"family":"Simonsen","given":"Ole"},{"family":"Rasmussen","given":"Sten"}],"issued":{"date-parts":[["2015",10,22]]}}}],"schema":"https://github.com/citation-style-language/schema/raw/master/csl-citation.json"} </w:instrText>
            </w:r>
            <w:r w:rsidR="003A04FA">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11</w:t>
            </w:r>
            <w:r w:rsidR="003A04FA">
              <w:rPr>
                <w:rFonts w:ascii="Times New Roman" w:hAnsi="Times New Roman" w:cs="Times New Roman"/>
                <w:sz w:val="16"/>
                <w:szCs w:val="16"/>
              </w:rPr>
              <w:fldChar w:fldCharType="end"/>
            </w:r>
          </w:p>
        </w:tc>
        <w:tc>
          <w:tcPr>
            <w:tcW w:w="0" w:type="auto"/>
            <w:tcBorders>
              <w:top w:val="single" w:sz="8" w:space="0" w:color="000000"/>
              <w:left w:val="single" w:sz="8" w:space="0" w:color="000000"/>
              <w:bottom w:val="single" w:sz="8" w:space="0" w:color="000000"/>
              <w:right w:val="single" w:sz="8" w:space="0" w:color="000000"/>
            </w:tcBorders>
            <w:shd w:val="clear" w:color="auto" w:fill="A8D08D" w:themeFill="accent6" w:themeFillTint="99"/>
            <w:tcMar>
              <w:top w:w="100" w:type="dxa"/>
              <w:left w:w="100" w:type="dxa"/>
              <w:bottom w:w="100" w:type="dxa"/>
              <w:right w:w="100" w:type="dxa"/>
            </w:tcMar>
          </w:tcPr>
          <w:p w14:paraId="0A13A1A9" w14:textId="336472A7" w:rsidR="00B73B8C" w:rsidRPr="004A3B37" w:rsidRDefault="00F372DD" w:rsidP="003D5B70">
            <w:pPr>
              <w:jc w:val="center"/>
              <w:rPr>
                <w:rFonts w:ascii="Times New Roman" w:eastAsia="Times New Roman" w:hAnsi="Times New Roman" w:cs="Times New Roman"/>
                <w:color w:val="000000"/>
                <w:sz w:val="16"/>
                <w:szCs w:val="16"/>
                <w:lang w:eastAsia="en-GB"/>
              </w:rPr>
            </w:pPr>
            <w:r w:rsidRPr="004A3B37">
              <w:rPr>
                <w:rFonts w:ascii="Times New Roman" w:eastAsia="Times New Roman" w:hAnsi="Times New Roman" w:cs="Times New Roman"/>
                <w:color w:val="000000"/>
                <w:sz w:val="16"/>
                <w:szCs w:val="16"/>
                <w:lang w:eastAsia="en-GB"/>
              </w:rPr>
              <w:t>↓</w:t>
            </w:r>
          </w:p>
        </w:tc>
        <w:tc>
          <w:tcPr>
            <w:tcW w:w="0" w:type="auto"/>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tcPr>
          <w:p w14:paraId="2E2D7B7B" w14:textId="6FA629CE" w:rsidR="00B73B8C" w:rsidRPr="004A3B37" w:rsidRDefault="003D235A" w:rsidP="003D5B70">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w:t>
            </w:r>
          </w:p>
        </w:tc>
        <w:tc>
          <w:tcPr>
            <w:tcW w:w="0" w:type="auto"/>
            <w:tcBorders>
              <w:top w:val="single" w:sz="8" w:space="0" w:color="000000"/>
              <w:left w:val="single" w:sz="8" w:space="0" w:color="000000"/>
              <w:bottom w:val="single" w:sz="8" w:space="0" w:color="000000"/>
              <w:right w:val="single" w:sz="4" w:space="0" w:color="auto"/>
            </w:tcBorders>
            <w:shd w:val="clear" w:color="auto" w:fill="A8D08D" w:themeFill="accent6" w:themeFillTint="99"/>
            <w:tcMar>
              <w:top w:w="100" w:type="dxa"/>
              <w:left w:w="100" w:type="dxa"/>
              <w:bottom w:w="100" w:type="dxa"/>
              <w:right w:w="100" w:type="dxa"/>
            </w:tcMar>
          </w:tcPr>
          <w:p w14:paraId="21E6E22C" w14:textId="6AA9706C" w:rsidR="00B73B8C" w:rsidRPr="004A3B37" w:rsidRDefault="003D5B70" w:rsidP="003D5B70">
            <w:pPr>
              <w:jc w:val="center"/>
              <w:rPr>
                <w:rFonts w:ascii="Times New Roman" w:eastAsia="Times New Roman" w:hAnsi="Times New Roman" w:cs="Times New Roman"/>
                <w:color w:val="000000"/>
                <w:sz w:val="16"/>
                <w:szCs w:val="16"/>
                <w:lang w:eastAsia="en-GB"/>
              </w:rPr>
            </w:pPr>
            <w:r w:rsidRPr="004A3B37">
              <w:rPr>
                <w:rFonts w:ascii="Times New Roman" w:eastAsia="Times New Roman" w:hAnsi="Times New Roman" w:cs="Times New Roman"/>
                <w:color w:val="000000"/>
                <w:sz w:val="16"/>
                <w:szCs w:val="16"/>
                <w:lang w:eastAsia="en-GB"/>
              </w:rPr>
              <w:t>↓</w:t>
            </w:r>
          </w:p>
        </w:tc>
        <w:tc>
          <w:tcPr>
            <w:tcW w:w="616"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20" w:type="dxa"/>
              <w:left w:w="20" w:type="dxa"/>
              <w:bottom w:w="20" w:type="dxa"/>
              <w:right w:w="20" w:type="dxa"/>
            </w:tcMar>
          </w:tcPr>
          <w:p w14:paraId="317F6636" w14:textId="014AC25E" w:rsidR="00B73B8C" w:rsidRPr="004A3B37" w:rsidRDefault="003D5B70" w:rsidP="003D5B70">
            <w:pPr>
              <w:jc w:val="center"/>
              <w:rPr>
                <w:rFonts w:ascii="Times New Roman" w:eastAsia="Times New Roman" w:hAnsi="Times New Roman" w:cs="Times New Roman"/>
                <w:color w:val="000000"/>
                <w:sz w:val="16"/>
                <w:szCs w:val="16"/>
                <w:lang w:eastAsia="en-GB"/>
              </w:rPr>
            </w:pPr>
            <w:r w:rsidRPr="004A3B37">
              <w:rPr>
                <w:rFonts w:ascii="Times New Roman" w:eastAsia="Times New Roman" w:hAnsi="Times New Roman" w:cs="Times New Roman"/>
                <w:color w:val="000000"/>
                <w:sz w:val="16"/>
                <w:szCs w:val="16"/>
                <w:lang w:eastAsia="en-GB"/>
              </w:rPr>
              <w:t>↓</w:t>
            </w:r>
          </w:p>
        </w:tc>
        <w:tc>
          <w:tcPr>
            <w:tcW w:w="616" w:type="dxa"/>
            <w:tcBorders>
              <w:top w:val="single" w:sz="8" w:space="0" w:color="000000"/>
              <w:left w:val="single" w:sz="4" w:space="0" w:color="auto"/>
              <w:bottom w:val="single" w:sz="8" w:space="0" w:color="000000"/>
              <w:right w:val="single" w:sz="4" w:space="0" w:color="auto"/>
            </w:tcBorders>
            <w:shd w:val="clear" w:color="auto" w:fill="A8D08D" w:themeFill="accent6" w:themeFillTint="99"/>
            <w:tcMar>
              <w:top w:w="20" w:type="dxa"/>
              <w:left w:w="20" w:type="dxa"/>
              <w:bottom w:w="20" w:type="dxa"/>
              <w:right w:w="20" w:type="dxa"/>
            </w:tcMar>
          </w:tcPr>
          <w:p w14:paraId="7F80F03E" w14:textId="2C0F4F8A" w:rsidR="00B73B8C" w:rsidRPr="004A3B37" w:rsidRDefault="003D5B70" w:rsidP="003D5B70">
            <w:pPr>
              <w:jc w:val="center"/>
              <w:rPr>
                <w:rFonts w:ascii="Times New Roman" w:eastAsia="Times New Roman" w:hAnsi="Times New Roman" w:cs="Times New Roman"/>
                <w:color w:val="000000"/>
                <w:sz w:val="16"/>
                <w:szCs w:val="16"/>
                <w:lang w:eastAsia="en-GB"/>
              </w:rPr>
            </w:pPr>
            <w:r w:rsidRPr="004A3B37">
              <w:rPr>
                <w:rFonts w:ascii="Times New Roman" w:eastAsia="Times New Roman" w:hAnsi="Times New Roman" w:cs="Times New Roman"/>
                <w:color w:val="000000"/>
                <w:sz w:val="16"/>
                <w:szCs w:val="16"/>
                <w:lang w:eastAsia="en-GB"/>
              </w:rPr>
              <w:t>↓</w:t>
            </w:r>
          </w:p>
        </w:tc>
        <w:tc>
          <w:tcPr>
            <w:tcW w:w="61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108D776F" w14:textId="626B2E3C" w:rsidR="00B73B8C" w:rsidRPr="004A3B37" w:rsidRDefault="003D5B70" w:rsidP="003D5B70">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X</w:t>
            </w:r>
          </w:p>
        </w:tc>
        <w:tc>
          <w:tcPr>
            <w:tcW w:w="460" w:type="dxa"/>
            <w:tcBorders>
              <w:top w:val="single" w:sz="4" w:space="0" w:color="auto"/>
              <w:left w:val="single" w:sz="4" w:space="0" w:color="auto"/>
              <w:bottom w:val="single" w:sz="4" w:space="0" w:color="auto"/>
              <w:right w:val="single" w:sz="4" w:space="0" w:color="auto"/>
            </w:tcBorders>
            <w:shd w:val="clear" w:color="auto" w:fill="A8D08D" w:themeFill="accent6" w:themeFillTint="99"/>
            <w:tcMar>
              <w:top w:w="20" w:type="dxa"/>
              <w:left w:w="20" w:type="dxa"/>
              <w:bottom w:w="20" w:type="dxa"/>
              <w:right w:w="20" w:type="dxa"/>
            </w:tcMar>
          </w:tcPr>
          <w:p w14:paraId="1E2B8903" w14:textId="49923F33" w:rsidR="00B73B8C" w:rsidRPr="004A3B37" w:rsidRDefault="00733914" w:rsidP="003D5B70">
            <w:pPr>
              <w:jc w:val="center"/>
              <w:rPr>
                <w:rFonts w:ascii="Times New Roman" w:eastAsia="Times New Roman" w:hAnsi="Times New Roman" w:cs="Times New Roman"/>
                <w:color w:val="000000"/>
                <w:sz w:val="16"/>
                <w:szCs w:val="16"/>
                <w:lang w:eastAsia="en-GB"/>
              </w:rPr>
            </w:pPr>
            <w:r w:rsidRPr="004A3B37">
              <w:rPr>
                <w:rFonts w:ascii="Times New Roman" w:eastAsia="Times New Roman" w:hAnsi="Times New Roman" w:cs="Times New Roman"/>
                <w:color w:val="000000"/>
                <w:sz w:val="16"/>
                <w:szCs w:val="16"/>
                <w:lang w:eastAsia="en-GB"/>
              </w:rPr>
              <w:t>↓</w:t>
            </w:r>
          </w:p>
        </w:tc>
        <w:tc>
          <w:tcPr>
            <w:tcW w:w="46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733E799" w14:textId="0A8F76B9" w:rsidR="00B73B8C" w:rsidRPr="004A3B37" w:rsidRDefault="00733914" w:rsidP="003D5B70">
            <w:pPr>
              <w:jc w:val="center"/>
              <w:rPr>
                <w:rFonts w:ascii="Times New Roman" w:eastAsia="Times New Roman" w:hAnsi="Times New Roman" w:cs="Times New Roman"/>
                <w:color w:val="000000"/>
                <w:sz w:val="16"/>
                <w:szCs w:val="16"/>
                <w:lang w:eastAsia="en-GB"/>
              </w:rPr>
            </w:pPr>
            <w:r w:rsidRPr="004A3B37">
              <w:rPr>
                <w:rFonts w:ascii="Times New Roman" w:eastAsia="Times New Roman" w:hAnsi="Times New Roman" w:cs="Times New Roman"/>
                <w:color w:val="000000"/>
                <w:sz w:val="16"/>
                <w:szCs w:val="16"/>
                <w:lang w:eastAsia="en-GB"/>
              </w:rPr>
              <w:t>↓</w:t>
            </w:r>
          </w:p>
        </w:tc>
        <w:tc>
          <w:tcPr>
            <w:tcW w:w="460" w:type="dxa"/>
            <w:tcBorders>
              <w:top w:val="single" w:sz="4" w:space="0" w:color="auto"/>
              <w:left w:val="single" w:sz="4" w:space="0" w:color="auto"/>
              <w:bottom w:val="single" w:sz="4" w:space="0" w:color="auto"/>
              <w:right w:val="single" w:sz="4" w:space="0" w:color="auto"/>
            </w:tcBorders>
          </w:tcPr>
          <w:p w14:paraId="6D489233" w14:textId="3CCA5FF7" w:rsidR="00B73B8C" w:rsidRPr="004A3B37" w:rsidRDefault="00733914" w:rsidP="003D5B70">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X</w:t>
            </w:r>
          </w:p>
        </w:tc>
        <w:tc>
          <w:tcPr>
            <w:tcW w:w="56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20" w:type="dxa"/>
              <w:left w:w="20" w:type="dxa"/>
              <w:bottom w:w="20" w:type="dxa"/>
              <w:right w:w="20" w:type="dxa"/>
            </w:tcMar>
          </w:tcPr>
          <w:p w14:paraId="141DA285" w14:textId="637ADC39" w:rsidR="00B73B8C" w:rsidRPr="004A3B37" w:rsidRDefault="00733914" w:rsidP="003D5B70">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w:t>
            </w:r>
          </w:p>
        </w:tc>
        <w:tc>
          <w:tcPr>
            <w:tcW w:w="567"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FF082AF" w14:textId="7B5F629A" w:rsidR="00B73B8C" w:rsidRPr="004A3B37" w:rsidRDefault="00733914" w:rsidP="003D5B70">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w:t>
            </w:r>
          </w:p>
        </w:tc>
        <w:tc>
          <w:tcPr>
            <w:tcW w:w="567" w:type="dxa"/>
            <w:tcBorders>
              <w:top w:val="single" w:sz="4" w:space="0" w:color="auto"/>
              <w:left w:val="single" w:sz="4" w:space="0" w:color="auto"/>
              <w:bottom w:val="single" w:sz="4" w:space="0" w:color="auto"/>
              <w:right w:val="single" w:sz="4" w:space="0" w:color="auto"/>
            </w:tcBorders>
          </w:tcPr>
          <w:p w14:paraId="58D26085" w14:textId="3AD04885" w:rsidR="00B73B8C" w:rsidRPr="004A3B37" w:rsidRDefault="00733914" w:rsidP="003D5B70">
            <w:pPr>
              <w:jc w:val="center"/>
              <w:rPr>
                <w:rFonts w:ascii="Times New Roman" w:eastAsia="Times New Roman" w:hAnsi="Times New Roman" w:cs="Times New Roman"/>
                <w:sz w:val="16"/>
                <w:szCs w:val="16"/>
                <w:lang w:eastAsia="en-GB"/>
              </w:rPr>
            </w:pPr>
            <w:r>
              <w:rPr>
                <w:rFonts w:ascii="Times New Roman" w:eastAsia="Times New Roman" w:hAnsi="Times New Roman" w:cs="Times New Roman"/>
                <w:sz w:val="16"/>
                <w:szCs w:val="16"/>
                <w:lang w:eastAsia="en-GB"/>
              </w:rPr>
              <w:t>X</w:t>
            </w:r>
          </w:p>
        </w:tc>
      </w:tr>
    </w:tbl>
    <w:p w14:paraId="744B0D41" w14:textId="3691A19F" w:rsidR="00DF7278" w:rsidRPr="00322094" w:rsidRDefault="001F27AB" w:rsidP="004A3B37">
      <w:pPr>
        <w:rPr>
          <w:rFonts w:ascii="Times New Roman" w:hAnsi="Times New Roman" w:cs="Times New Roman"/>
          <w:i/>
          <w:iCs/>
          <w:sz w:val="20"/>
          <w:szCs w:val="20"/>
        </w:rPr>
      </w:pPr>
      <w:r w:rsidRPr="00322094">
        <w:rPr>
          <w:rFonts w:ascii="Times New Roman" w:hAnsi="Times New Roman" w:cs="Times New Roman"/>
          <w:b/>
          <w:bCs/>
          <w:i/>
          <w:iCs/>
          <w:sz w:val="20"/>
          <w:szCs w:val="20"/>
        </w:rPr>
        <w:t xml:space="preserve">Supplementary Table 3: </w:t>
      </w:r>
      <w:r w:rsidR="00DA4588" w:rsidRPr="00322094">
        <w:rPr>
          <w:rFonts w:ascii="Times New Roman" w:hAnsi="Times New Roman" w:cs="Times New Roman"/>
          <w:i/>
          <w:iCs/>
          <w:sz w:val="20"/>
          <w:szCs w:val="20"/>
        </w:rPr>
        <w:t xml:space="preserve">Risk of bias </w:t>
      </w:r>
      <w:r w:rsidR="00C82C8C" w:rsidRPr="00322094">
        <w:rPr>
          <w:rFonts w:ascii="Times New Roman" w:hAnsi="Times New Roman" w:cs="Times New Roman"/>
          <w:i/>
          <w:iCs/>
          <w:sz w:val="20"/>
          <w:szCs w:val="20"/>
        </w:rPr>
        <w:t>in randomised studies was considered within the ROB-2 framework</w:t>
      </w:r>
      <w:r w:rsidR="00124780" w:rsidRPr="00322094">
        <w:rPr>
          <w:rFonts w:ascii="Times New Roman" w:hAnsi="Times New Roman" w:cs="Times New Roman"/>
          <w:i/>
          <w:iCs/>
          <w:sz w:val="20"/>
          <w:szCs w:val="20"/>
        </w:rPr>
        <w:fldChar w:fldCharType="begin"/>
      </w:r>
      <w:r w:rsidR="003A04FA" w:rsidRPr="00322094">
        <w:rPr>
          <w:rFonts w:ascii="Times New Roman" w:hAnsi="Times New Roman" w:cs="Times New Roman"/>
          <w:i/>
          <w:iCs/>
          <w:sz w:val="20"/>
          <w:szCs w:val="20"/>
        </w:rPr>
        <w:instrText xml:space="preserve"> ADDIN ZOTERO_ITEM CSL_CITATION {"citationID":"ywJTeu44","properties":{"formattedCitation":"\\super 12\\nosupersub{}","plainCitation":"12","noteIndex":0},"citationItems":[{"id":773,"uris":["http://zotero.org/users/local/26vZAHNZ/items/7PMZJU2Q"],"itemData":{"id":773,"type":"article-journal","abstract":"&lt;p&gt;Assessment of risk of bias is regarded as an essential component of a systematic review on the effects of an intervention. The most commonly used tool for randomised trials is the Cochrane risk-of-bias tool. We updated the tool to respond to developments in understanding how bias arises in randomised trials, and to address user feedback on and limitations of the original tool.&lt;/p&gt;","container-title":"BMJ","DOI":"10.1136/bmj.l4898","ISSN":"0959-8138, 1756-1833","journalAbbreviation":"BMJ","language":"en","license":"Published by the BMJ Publishing Group Limited. For permission to use (where not already granted under a licence) please go to http://group.bmj.com/group/rights-licensing/permissions","note":"publisher: British Medical Journal Publishing Group\nsection: Research Methods &amp;amp; Reporting\nPMID: 31462531","page":"l4898","source":"www.bmj.com","title":"RoB 2: a revised tool for assessing risk of bias in randomised trials","title-short":"RoB 2","volume":"366","author":[{"family":"Sterne","given":"Jonathan A. C."},{"family":"Savović","given":"Jelena"},{"family":"Page","given":"Matthew J."},{"family":"Elbers","given":"Roy G."},{"family":"Blencowe","given":"Natalie S."},{"family":"Boutron","given":"Isabelle"},{"family":"Cates","given":"Christopher J."},{"family":"Cheng","given":"Hung-Yuan"},{"family":"Corbett","given":"Mark S."},{"family":"Eldridge","given":"Sandra M."},{"family":"Emberson","given":"Jonathan R."},{"family":"Hernán","given":"Miguel A."},{"family":"Hopewell","given":"Sally"},{"family":"Hróbjartsson","given":"Asbjørn"},{"family":"Junqueira","given":"Daniela R."},{"family":"Jüni","given":"Peter"},{"family":"Kirkham","given":"Jamie J."},{"family":"Lasserson","given":"Toby"},{"family":"Li","given":"Tianjing"},{"family":"McAleenan","given":"Alexandra"},{"family":"Reeves","given":"Barnaby C."},{"family":"Shepperd","given":"Sasha"},{"family":"Shrier","given":"Ian"},{"family":"Stewart","given":"Lesley A."},{"family":"Tilling","given":"Kate"},{"family":"White","given":"Ian R."},{"family":"Whiting","given":"Penny F."},{"family":"Higgins","given":"Julian P. T."}],"issued":{"date-parts":[["2019",8,28]]}},"locator":"2"}],"schema":"https://github.com/citation-style-language/schema/raw/master/csl-citation.json"} </w:instrText>
      </w:r>
      <w:r w:rsidR="00124780" w:rsidRPr="00322094">
        <w:rPr>
          <w:rFonts w:ascii="Times New Roman" w:hAnsi="Times New Roman" w:cs="Times New Roman"/>
          <w:i/>
          <w:iCs/>
          <w:sz w:val="20"/>
          <w:szCs w:val="20"/>
        </w:rPr>
        <w:fldChar w:fldCharType="separate"/>
      </w:r>
      <w:r w:rsidR="003A04FA" w:rsidRPr="00322094">
        <w:rPr>
          <w:rFonts w:ascii="Times New Roman" w:hAnsi="Times New Roman" w:cs="Times New Roman"/>
          <w:sz w:val="20"/>
          <w:szCs w:val="20"/>
          <w:vertAlign w:val="superscript"/>
        </w:rPr>
        <w:t>12</w:t>
      </w:r>
      <w:r w:rsidR="00124780" w:rsidRPr="00322094">
        <w:rPr>
          <w:rFonts w:ascii="Times New Roman" w:hAnsi="Times New Roman" w:cs="Times New Roman"/>
          <w:i/>
          <w:iCs/>
          <w:sz w:val="20"/>
          <w:szCs w:val="20"/>
        </w:rPr>
        <w:fldChar w:fldCharType="end"/>
      </w:r>
      <w:r w:rsidR="00C82C8C" w:rsidRPr="00322094">
        <w:rPr>
          <w:rFonts w:ascii="Times New Roman" w:hAnsi="Times New Roman" w:cs="Times New Roman"/>
          <w:i/>
          <w:iCs/>
          <w:sz w:val="20"/>
          <w:szCs w:val="20"/>
        </w:rPr>
        <w:t>. F</w:t>
      </w:r>
      <w:r w:rsidR="00DA4588" w:rsidRPr="00322094">
        <w:rPr>
          <w:rFonts w:ascii="Times New Roman" w:hAnsi="Times New Roman" w:cs="Times New Roman"/>
          <w:i/>
          <w:iCs/>
          <w:sz w:val="20"/>
          <w:szCs w:val="20"/>
        </w:rPr>
        <w:t>or each domain</w:t>
      </w:r>
      <w:r w:rsidR="00C82C8C" w:rsidRPr="00322094">
        <w:rPr>
          <w:rFonts w:ascii="Times New Roman" w:hAnsi="Times New Roman" w:cs="Times New Roman"/>
          <w:i/>
          <w:iCs/>
          <w:sz w:val="20"/>
          <w:szCs w:val="20"/>
        </w:rPr>
        <w:t xml:space="preserve">, risk was assessed </w:t>
      </w:r>
      <w:r w:rsidR="00DA4588" w:rsidRPr="00322094">
        <w:rPr>
          <w:rFonts w:ascii="Times New Roman" w:hAnsi="Times New Roman" w:cs="Times New Roman"/>
          <w:i/>
          <w:iCs/>
          <w:sz w:val="20"/>
          <w:szCs w:val="20"/>
        </w:rPr>
        <w:t xml:space="preserve">as </w:t>
      </w:r>
      <w:r w:rsidR="00C82C8C" w:rsidRPr="00322094">
        <w:rPr>
          <w:rFonts w:ascii="Times New Roman" w:hAnsi="Times New Roman" w:cs="Times New Roman"/>
          <w:i/>
          <w:iCs/>
          <w:sz w:val="20"/>
          <w:szCs w:val="20"/>
        </w:rPr>
        <w:t xml:space="preserve">either </w:t>
      </w:r>
      <w:r w:rsidR="00DA4588" w:rsidRPr="00322094">
        <w:rPr>
          <w:rFonts w:ascii="Times New Roman" w:hAnsi="Times New Roman" w:cs="Times New Roman"/>
          <w:i/>
          <w:iCs/>
          <w:sz w:val="20"/>
          <w:szCs w:val="20"/>
        </w:rPr>
        <w:t>not applicable (N/A), insufficient information to assess (N/I), increased, decreased (</w:t>
      </w:r>
      <w:r w:rsidR="00DA4588" w:rsidRPr="00322094">
        <w:rPr>
          <w:rFonts w:ascii="Times New Roman" w:eastAsia="Times New Roman" w:hAnsi="Times New Roman" w:cs="Times New Roman"/>
          <w:i/>
          <w:iCs/>
          <w:color w:val="000000"/>
          <w:sz w:val="20"/>
          <w:szCs w:val="20"/>
          <w:lang w:eastAsia="en-GB"/>
        </w:rPr>
        <w:t>↓)</w:t>
      </w:r>
      <w:r w:rsidR="00DA4588" w:rsidRPr="00322094">
        <w:rPr>
          <w:rFonts w:ascii="Times New Roman" w:hAnsi="Times New Roman" w:cs="Times New Roman"/>
          <w:i/>
          <w:iCs/>
          <w:sz w:val="20"/>
          <w:szCs w:val="20"/>
        </w:rPr>
        <w:t>, or unchanged (-) risk. Overall risk of bias was attributed by the highest reported risk in any domain.</w:t>
      </w:r>
      <w:r w:rsidR="00DA4588" w:rsidRPr="00322094">
        <w:rPr>
          <w:rFonts w:ascii="Times New Roman" w:hAnsi="Times New Roman" w:cs="Times New Roman"/>
          <w:sz w:val="20"/>
          <w:szCs w:val="20"/>
        </w:rPr>
        <w:t xml:space="preserve"> </w:t>
      </w:r>
      <w:r w:rsidRPr="00322094">
        <w:rPr>
          <w:rFonts w:ascii="Times New Roman" w:hAnsi="Times New Roman" w:cs="Times New Roman"/>
          <w:i/>
          <w:iCs/>
          <w:sz w:val="20"/>
          <w:szCs w:val="20"/>
        </w:rPr>
        <w:t xml:space="preserve">Outcomes reviewed: </w:t>
      </w:r>
      <w:r w:rsidR="00064D44" w:rsidRPr="00322094">
        <w:rPr>
          <w:rFonts w:ascii="Times New Roman" w:hAnsi="Times New Roman" w:cs="Times New Roman"/>
          <w:i/>
          <w:iCs/>
          <w:sz w:val="20"/>
          <w:szCs w:val="20"/>
        </w:rPr>
        <w:t xml:space="preserve">A: Hip or knee joint-specific function; B: Global Health-Related Quality of Life indices; C: </w:t>
      </w:r>
      <w:r w:rsidR="00803390" w:rsidRPr="00322094">
        <w:rPr>
          <w:rFonts w:ascii="Times New Roman" w:hAnsi="Times New Roman" w:cs="Times New Roman"/>
          <w:i/>
          <w:iCs/>
          <w:sz w:val="20"/>
          <w:szCs w:val="20"/>
        </w:rPr>
        <w:t xml:space="preserve">patient perspectives. </w:t>
      </w:r>
      <w:r w:rsidR="00064D44" w:rsidRPr="00322094">
        <w:rPr>
          <w:rFonts w:ascii="Times New Roman" w:hAnsi="Times New Roman" w:cs="Times New Roman"/>
          <w:i/>
          <w:iCs/>
          <w:sz w:val="20"/>
          <w:szCs w:val="20"/>
        </w:rPr>
        <w:t>.</w:t>
      </w:r>
    </w:p>
    <w:p w14:paraId="6492CDF2" w14:textId="73226229" w:rsidR="0049058D" w:rsidRPr="004A3B37" w:rsidRDefault="0049058D" w:rsidP="004A3B37">
      <w:pPr>
        <w:rPr>
          <w:rFonts w:ascii="Times New Roman" w:hAnsi="Times New Roman" w:cs="Times New Roman"/>
          <w:sz w:val="16"/>
          <w:szCs w:val="16"/>
        </w:rPr>
      </w:pPr>
      <w:r w:rsidRPr="004A3B37">
        <w:rPr>
          <w:rFonts w:ascii="Times New Roman" w:hAnsi="Times New Roman" w:cs="Times New Roman"/>
          <w:sz w:val="16"/>
          <w:szCs w:val="16"/>
        </w:rPr>
        <w:br w:type="page"/>
      </w:r>
    </w:p>
    <w:p w14:paraId="77466961" w14:textId="2A971C90" w:rsidR="000A3F5A" w:rsidRPr="00322094" w:rsidRDefault="00393D01" w:rsidP="00B24C02">
      <w:pPr>
        <w:ind w:left="142" w:hanging="142"/>
        <w:rPr>
          <w:rFonts w:ascii="Times New Roman" w:hAnsi="Times New Roman" w:cs="Times New Roman"/>
          <w:b/>
          <w:bCs/>
          <w:sz w:val="20"/>
          <w:szCs w:val="20"/>
        </w:rPr>
      </w:pPr>
      <w:r w:rsidRPr="00322094">
        <w:rPr>
          <w:rFonts w:ascii="Times New Roman" w:hAnsi="Times New Roman" w:cs="Times New Roman"/>
          <w:b/>
          <w:bCs/>
          <w:sz w:val="20"/>
          <w:szCs w:val="20"/>
        </w:rPr>
        <w:lastRenderedPageBreak/>
        <w:t>Supplementary Table 4</w:t>
      </w:r>
      <w:r w:rsidR="00D50B6A" w:rsidRPr="00322094">
        <w:rPr>
          <w:rFonts w:ascii="Times New Roman" w:hAnsi="Times New Roman" w:cs="Times New Roman"/>
          <w:b/>
          <w:bCs/>
          <w:sz w:val="20"/>
          <w:szCs w:val="20"/>
        </w:rPr>
        <w:t xml:space="preserve">: Risk of Bias in </w:t>
      </w:r>
      <w:r w:rsidR="003F05DB" w:rsidRPr="00322094">
        <w:rPr>
          <w:rFonts w:ascii="Times New Roman" w:hAnsi="Times New Roman" w:cs="Times New Roman"/>
          <w:b/>
          <w:bCs/>
          <w:sz w:val="20"/>
          <w:szCs w:val="20"/>
        </w:rPr>
        <w:t xml:space="preserve">Cohort and Case-Control </w:t>
      </w:r>
      <w:r w:rsidR="00586E29" w:rsidRPr="00322094">
        <w:rPr>
          <w:rFonts w:ascii="Times New Roman" w:hAnsi="Times New Roman" w:cs="Times New Roman"/>
          <w:b/>
          <w:bCs/>
          <w:sz w:val="20"/>
          <w:szCs w:val="20"/>
        </w:rPr>
        <w:t>S</w:t>
      </w:r>
      <w:r w:rsidR="00D50B6A" w:rsidRPr="00322094">
        <w:rPr>
          <w:rFonts w:ascii="Times New Roman" w:hAnsi="Times New Roman" w:cs="Times New Roman"/>
          <w:b/>
          <w:bCs/>
          <w:sz w:val="20"/>
          <w:szCs w:val="20"/>
        </w:rPr>
        <w:t>tud</w:t>
      </w:r>
      <w:r w:rsidR="00586E29" w:rsidRPr="00322094">
        <w:rPr>
          <w:rFonts w:ascii="Times New Roman" w:hAnsi="Times New Roman" w:cs="Times New Roman"/>
          <w:b/>
          <w:bCs/>
          <w:sz w:val="20"/>
          <w:szCs w:val="20"/>
        </w:rPr>
        <w:t xml:space="preserve">ies by </w:t>
      </w:r>
      <w:r w:rsidR="009013BA" w:rsidRPr="00322094">
        <w:rPr>
          <w:rFonts w:ascii="Times New Roman" w:hAnsi="Times New Roman" w:cs="Times New Roman"/>
          <w:b/>
          <w:bCs/>
          <w:sz w:val="20"/>
          <w:szCs w:val="20"/>
        </w:rPr>
        <w:t>Risk of Bias in Non-Randomised Studies (</w:t>
      </w:r>
      <w:r w:rsidR="00586E29" w:rsidRPr="00322094">
        <w:rPr>
          <w:rFonts w:ascii="Times New Roman" w:hAnsi="Times New Roman" w:cs="Times New Roman"/>
          <w:b/>
          <w:bCs/>
          <w:sz w:val="20"/>
          <w:szCs w:val="20"/>
        </w:rPr>
        <w:t>ROBINS-I</w:t>
      </w:r>
      <w:r w:rsidR="009013BA" w:rsidRPr="00322094">
        <w:rPr>
          <w:rFonts w:ascii="Times New Roman" w:hAnsi="Times New Roman" w:cs="Times New Roman"/>
          <w:b/>
          <w:bCs/>
          <w:sz w:val="20"/>
          <w:szCs w:val="20"/>
        </w:rPr>
        <w:t>)</w:t>
      </w:r>
      <w:r w:rsidR="00D15813" w:rsidRPr="00322094">
        <w:rPr>
          <w:rFonts w:ascii="Times New Roman" w:hAnsi="Times New Roman" w:cs="Times New Roman"/>
          <w:b/>
          <w:bCs/>
          <w:sz w:val="20"/>
          <w:szCs w:val="20"/>
        </w:rPr>
        <w:t xml:space="preserve">. </w:t>
      </w:r>
    </w:p>
    <w:tbl>
      <w:tblPr>
        <w:tblStyle w:val="TableGrid"/>
        <w:tblW w:w="12617" w:type="dxa"/>
        <w:tblInd w:w="-5" w:type="dxa"/>
        <w:tblLayout w:type="fixed"/>
        <w:tblLook w:val="04A0" w:firstRow="1" w:lastRow="0" w:firstColumn="1" w:lastColumn="0" w:noHBand="0" w:noVBand="1"/>
      </w:tblPr>
      <w:tblGrid>
        <w:gridCol w:w="1418"/>
        <w:gridCol w:w="850"/>
        <w:gridCol w:w="709"/>
        <w:gridCol w:w="992"/>
        <w:gridCol w:w="914"/>
        <w:gridCol w:w="404"/>
        <w:gridCol w:w="404"/>
        <w:gridCol w:w="405"/>
        <w:gridCol w:w="614"/>
        <w:gridCol w:w="614"/>
        <w:gridCol w:w="615"/>
        <w:gridCol w:w="708"/>
        <w:gridCol w:w="709"/>
        <w:gridCol w:w="709"/>
        <w:gridCol w:w="850"/>
        <w:gridCol w:w="851"/>
        <w:gridCol w:w="851"/>
      </w:tblGrid>
      <w:tr w:rsidR="00ED4F6A" w:rsidRPr="004A3B37" w14:paraId="586AFD92" w14:textId="77777777" w:rsidTr="00AD1FE5">
        <w:tc>
          <w:tcPr>
            <w:tcW w:w="1418" w:type="dxa"/>
            <w:vMerge w:val="restart"/>
          </w:tcPr>
          <w:p w14:paraId="72043D43" w14:textId="1BAD529B" w:rsidR="00ED4F6A" w:rsidRPr="004A3B37" w:rsidRDefault="00ED4F6A" w:rsidP="004A3B37">
            <w:pPr>
              <w:rPr>
                <w:rFonts w:ascii="Times New Roman" w:hAnsi="Times New Roman" w:cs="Times New Roman"/>
                <w:sz w:val="16"/>
                <w:szCs w:val="16"/>
              </w:rPr>
            </w:pPr>
            <w:r w:rsidRPr="004A3B37">
              <w:rPr>
                <w:rFonts w:ascii="Times New Roman" w:hAnsi="Times New Roman" w:cs="Times New Roman"/>
                <w:sz w:val="16"/>
                <w:szCs w:val="16"/>
              </w:rPr>
              <w:t>Article</w:t>
            </w:r>
          </w:p>
        </w:tc>
        <w:tc>
          <w:tcPr>
            <w:tcW w:w="8647" w:type="dxa"/>
            <w:gridSpan w:val="13"/>
          </w:tcPr>
          <w:p w14:paraId="47AEE600" w14:textId="575E1566" w:rsidR="00ED4F6A" w:rsidRPr="004A3B37" w:rsidRDefault="00ED4F6A" w:rsidP="004A3B37">
            <w:pPr>
              <w:rPr>
                <w:rFonts w:ascii="Times New Roman" w:hAnsi="Times New Roman" w:cs="Times New Roman"/>
                <w:sz w:val="16"/>
                <w:szCs w:val="16"/>
              </w:rPr>
            </w:pPr>
            <w:r w:rsidRPr="004A3B37">
              <w:rPr>
                <w:rFonts w:ascii="Times New Roman" w:hAnsi="Times New Roman" w:cs="Times New Roman"/>
                <w:sz w:val="16"/>
                <w:szCs w:val="16"/>
              </w:rPr>
              <w:t>Risk of Bias Corresponding to:</w:t>
            </w:r>
          </w:p>
        </w:tc>
        <w:tc>
          <w:tcPr>
            <w:tcW w:w="2552" w:type="dxa"/>
            <w:gridSpan w:val="3"/>
            <w:vMerge w:val="restart"/>
          </w:tcPr>
          <w:p w14:paraId="1BBA62BF" w14:textId="39BCB0B3" w:rsidR="00ED4F6A" w:rsidRPr="004A3B37" w:rsidRDefault="00ED4F6A" w:rsidP="004A3B37">
            <w:pPr>
              <w:rPr>
                <w:rFonts w:ascii="Times New Roman" w:hAnsi="Times New Roman" w:cs="Times New Roman"/>
                <w:sz w:val="16"/>
                <w:szCs w:val="16"/>
              </w:rPr>
            </w:pPr>
            <w:r w:rsidRPr="004A3B37">
              <w:rPr>
                <w:rFonts w:ascii="Times New Roman" w:hAnsi="Times New Roman" w:cs="Times New Roman"/>
                <w:sz w:val="16"/>
                <w:szCs w:val="16"/>
              </w:rPr>
              <w:t>Overall Risk of Bias in Design:</w:t>
            </w:r>
          </w:p>
        </w:tc>
      </w:tr>
      <w:tr w:rsidR="00ED4F6A" w:rsidRPr="004A3B37" w14:paraId="5A97B375" w14:textId="77777777" w:rsidTr="00AD1FE5">
        <w:tc>
          <w:tcPr>
            <w:tcW w:w="1418" w:type="dxa"/>
            <w:vMerge/>
          </w:tcPr>
          <w:p w14:paraId="5D1182F7" w14:textId="109C1C46" w:rsidR="00ED4F6A" w:rsidRPr="004A3B37" w:rsidRDefault="00ED4F6A" w:rsidP="004A3B37">
            <w:pPr>
              <w:rPr>
                <w:rFonts w:ascii="Times New Roman" w:hAnsi="Times New Roman" w:cs="Times New Roman"/>
                <w:sz w:val="16"/>
                <w:szCs w:val="16"/>
              </w:rPr>
            </w:pPr>
          </w:p>
        </w:tc>
        <w:tc>
          <w:tcPr>
            <w:tcW w:w="850" w:type="dxa"/>
            <w:vMerge w:val="restart"/>
          </w:tcPr>
          <w:p w14:paraId="03DA22D0" w14:textId="5AC914A6" w:rsidR="00ED4F6A" w:rsidRPr="004A3B37" w:rsidRDefault="00ED4F6A" w:rsidP="004A3B37">
            <w:pPr>
              <w:rPr>
                <w:rFonts w:ascii="Times New Roman" w:hAnsi="Times New Roman" w:cs="Times New Roman"/>
                <w:sz w:val="16"/>
                <w:szCs w:val="16"/>
              </w:rPr>
            </w:pPr>
            <w:r w:rsidRPr="004A3B37">
              <w:rPr>
                <w:rFonts w:ascii="Times New Roman" w:hAnsi="Times New Roman" w:cs="Times New Roman"/>
                <w:sz w:val="16"/>
                <w:szCs w:val="16"/>
              </w:rPr>
              <w:t>Control of Confounding</w:t>
            </w:r>
          </w:p>
        </w:tc>
        <w:tc>
          <w:tcPr>
            <w:tcW w:w="709" w:type="dxa"/>
            <w:vMerge w:val="restart"/>
          </w:tcPr>
          <w:p w14:paraId="62763A4F" w14:textId="0A9E36D4" w:rsidR="00ED4F6A" w:rsidRPr="004A3B37" w:rsidRDefault="00ED4F6A" w:rsidP="004A3B37">
            <w:pPr>
              <w:rPr>
                <w:rFonts w:ascii="Times New Roman" w:hAnsi="Times New Roman" w:cs="Times New Roman"/>
                <w:sz w:val="16"/>
                <w:szCs w:val="16"/>
              </w:rPr>
            </w:pPr>
            <w:r w:rsidRPr="004A3B37">
              <w:rPr>
                <w:rFonts w:ascii="Times New Roman" w:hAnsi="Times New Roman" w:cs="Times New Roman"/>
                <w:sz w:val="16"/>
                <w:szCs w:val="16"/>
              </w:rPr>
              <w:t>Selection of Participants</w:t>
            </w:r>
          </w:p>
        </w:tc>
        <w:tc>
          <w:tcPr>
            <w:tcW w:w="992" w:type="dxa"/>
            <w:vMerge w:val="restart"/>
          </w:tcPr>
          <w:p w14:paraId="6CA7E41B" w14:textId="6D528DB7" w:rsidR="00ED4F6A" w:rsidRPr="004A3B37" w:rsidRDefault="00ED4F6A" w:rsidP="004A3B37">
            <w:pPr>
              <w:rPr>
                <w:rFonts w:ascii="Times New Roman" w:hAnsi="Times New Roman" w:cs="Times New Roman"/>
                <w:sz w:val="16"/>
                <w:szCs w:val="16"/>
              </w:rPr>
            </w:pPr>
            <w:r w:rsidRPr="004A3B37">
              <w:rPr>
                <w:rFonts w:ascii="Times New Roman" w:hAnsi="Times New Roman" w:cs="Times New Roman"/>
                <w:sz w:val="16"/>
                <w:szCs w:val="16"/>
              </w:rPr>
              <w:t xml:space="preserve">Classification of Intervention </w:t>
            </w:r>
          </w:p>
        </w:tc>
        <w:tc>
          <w:tcPr>
            <w:tcW w:w="914" w:type="dxa"/>
            <w:vMerge w:val="restart"/>
          </w:tcPr>
          <w:p w14:paraId="7FE6BFDD" w14:textId="5F514177" w:rsidR="00ED4F6A" w:rsidRPr="004A3B37" w:rsidRDefault="00ED4F6A" w:rsidP="004A3B37">
            <w:pPr>
              <w:rPr>
                <w:rFonts w:ascii="Times New Roman" w:hAnsi="Times New Roman" w:cs="Times New Roman"/>
                <w:sz w:val="16"/>
                <w:szCs w:val="16"/>
              </w:rPr>
            </w:pPr>
            <w:r w:rsidRPr="004A3B37">
              <w:rPr>
                <w:rFonts w:ascii="Times New Roman" w:hAnsi="Times New Roman" w:cs="Times New Roman"/>
                <w:sz w:val="16"/>
                <w:szCs w:val="16"/>
              </w:rPr>
              <w:t xml:space="preserve">Deviation from Intervention </w:t>
            </w:r>
          </w:p>
        </w:tc>
        <w:tc>
          <w:tcPr>
            <w:tcW w:w="1213" w:type="dxa"/>
            <w:gridSpan w:val="3"/>
          </w:tcPr>
          <w:p w14:paraId="6EDFE188" w14:textId="77777777" w:rsidR="00ED4F6A" w:rsidRPr="004A3B37" w:rsidRDefault="00ED4F6A" w:rsidP="004A3B37">
            <w:pPr>
              <w:rPr>
                <w:rFonts w:ascii="Times New Roman" w:hAnsi="Times New Roman" w:cs="Times New Roman"/>
                <w:sz w:val="16"/>
                <w:szCs w:val="16"/>
              </w:rPr>
            </w:pPr>
            <w:r w:rsidRPr="004A3B37">
              <w:rPr>
                <w:rFonts w:ascii="Times New Roman" w:hAnsi="Times New Roman" w:cs="Times New Roman"/>
                <w:sz w:val="16"/>
                <w:szCs w:val="16"/>
              </w:rPr>
              <w:t>Missing Data</w:t>
            </w:r>
          </w:p>
          <w:p w14:paraId="12F0BD23" w14:textId="77777777" w:rsidR="00ED4F6A" w:rsidRPr="004A3B37" w:rsidRDefault="00ED4F6A" w:rsidP="004A3B37">
            <w:pPr>
              <w:rPr>
                <w:rFonts w:ascii="Times New Roman" w:hAnsi="Times New Roman" w:cs="Times New Roman"/>
                <w:sz w:val="16"/>
                <w:szCs w:val="16"/>
              </w:rPr>
            </w:pPr>
          </w:p>
        </w:tc>
        <w:tc>
          <w:tcPr>
            <w:tcW w:w="1843" w:type="dxa"/>
            <w:gridSpan w:val="3"/>
          </w:tcPr>
          <w:p w14:paraId="6188ECEB" w14:textId="1ED896DB" w:rsidR="00ED4F6A" w:rsidRPr="004A3B37" w:rsidRDefault="00ED4F6A" w:rsidP="004A3B37">
            <w:pPr>
              <w:rPr>
                <w:rFonts w:ascii="Times New Roman" w:hAnsi="Times New Roman" w:cs="Times New Roman"/>
                <w:sz w:val="16"/>
                <w:szCs w:val="16"/>
              </w:rPr>
            </w:pPr>
            <w:r w:rsidRPr="004A3B37">
              <w:rPr>
                <w:rFonts w:ascii="Times New Roman" w:hAnsi="Times New Roman" w:cs="Times New Roman"/>
                <w:sz w:val="16"/>
                <w:szCs w:val="16"/>
              </w:rPr>
              <w:t>Outcome Measurement</w:t>
            </w:r>
          </w:p>
        </w:tc>
        <w:tc>
          <w:tcPr>
            <w:tcW w:w="2126" w:type="dxa"/>
            <w:gridSpan w:val="3"/>
          </w:tcPr>
          <w:p w14:paraId="13288726" w14:textId="77777777" w:rsidR="00ED4F6A" w:rsidRPr="004A3B37" w:rsidRDefault="00ED4F6A" w:rsidP="004A3B37">
            <w:pPr>
              <w:rPr>
                <w:rFonts w:ascii="Times New Roman" w:hAnsi="Times New Roman" w:cs="Times New Roman"/>
                <w:sz w:val="16"/>
                <w:szCs w:val="16"/>
              </w:rPr>
            </w:pPr>
            <w:r w:rsidRPr="004A3B37">
              <w:rPr>
                <w:rFonts w:ascii="Times New Roman" w:hAnsi="Times New Roman" w:cs="Times New Roman"/>
                <w:sz w:val="16"/>
                <w:szCs w:val="16"/>
              </w:rPr>
              <w:t xml:space="preserve">Selection of Reported Result </w:t>
            </w:r>
          </w:p>
        </w:tc>
        <w:tc>
          <w:tcPr>
            <w:tcW w:w="2552" w:type="dxa"/>
            <w:gridSpan w:val="3"/>
            <w:vMerge/>
          </w:tcPr>
          <w:p w14:paraId="14D56BDD" w14:textId="36A5F943" w:rsidR="00ED4F6A" w:rsidRPr="004A3B37" w:rsidRDefault="00ED4F6A" w:rsidP="004A3B37">
            <w:pPr>
              <w:rPr>
                <w:rFonts w:ascii="Times New Roman" w:hAnsi="Times New Roman" w:cs="Times New Roman"/>
                <w:sz w:val="16"/>
                <w:szCs w:val="16"/>
              </w:rPr>
            </w:pPr>
          </w:p>
        </w:tc>
      </w:tr>
      <w:tr w:rsidR="00B73B8C" w:rsidRPr="004A3B37" w14:paraId="3BCEB529" w14:textId="77777777" w:rsidTr="00AD1FE5">
        <w:tc>
          <w:tcPr>
            <w:tcW w:w="1418" w:type="dxa"/>
            <w:vMerge/>
            <w:tcBorders>
              <w:bottom w:val="single" w:sz="4" w:space="0" w:color="auto"/>
            </w:tcBorders>
          </w:tcPr>
          <w:p w14:paraId="2BB05962" w14:textId="0D99B5D6" w:rsidR="00B73B8C" w:rsidRPr="004A3B37" w:rsidRDefault="00B73B8C" w:rsidP="00B73B8C">
            <w:pPr>
              <w:rPr>
                <w:rFonts w:ascii="Times New Roman" w:hAnsi="Times New Roman" w:cs="Times New Roman"/>
                <w:sz w:val="16"/>
                <w:szCs w:val="16"/>
              </w:rPr>
            </w:pPr>
          </w:p>
        </w:tc>
        <w:tc>
          <w:tcPr>
            <w:tcW w:w="850" w:type="dxa"/>
            <w:vMerge/>
            <w:tcBorders>
              <w:bottom w:val="single" w:sz="4" w:space="0" w:color="auto"/>
            </w:tcBorders>
            <w:shd w:val="clear" w:color="auto" w:fill="auto"/>
          </w:tcPr>
          <w:p w14:paraId="2761DAD9" w14:textId="77777777" w:rsidR="00B73B8C" w:rsidRPr="004A3B37" w:rsidRDefault="00B73B8C" w:rsidP="00B73B8C">
            <w:pPr>
              <w:rPr>
                <w:rFonts w:ascii="Times New Roman" w:hAnsi="Times New Roman" w:cs="Times New Roman"/>
                <w:sz w:val="16"/>
                <w:szCs w:val="16"/>
              </w:rPr>
            </w:pPr>
          </w:p>
        </w:tc>
        <w:tc>
          <w:tcPr>
            <w:tcW w:w="709" w:type="dxa"/>
            <w:vMerge/>
            <w:tcBorders>
              <w:bottom w:val="single" w:sz="4" w:space="0" w:color="auto"/>
            </w:tcBorders>
            <w:shd w:val="clear" w:color="auto" w:fill="auto"/>
          </w:tcPr>
          <w:p w14:paraId="70156CED" w14:textId="77777777" w:rsidR="00B73B8C" w:rsidRPr="004A3B37" w:rsidRDefault="00B73B8C" w:rsidP="00B73B8C">
            <w:pPr>
              <w:rPr>
                <w:rFonts w:ascii="Times New Roman" w:hAnsi="Times New Roman" w:cs="Times New Roman"/>
                <w:sz w:val="16"/>
                <w:szCs w:val="16"/>
              </w:rPr>
            </w:pPr>
          </w:p>
        </w:tc>
        <w:tc>
          <w:tcPr>
            <w:tcW w:w="992" w:type="dxa"/>
            <w:vMerge/>
            <w:tcBorders>
              <w:bottom w:val="single" w:sz="4" w:space="0" w:color="auto"/>
            </w:tcBorders>
            <w:shd w:val="clear" w:color="auto" w:fill="auto"/>
          </w:tcPr>
          <w:p w14:paraId="0100C5D9" w14:textId="77777777" w:rsidR="00B73B8C" w:rsidRPr="004A3B37" w:rsidRDefault="00B73B8C" w:rsidP="00B73B8C">
            <w:pPr>
              <w:rPr>
                <w:rFonts w:ascii="Times New Roman" w:hAnsi="Times New Roman" w:cs="Times New Roman"/>
                <w:sz w:val="16"/>
                <w:szCs w:val="16"/>
              </w:rPr>
            </w:pPr>
          </w:p>
        </w:tc>
        <w:tc>
          <w:tcPr>
            <w:tcW w:w="914" w:type="dxa"/>
            <w:vMerge/>
            <w:tcBorders>
              <w:bottom w:val="single" w:sz="4" w:space="0" w:color="auto"/>
            </w:tcBorders>
            <w:shd w:val="clear" w:color="auto" w:fill="auto"/>
          </w:tcPr>
          <w:p w14:paraId="15B2D227" w14:textId="77777777" w:rsidR="00B73B8C" w:rsidRPr="004A3B37" w:rsidRDefault="00B73B8C" w:rsidP="00B73B8C">
            <w:pPr>
              <w:rPr>
                <w:rFonts w:ascii="Times New Roman" w:hAnsi="Times New Roman" w:cs="Times New Roman"/>
                <w:sz w:val="16"/>
                <w:szCs w:val="16"/>
              </w:rPr>
            </w:pPr>
          </w:p>
        </w:tc>
        <w:tc>
          <w:tcPr>
            <w:tcW w:w="404" w:type="dxa"/>
            <w:shd w:val="clear" w:color="auto" w:fill="auto"/>
          </w:tcPr>
          <w:p w14:paraId="72196011" w14:textId="384C3A9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A</w:t>
            </w:r>
          </w:p>
        </w:tc>
        <w:tc>
          <w:tcPr>
            <w:tcW w:w="404" w:type="dxa"/>
            <w:shd w:val="clear" w:color="auto" w:fill="auto"/>
          </w:tcPr>
          <w:p w14:paraId="52876530" w14:textId="57C2DF9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B</w:t>
            </w:r>
          </w:p>
        </w:tc>
        <w:tc>
          <w:tcPr>
            <w:tcW w:w="405" w:type="dxa"/>
            <w:shd w:val="clear" w:color="auto" w:fill="auto"/>
          </w:tcPr>
          <w:p w14:paraId="2E41514F" w14:textId="1B3BA4F7"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C</w:t>
            </w:r>
          </w:p>
        </w:tc>
        <w:tc>
          <w:tcPr>
            <w:tcW w:w="614" w:type="dxa"/>
            <w:shd w:val="clear" w:color="auto" w:fill="auto"/>
          </w:tcPr>
          <w:p w14:paraId="4A523BB7" w14:textId="68A374A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A</w:t>
            </w:r>
          </w:p>
        </w:tc>
        <w:tc>
          <w:tcPr>
            <w:tcW w:w="614" w:type="dxa"/>
            <w:shd w:val="clear" w:color="auto" w:fill="auto"/>
          </w:tcPr>
          <w:p w14:paraId="4FC9B611" w14:textId="730AEBC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B</w:t>
            </w:r>
          </w:p>
        </w:tc>
        <w:tc>
          <w:tcPr>
            <w:tcW w:w="615" w:type="dxa"/>
            <w:shd w:val="clear" w:color="auto" w:fill="auto"/>
          </w:tcPr>
          <w:p w14:paraId="16FF972B" w14:textId="3800DC2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C</w:t>
            </w:r>
          </w:p>
        </w:tc>
        <w:tc>
          <w:tcPr>
            <w:tcW w:w="708" w:type="dxa"/>
            <w:shd w:val="clear" w:color="auto" w:fill="auto"/>
          </w:tcPr>
          <w:p w14:paraId="3441DECD" w14:textId="1BDBCD2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A</w:t>
            </w:r>
          </w:p>
        </w:tc>
        <w:tc>
          <w:tcPr>
            <w:tcW w:w="709" w:type="dxa"/>
            <w:shd w:val="clear" w:color="auto" w:fill="auto"/>
          </w:tcPr>
          <w:p w14:paraId="5E0D1C5D" w14:textId="538B228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B</w:t>
            </w:r>
          </w:p>
        </w:tc>
        <w:tc>
          <w:tcPr>
            <w:tcW w:w="709" w:type="dxa"/>
            <w:shd w:val="clear" w:color="auto" w:fill="auto"/>
          </w:tcPr>
          <w:p w14:paraId="5C2CF988" w14:textId="3796377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C</w:t>
            </w:r>
          </w:p>
        </w:tc>
        <w:tc>
          <w:tcPr>
            <w:tcW w:w="850" w:type="dxa"/>
            <w:shd w:val="clear" w:color="auto" w:fill="auto"/>
          </w:tcPr>
          <w:p w14:paraId="3E545AF7" w14:textId="7826F5B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A</w:t>
            </w:r>
          </w:p>
        </w:tc>
        <w:tc>
          <w:tcPr>
            <w:tcW w:w="851" w:type="dxa"/>
            <w:shd w:val="clear" w:color="auto" w:fill="auto"/>
          </w:tcPr>
          <w:p w14:paraId="45328E72" w14:textId="260A6E2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B</w:t>
            </w:r>
          </w:p>
        </w:tc>
        <w:tc>
          <w:tcPr>
            <w:tcW w:w="851" w:type="dxa"/>
            <w:shd w:val="clear" w:color="auto" w:fill="auto"/>
          </w:tcPr>
          <w:p w14:paraId="2D0534FE" w14:textId="36EAE6C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C</w:t>
            </w:r>
          </w:p>
        </w:tc>
      </w:tr>
      <w:tr w:rsidR="00B73B8C" w:rsidRPr="004A3B37" w14:paraId="6666B11A" w14:textId="77777777" w:rsidTr="00AD1FE5">
        <w:tc>
          <w:tcPr>
            <w:tcW w:w="1418" w:type="dxa"/>
            <w:tcBorders>
              <w:bottom w:val="single" w:sz="4" w:space="0" w:color="auto"/>
            </w:tcBorders>
          </w:tcPr>
          <w:p w14:paraId="645F1F8E" w14:textId="4072E02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Kelly et al. 2001</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{"citationID":"5667INUF","properties":{"formattedCitation":"\\super 13\\nosupersub{}","plainCitation":"13","noteIndex":0},"citationItems":[{"id":1418,"uris":["http://zotero.org/users/local/26vZAHNZ/items/BPGMXABQ"],"itemData":{"id":1418,"type":"article-journal","container-title":"The Journal of Arthroplasty","DOI":"10.1054/arth.2001.21455","ISSN":"0883-5403, 1532-8406","issue":"3","journalAbbreviation":"The Journal of Arthroplasty","language":"English","note":"publisher: Elsevier\nPMID: 11307134","page":"351-359","source":"www.arthroplastyjournal.org","title":"Change in pain and function while waiting for major joint arthroplasty","volume":"16","author":[{"family":"Kelly","given":"K. D."},{"family":"Voaklander","given":"D. C."},{"family":"Johnston","given":"D. W. C."},{"family":"Newman","given":"S. C."},{"family":"Suarez-Almazor","given":"M. E."}],"issued":{"date-parts":[["2001",4,1]]}}}],"schema":"https://github.com/citation-style-language/schema/raw/master/csl-citation.json"}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13</w:t>
            </w:r>
            <w:r>
              <w:rPr>
                <w:rFonts w:ascii="Times New Roman" w:hAnsi="Times New Roman" w:cs="Times New Roman"/>
                <w:sz w:val="16"/>
                <w:szCs w:val="16"/>
              </w:rPr>
              <w:fldChar w:fldCharType="end"/>
            </w:r>
          </w:p>
        </w:tc>
        <w:tc>
          <w:tcPr>
            <w:tcW w:w="850" w:type="dxa"/>
            <w:tcBorders>
              <w:bottom w:val="single" w:sz="4" w:space="0" w:color="auto"/>
            </w:tcBorders>
            <w:shd w:val="clear" w:color="auto" w:fill="FFD966" w:themeFill="accent4" w:themeFillTint="99"/>
          </w:tcPr>
          <w:p w14:paraId="304A676C" w14:textId="11F62B1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tcBorders>
              <w:bottom w:val="single" w:sz="4" w:space="0" w:color="auto"/>
            </w:tcBorders>
            <w:shd w:val="clear" w:color="auto" w:fill="A8D08D" w:themeFill="accent6" w:themeFillTint="99"/>
          </w:tcPr>
          <w:p w14:paraId="316E7619" w14:textId="389F68D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75B56B14" w14:textId="5685F0B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4BD9E1D7" w14:textId="7E24CB0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A8D08D" w:themeFill="accent6" w:themeFillTint="99"/>
          </w:tcPr>
          <w:p w14:paraId="730B6E2B" w14:textId="5F71091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4" w:type="dxa"/>
            <w:shd w:val="clear" w:color="auto" w:fill="A8D08D" w:themeFill="accent6" w:themeFillTint="99"/>
          </w:tcPr>
          <w:p w14:paraId="188E6D13" w14:textId="3742DB6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5" w:type="dxa"/>
            <w:shd w:val="clear" w:color="auto" w:fill="auto"/>
          </w:tcPr>
          <w:p w14:paraId="347B25F8" w14:textId="5A345DC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213698DD" w14:textId="61C0120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8D08D" w:themeFill="accent6" w:themeFillTint="99"/>
          </w:tcPr>
          <w:p w14:paraId="4693130D" w14:textId="4261B53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5" w:type="dxa"/>
            <w:shd w:val="clear" w:color="auto" w:fill="auto"/>
          </w:tcPr>
          <w:p w14:paraId="5F5C9D8D" w14:textId="140B1D0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FFD966" w:themeFill="accent4" w:themeFillTint="99"/>
          </w:tcPr>
          <w:p w14:paraId="65B99AEE" w14:textId="5A5A545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FFD966" w:themeFill="accent4" w:themeFillTint="99"/>
          </w:tcPr>
          <w:p w14:paraId="1C797F98" w14:textId="7517B1B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7F668C52" w14:textId="18DB8DD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FD966" w:themeFill="accent4" w:themeFillTint="99"/>
          </w:tcPr>
          <w:p w14:paraId="61D3D894" w14:textId="09ADEC5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851" w:type="dxa"/>
            <w:shd w:val="clear" w:color="auto" w:fill="FFD966" w:themeFill="accent4" w:themeFillTint="99"/>
          </w:tcPr>
          <w:p w14:paraId="17288920" w14:textId="69D9995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851" w:type="dxa"/>
            <w:shd w:val="clear" w:color="auto" w:fill="auto"/>
          </w:tcPr>
          <w:p w14:paraId="01459B62" w14:textId="6CA332F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4CA16542" w14:textId="77777777" w:rsidTr="00AD1FE5">
        <w:tc>
          <w:tcPr>
            <w:tcW w:w="1418" w:type="dxa"/>
            <w:tcBorders>
              <w:bottom w:val="single" w:sz="4" w:space="0" w:color="auto"/>
            </w:tcBorders>
          </w:tcPr>
          <w:p w14:paraId="18668D03" w14:textId="704EDA80" w:rsidR="00B73B8C" w:rsidRPr="004A3B37" w:rsidRDefault="00B73B8C" w:rsidP="00B73B8C">
            <w:pPr>
              <w:rPr>
                <w:rFonts w:ascii="Times New Roman" w:hAnsi="Times New Roman" w:cs="Times New Roman"/>
                <w:sz w:val="16"/>
                <w:szCs w:val="16"/>
              </w:rPr>
            </w:pPr>
            <w:proofErr w:type="spellStart"/>
            <w:r w:rsidRPr="004A3B37">
              <w:rPr>
                <w:rFonts w:ascii="Times New Roman" w:hAnsi="Times New Roman" w:cs="Times New Roman"/>
                <w:sz w:val="16"/>
                <w:szCs w:val="16"/>
              </w:rPr>
              <w:t>Hajat</w:t>
            </w:r>
            <w:proofErr w:type="spellEnd"/>
            <w:r w:rsidRPr="004A3B37">
              <w:rPr>
                <w:rFonts w:ascii="Times New Roman" w:hAnsi="Times New Roman" w:cs="Times New Roman"/>
                <w:sz w:val="16"/>
                <w:szCs w:val="16"/>
              </w:rPr>
              <w:t xml:space="preserve"> et al. 2002</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{"citationID":"jbbgjOAx","properties":{"formattedCitation":"\\super 14\\nosupersub{}","plainCitation":"14","noteIndex":0},"citationItems":[{"id":1423,"uris":["http://zotero.org/users/local/26vZAHNZ/items/EUFG9Q2A"],"itemData":{"id":1423,"type":"article-journal","abstract":"OBJECTIVES: To assess the impact on the outcome of total hip replacement of the length of timing spent waiting for surgery.\nMETHODS: One hundred and forty-three orthopaedic and general hospitals provided information about aspects of surgical practice for each total hip replacement conducted between September 1996 and October 1997 for publicly and privately funded operations in five English health regions. These data were linked to patient information about hip-related pain and disability status (measured using the Oxford Hip Score) before operation and at 3 and 12 months after. Data were analysed using multiple regression analysis.\nRESULTS: Questionnaires were completed by surgeons for 10,410 (78%) patients treated during the recruitment period and by 7151 (54%) patients. Twelve months after total hip replacement, the majority of patients experienced substantial improvements in hip-related pain and disability (as measured by the Oxford Hip Score). Those patients who started with a worse Oxford Hip Score before the operation tended to remain worse after the operation. Worse pre-operative score was associated with an increased length of either outpatient or inpatient wait, and this trend remained after the operation. The relationship between waiting time and outcome remained after adjustment for possible confounding variables. A consistently worse score was observed in public compared with private patients at all three time-points. In addition, in both sectors, those patients who were socially disadvantaged had a worse score than more socially advantaged patients both before and after the operation.\nCONCLUSIONS: Waiting for surgery is associated with worse outcomes 12 months later. Longer-term outcome needs to be considered to see if this association persists.","container-title":"Journal of Health Services Research &amp; Policy","DOI":"10.1258/1355819021927638","ISSN":"1355-8196","issue":"1","journalAbbreviation":"J Health Serv Res Policy","language":"eng","note":"PMID: 11822257","page":"19-25","source":"PubMed","title":"Does waiting for total hip replacement matter? Prospective cohort study","title-short":"Does waiting for total hip replacement matter?","volume":"7","author":[{"family":"Hajat","given":"Shakoor"},{"family":"Fitzpatrick","given":"Ray"},{"family":"Morris","given":"Richard"},{"family":"Reeves","given":"Barnaby"},{"family":"Rigge","given":"Marianne"},{"family":"Williams","given":"Olwen"},{"family":"Murray","given":"David"},{"family":"Gregg","given":"Paul"}],"issued":{"date-parts":[["2002",1]]}}}],"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14</w:t>
            </w:r>
            <w:r>
              <w:rPr>
                <w:rFonts w:ascii="Times New Roman" w:hAnsi="Times New Roman" w:cs="Times New Roman"/>
                <w:sz w:val="16"/>
                <w:szCs w:val="16"/>
              </w:rPr>
              <w:fldChar w:fldCharType="end"/>
            </w:r>
          </w:p>
        </w:tc>
        <w:tc>
          <w:tcPr>
            <w:tcW w:w="850" w:type="dxa"/>
            <w:tcBorders>
              <w:bottom w:val="single" w:sz="4" w:space="0" w:color="auto"/>
            </w:tcBorders>
            <w:shd w:val="clear" w:color="auto" w:fill="FFD966" w:themeFill="accent4" w:themeFillTint="99"/>
          </w:tcPr>
          <w:p w14:paraId="313C68DC" w14:textId="71B0FA0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tcBorders>
              <w:bottom w:val="single" w:sz="4" w:space="0" w:color="auto"/>
            </w:tcBorders>
            <w:shd w:val="clear" w:color="auto" w:fill="A8D08D" w:themeFill="accent6" w:themeFillTint="99"/>
          </w:tcPr>
          <w:p w14:paraId="758F7F4F" w14:textId="66D09A7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1D13ED2B" w14:textId="0F0C36B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207E3AA7" w14:textId="1916E55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A8D08D" w:themeFill="accent6" w:themeFillTint="99"/>
          </w:tcPr>
          <w:p w14:paraId="0DCBBC89" w14:textId="0E7603A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4" w:type="dxa"/>
            <w:shd w:val="clear" w:color="auto" w:fill="auto"/>
          </w:tcPr>
          <w:p w14:paraId="5C0C90C3" w14:textId="16014DA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405" w:type="dxa"/>
            <w:shd w:val="clear" w:color="auto" w:fill="auto"/>
          </w:tcPr>
          <w:p w14:paraId="7BDDE194" w14:textId="25FEE1D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1ED49F99" w14:textId="20804FB7"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uto"/>
          </w:tcPr>
          <w:p w14:paraId="5DFB80C1" w14:textId="544CA9E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5" w:type="dxa"/>
            <w:shd w:val="clear" w:color="auto" w:fill="auto"/>
          </w:tcPr>
          <w:p w14:paraId="2DCAE58E" w14:textId="0964C93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FFD966" w:themeFill="accent4" w:themeFillTint="99"/>
          </w:tcPr>
          <w:p w14:paraId="1EC2B40F" w14:textId="56638D0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2E8278DE" w14:textId="7CC97D1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9" w:type="dxa"/>
            <w:shd w:val="clear" w:color="auto" w:fill="auto"/>
          </w:tcPr>
          <w:p w14:paraId="2A030215" w14:textId="39DDBD1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FD966" w:themeFill="accent4" w:themeFillTint="99"/>
          </w:tcPr>
          <w:p w14:paraId="02E6DF09" w14:textId="704F89C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851" w:type="dxa"/>
            <w:shd w:val="clear" w:color="auto" w:fill="auto"/>
          </w:tcPr>
          <w:p w14:paraId="6E071B5B" w14:textId="1925A9D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1" w:type="dxa"/>
            <w:shd w:val="clear" w:color="auto" w:fill="auto"/>
          </w:tcPr>
          <w:p w14:paraId="71B1CA0E" w14:textId="4BE7C237"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64B6B61F" w14:textId="77777777" w:rsidTr="00AD1FE5">
        <w:tc>
          <w:tcPr>
            <w:tcW w:w="1418" w:type="dxa"/>
            <w:tcBorders>
              <w:bottom w:val="single" w:sz="4" w:space="0" w:color="auto"/>
            </w:tcBorders>
          </w:tcPr>
          <w:p w14:paraId="77CEA2A7" w14:textId="6B08AFB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Mahon et al. 2002</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{"citationID":"rIvLP14u","properties":{"formattedCitation":"\\super 15\\nosupersub{}","plainCitation":"15","noteIndex":0},"citationItems":[{"id":1421,"uris":["http://zotero.org/users/local/26vZAHNZ/items/TI43FKG8"],"itemData":{"id":1421,"type":"article-journal","abstract":"BACKGROUND: Waits for elective total hip arthroplasty for osteoarthritis are common in publicly funded health care systems, but they may lead to poorer postoperative outcomes and loss of health-related quality of life (HRQOL) through progressive pain and immobility during the wait. These issues have not been examined from the time of referral for surgery. Our primary objective was to test whether a longer wait was associated with poorer postoperative HRQOL.\nMETHODS: Patients needing possible total hip arthroplasty for osteoarthritis were identified upon referral to a surgeon in London, Ont. Outcome measures, including the Western Ontario McMaster (WOMAC) Osteoarthritis Index and mobility in the 6-Minute Walk, were assessed at baseline and every 3-6 months thereafter until at least 3 months after the surgery.\nRESULTS: Of 553 potentially eligible patients referred for surgical assessment, 123 were placed on a waiting list for total hip arthroplasty; 114 underwent the procedure, and 99 of them returned for postoperative assessment. No significant differences in HRQOL or mobility were seen postoperatively between patients with short waits and those with long waits (a priori definitions &lt; or = 6 months and &gt; 6 months respectively). At referral, however, patients with short waits had poorer HRQOL and were less mobile than those with long waits (p = 0.002 for WOMAC Osteoarthritis Index total score, 0.001 for pain, 0.009 for stiffness and 0.008 for function; p = 0.006 for 6-Minute Walk results). Patients with short waits experienced larger gains in these measures from the time of referral until the postoperative assessment than did patients with long waits (p = 0.002 for WOMAC Osteoarthritis Index total score, &lt; 0.001 for pain, 0.005 for stiffness and 0.005 for function; p = 0.06 for 6-Minute Walk results). For patients with long waits, increases in the WOMAC Osteoarthritis Index total score exceeded 10% and losses in walking distance exceeded 30 m from the time of referral to surgery.\nINTERPRETATION: The length of wait for elective total hip arthroplasty is not associated with postoperative HRQOL and mobility. However, patients who undergo the procedure within 6 months after referral have greater disability at referral, and realize greater gains in HRQOL and mobility after surgery, than patients waiting more than 6 months. Clinically important losses in HRQOL and mobility occur in patients waiting more than 6 months.","container-title":"CMAJ: Canadian Medical Association journal = journal de l'Association medicale canadienne","ISSN":"0820-3946","issue":"10","journalAbbreviation":"CMAJ","language":"eng","note":"PMID: 12427702\nPMCID: PMC134291","page":"1115-1121","source":"PubMed","title":"Health-related quality of life and mobility of patients awaiting elective total hip arthroplasty: a prospective study","title-short":"Health-related quality of life and mobility of patients awaiting elective total hip arthroplasty","volume":"167","author":[{"family":"Mahon","given":"Jeffrey L."},{"family":"Bourne","given":"Robert B."},{"family":"Rorabeck","given":"Cecil H."},{"family":"Feeny","given":"David H."},{"family":"Stitt","given":"Larry"},{"family":"Webster-Bogaert","given":"Susan"}],"issued":{"date-parts":[["2002",11,12]]}}}],"schema":"https://github.com/citation-style-language/schema/raw/master/csl-citation.json"}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15</w:t>
            </w:r>
            <w:r>
              <w:rPr>
                <w:rFonts w:ascii="Times New Roman" w:hAnsi="Times New Roman" w:cs="Times New Roman"/>
                <w:sz w:val="16"/>
                <w:szCs w:val="16"/>
              </w:rPr>
              <w:fldChar w:fldCharType="end"/>
            </w:r>
          </w:p>
        </w:tc>
        <w:tc>
          <w:tcPr>
            <w:tcW w:w="850" w:type="dxa"/>
            <w:tcBorders>
              <w:bottom w:val="single" w:sz="4" w:space="0" w:color="auto"/>
            </w:tcBorders>
            <w:shd w:val="clear" w:color="auto" w:fill="F4B083" w:themeFill="accent2" w:themeFillTint="99"/>
          </w:tcPr>
          <w:p w14:paraId="4D42E18B" w14:textId="2ABCCCE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709" w:type="dxa"/>
            <w:tcBorders>
              <w:bottom w:val="single" w:sz="4" w:space="0" w:color="auto"/>
            </w:tcBorders>
            <w:shd w:val="clear" w:color="auto" w:fill="A8D08D" w:themeFill="accent6" w:themeFillTint="99"/>
          </w:tcPr>
          <w:p w14:paraId="19D37B86" w14:textId="1CE1CD7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613677FA" w14:textId="6210492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01A5A9C9" w14:textId="0C8C279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A8D08D" w:themeFill="accent6" w:themeFillTint="99"/>
          </w:tcPr>
          <w:p w14:paraId="3A133207" w14:textId="6077112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4" w:type="dxa"/>
            <w:shd w:val="clear" w:color="auto" w:fill="A8D08D" w:themeFill="accent6" w:themeFillTint="99"/>
          </w:tcPr>
          <w:p w14:paraId="0D7301A0" w14:textId="31BB07B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5" w:type="dxa"/>
            <w:shd w:val="clear" w:color="auto" w:fill="A8D08D" w:themeFill="accent6" w:themeFillTint="99"/>
          </w:tcPr>
          <w:p w14:paraId="289564FA" w14:textId="3E2B4F5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8D08D" w:themeFill="accent6" w:themeFillTint="99"/>
          </w:tcPr>
          <w:p w14:paraId="3A566104" w14:textId="757EE9A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8D08D" w:themeFill="accent6" w:themeFillTint="99"/>
          </w:tcPr>
          <w:p w14:paraId="1ED49B2A" w14:textId="131990B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5" w:type="dxa"/>
            <w:shd w:val="clear" w:color="auto" w:fill="A8D08D" w:themeFill="accent6" w:themeFillTint="99"/>
          </w:tcPr>
          <w:p w14:paraId="165EB199" w14:textId="7A87331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708" w:type="dxa"/>
            <w:shd w:val="clear" w:color="auto" w:fill="FFD966" w:themeFill="accent4" w:themeFillTint="99"/>
          </w:tcPr>
          <w:p w14:paraId="43F08403" w14:textId="4425976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FFD966" w:themeFill="accent4" w:themeFillTint="99"/>
          </w:tcPr>
          <w:p w14:paraId="7D054C3D" w14:textId="290A702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FFD966" w:themeFill="accent4" w:themeFillTint="99"/>
          </w:tcPr>
          <w:p w14:paraId="00319EBE" w14:textId="0AAAD2A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850" w:type="dxa"/>
            <w:shd w:val="clear" w:color="auto" w:fill="F4B083" w:themeFill="accent2" w:themeFillTint="99"/>
          </w:tcPr>
          <w:p w14:paraId="3E49B76A" w14:textId="3664C95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F4B083" w:themeFill="accent2" w:themeFillTint="99"/>
          </w:tcPr>
          <w:p w14:paraId="2D0E2FDD" w14:textId="0B91066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F4B083" w:themeFill="accent2" w:themeFillTint="99"/>
          </w:tcPr>
          <w:p w14:paraId="1F965139" w14:textId="15129BB7"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r>
      <w:tr w:rsidR="00B73B8C" w:rsidRPr="004A3B37" w14:paraId="6930A888" w14:textId="77777777" w:rsidTr="00AD1FE5">
        <w:tc>
          <w:tcPr>
            <w:tcW w:w="1418" w:type="dxa"/>
            <w:tcBorders>
              <w:bottom w:val="single" w:sz="4" w:space="0" w:color="auto"/>
            </w:tcBorders>
          </w:tcPr>
          <w:p w14:paraId="2B175215" w14:textId="69627138" w:rsidR="00B73B8C" w:rsidRPr="004A3B37" w:rsidRDefault="00B73B8C" w:rsidP="00B73B8C">
            <w:pPr>
              <w:rPr>
                <w:rFonts w:ascii="Times New Roman" w:hAnsi="Times New Roman" w:cs="Times New Roman"/>
                <w:sz w:val="16"/>
                <w:szCs w:val="16"/>
              </w:rPr>
            </w:pPr>
            <w:proofErr w:type="spellStart"/>
            <w:r w:rsidRPr="004A3B37">
              <w:rPr>
                <w:rFonts w:ascii="Times New Roman" w:hAnsi="Times New Roman" w:cs="Times New Roman"/>
                <w:sz w:val="16"/>
                <w:szCs w:val="16"/>
              </w:rPr>
              <w:t>Nilsdotter</w:t>
            </w:r>
            <w:proofErr w:type="spellEnd"/>
            <w:r w:rsidRPr="004A3B37">
              <w:rPr>
                <w:rFonts w:ascii="Times New Roman" w:hAnsi="Times New Roman" w:cs="Times New Roman"/>
                <w:sz w:val="16"/>
                <w:szCs w:val="16"/>
              </w:rPr>
              <w:t xml:space="preserve"> and </w:t>
            </w:r>
            <w:proofErr w:type="spellStart"/>
            <w:r w:rsidRPr="004A3B37">
              <w:rPr>
                <w:rFonts w:ascii="Times New Roman" w:hAnsi="Times New Roman" w:cs="Times New Roman"/>
                <w:sz w:val="16"/>
                <w:szCs w:val="16"/>
              </w:rPr>
              <w:t>Lohmander</w:t>
            </w:r>
            <w:proofErr w:type="spellEnd"/>
            <w:r w:rsidRPr="004A3B37">
              <w:rPr>
                <w:rFonts w:ascii="Times New Roman" w:hAnsi="Times New Roman" w:cs="Times New Roman"/>
                <w:sz w:val="16"/>
                <w:szCs w:val="16"/>
              </w:rPr>
              <w:t xml:space="preserve"> 2002</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{"citationID":"MDOsc778","properties":{"formattedCitation":"\\super 16\\nosupersub{}","plainCitation":"16","noteIndex":0},"citationItems":[{"id":1425,"uris":["http://zotero.org/users/local/26vZAHNZ/items/P5TFM7EC"],"itemData":{"id":1425,"type":"article-journal","abstract":"Objective. To investigate in a prospective study the relationship between age, pre‐operative status, waiting time and post‐operative outcome in patients assigned for unilateral total hip replacement (THR) due to osteoarthritis (OA).Method. One hundred and forty‐eight patients (mean age 71 yr) with primary OA of the hip were investigated pre‐operatively and 3, 6 and 12 months post‐operatively with the Medical Outcomes Study 36‐Item Short Form Health Survey (SF‐36) and the Western Ontario and McMaster Universities Osteoarthritis Index (WOMAC). For 56 of the patients an additional evaluation was made when they were placed on the waiting list.Results. One hundred and twenty‐four patients fulfilled the study criteria (age 50 yr or over and unilateral THR for OA during the study period). Before surgery there were no differences in the WOMAC or SF‐36 subscales (except mental health) between patients aged over and under 72 yr. Post‐operatively, the younger patients reached a better score than the older patients. There were no differences in pre‐operative status or post‐operative outcome between the patients who had been on the waiting list more than and less than 3 months. Most pain relief after hip replacement was obtained by 3 months, while it took at least 1 yr to reach the full benefit in improved function. Ninety per cent of the patients had improved by at least 10 points on a 100‐point scale for pain and function at 12 months.Conclusion. The age of the patients assigned for THR did not determine their pre‐operative status. However, younger patients gained more function post‐operatively than older patients and reached higher absolute mean SF‐36 values, except for pain. An average difference in time on the waiting list of 3 months did not result in a difference in post‐operative outcome. At least 1 yr is required for the average OA patient to gain the full benefit of the THR.","container-title":"Rheumatology","DOI":"10.1093/rheumatology/41.11.1261","ISSN":"1462-0324","issue":"11","journalAbbreviation":"Rheumatology","page":"1261-1267","source":"Silverchair","title":"Age and waiting time as predictors of outcome after total hip replacement for osteoarthritis","volume":"41","author":[{"family":"Nilsdotter","given":"A.‐K."},{"family":"Lohmander","given":"L. S."}],"issued":{"date-parts":[["2002",11,1]]}}}],"schema":"https://github.com/citation-style-language/schema/raw/master/csl-citation.json"}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16</w:t>
            </w:r>
            <w:r>
              <w:rPr>
                <w:rFonts w:ascii="Times New Roman" w:hAnsi="Times New Roman" w:cs="Times New Roman"/>
                <w:sz w:val="16"/>
                <w:szCs w:val="16"/>
              </w:rPr>
              <w:fldChar w:fldCharType="end"/>
            </w:r>
          </w:p>
        </w:tc>
        <w:tc>
          <w:tcPr>
            <w:tcW w:w="850" w:type="dxa"/>
            <w:tcBorders>
              <w:bottom w:val="single" w:sz="4" w:space="0" w:color="auto"/>
            </w:tcBorders>
            <w:shd w:val="clear" w:color="auto" w:fill="F4B083" w:themeFill="accent2" w:themeFillTint="99"/>
          </w:tcPr>
          <w:p w14:paraId="38B4AFB2" w14:textId="7060AE5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709" w:type="dxa"/>
            <w:tcBorders>
              <w:bottom w:val="single" w:sz="4" w:space="0" w:color="auto"/>
            </w:tcBorders>
            <w:shd w:val="clear" w:color="auto" w:fill="FFD966" w:themeFill="accent4" w:themeFillTint="99"/>
          </w:tcPr>
          <w:p w14:paraId="06C4FEC2" w14:textId="388CCB3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992" w:type="dxa"/>
            <w:tcBorders>
              <w:bottom w:val="single" w:sz="4" w:space="0" w:color="auto"/>
            </w:tcBorders>
            <w:shd w:val="clear" w:color="auto" w:fill="A8D08D" w:themeFill="accent6" w:themeFillTint="99"/>
          </w:tcPr>
          <w:p w14:paraId="4E6E09B4" w14:textId="34BFCBD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6E772531" w14:textId="0206A4A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auto"/>
          </w:tcPr>
          <w:p w14:paraId="126E840B" w14:textId="52D91BA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404" w:type="dxa"/>
            <w:shd w:val="clear" w:color="auto" w:fill="A8D08D" w:themeFill="accent6" w:themeFillTint="99"/>
          </w:tcPr>
          <w:p w14:paraId="34CC4681" w14:textId="4242509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5" w:type="dxa"/>
            <w:shd w:val="clear" w:color="auto" w:fill="auto"/>
          </w:tcPr>
          <w:p w14:paraId="41CC97CA" w14:textId="1E90CDE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497D002B" w14:textId="20D6CB7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8D08D" w:themeFill="accent6" w:themeFillTint="99"/>
          </w:tcPr>
          <w:p w14:paraId="5B7C3BB9" w14:textId="1C818F3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5" w:type="dxa"/>
            <w:shd w:val="clear" w:color="auto" w:fill="auto"/>
          </w:tcPr>
          <w:p w14:paraId="13690D7C" w14:textId="2FC0E95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FFD966" w:themeFill="accent4" w:themeFillTint="99"/>
          </w:tcPr>
          <w:p w14:paraId="5D8EA655" w14:textId="712D8EF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FFD966" w:themeFill="accent4" w:themeFillTint="99"/>
          </w:tcPr>
          <w:p w14:paraId="448FEE3C" w14:textId="5AE95C0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5E303CF2" w14:textId="565F065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4B083" w:themeFill="accent2" w:themeFillTint="99"/>
          </w:tcPr>
          <w:p w14:paraId="1A550478" w14:textId="538DF89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F4B083" w:themeFill="accent2" w:themeFillTint="99"/>
          </w:tcPr>
          <w:p w14:paraId="4A9931E8" w14:textId="27F1103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auto"/>
          </w:tcPr>
          <w:p w14:paraId="5029A876" w14:textId="05EC65E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1522FD66" w14:textId="77777777" w:rsidTr="00AD1FE5">
        <w:tc>
          <w:tcPr>
            <w:tcW w:w="1418" w:type="dxa"/>
            <w:tcBorders>
              <w:bottom w:val="single" w:sz="4" w:space="0" w:color="auto"/>
            </w:tcBorders>
          </w:tcPr>
          <w:p w14:paraId="08671AC8" w14:textId="7EB73EC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Ostendorf et al. 2004</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{"citationID":"uZCX6d9C","properties":{"formattedCitation":"\\super 17\\nosupersub{}","plainCitation":"17","noteIndex":0},"citationItems":[{"id":1428,"uris":["http://zotero.org/users/local/26vZAHNZ/items/AQ4SDV7F"],"itemData":{"id":1428,"type":"article-journal","abstract":"This study was conducted to determine the effect of waiting times for total hip arthroplasty in terms of loss in quality-adjusted life years and additional burden perceived. A second goal was to study the effect of waiting times and preoperative function scores on postoperative outcome scores. Data were collected prospectively from a cohort of 161 patients waiting for total hip arthroplasty. The Oxford Hip score, Western Ontario and McMaster Universities Osteoarthritis Index, SF-36, and the EuroQol health status instruments were administered when the patient was placed on the waiting list, preoperatively, and 3 and 12 months after surgery. The disease-specific scores especially showed a significant deterioration during the waiting time. Moreover, a considerable loss of quality-adjusted life years occurred simply by postponing surgery. Although we found no direct effect of waiting time on postoperative outcomes, patients in a later phase of the disease process did not improve to the level achieved by patients with better preoperative function.","container-title":"The Journal of Arthroplasty","DOI":"10.1016/j.arth.2003.09.015","ISSN":"0883-5403","issue":"3","journalAbbreviation":"J Arthroplasty","language":"eng","note":"PMID: 15067641","page":"302-309","source":"PubMed","title":"Waiting for total hip arthroplasty: avoidable loss in quality time and preventable deterioration","title-short":"Waiting for total hip arthroplasty","volume":"19","author":[{"family":"Ostendorf","given":"Marieke"},{"family":"Buskens","given":"Erik"},{"family":"Stel","given":"Henk","non-dropping-particle":"van"},{"family":"Schrijvers","given":"Augustus"},{"family":"Marting","given":"Louis"},{"family":"Dhert","given":"Wouter"},{"family":"Verbout","given":"Abraham"}],"issued":{"date-parts":[["2004",4]]}}}],"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17</w:t>
            </w:r>
            <w:r>
              <w:rPr>
                <w:rFonts w:ascii="Times New Roman" w:hAnsi="Times New Roman" w:cs="Times New Roman"/>
                <w:sz w:val="16"/>
                <w:szCs w:val="16"/>
              </w:rPr>
              <w:fldChar w:fldCharType="end"/>
            </w:r>
          </w:p>
        </w:tc>
        <w:tc>
          <w:tcPr>
            <w:tcW w:w="850" w:type="dxa"/>
            <w:tcBorders>
              <w:bottom w:val="single" w:sz="4" w:space="0" w:color="auto"/>
            </w:tcBorders>
            <w:shd w:val="clear" w:color="auto" w:fill="FFD966" w:themeFill="accent4" w:themeFillTint="99"/>
          </w:tcPr>
          <w:p w14:paraId="767B1A16" w14:textId="38045E0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tcBorders>
              <w:bottom w:val="single" w:sz="4" w:space="0" w:color="auto"/>
            </w:tcBorders>
            <w:shd w:val="clear" w:color="auto" w:fill="A8D08D" w:themeFill="accent6" w:themeFillTint="99"/>
          </w:tcPr>
          <w:p w14:paraId="6BA4AE00" w14:textId="3D8B091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27B415D6" w14:textId="701C870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42B67282" w14:textId="6D8BB86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A8D08D" w:themeFill="accent6" w:themeFillTint="99"/>
          </w:tcPr>
          <w:p w14:paraId="083EDC52" w14:textId="6E07528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4" w:type="dxa"/>
            <w:shd w:val="clear" w:color="auto" w:fill="A8D08D" w:themeFill="accent6" w:themeFillTint="99"/>
          </w:tcPr>
          <w:p w14:paraId="6E96D9D4" w14:textId="6333E5E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5" w:type="dxa"/>
            <w:shd w:val="clear" w:color="auto" w:fill="auto"/>
          </w:tcPr>
          <w:p w14:paraId="28FBFAFE" w14:textId="3438AB7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7675CD33" w14:textId="6B49652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8D08D" w:themeFill="accent6" w:themeFillTint="99"/>
          </w:tcPr>
          <w:p w14:paraId="204E023C" w14:textId="691F0B17"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5" w:type="dxa"/>
            <w:shd w:val="clear" w:color="auto" w:fill="auto"/>
          </w:tcPr>
          <w:p w14:paraId="1DB025D4" w14:textId="16C416D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FFD966" w:themeFill="accent4" w:themeFillTint="99"/>
          </w:tcPr>
          <w:p w14:paraId="559C073A" w14:textId="7BD3CB4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FFD966" w:themeFill="accent4" w:themeFillTint="99"/>
          </w:tcPr>
          <w:p w14:paraId="5DCE1AB4" w14:textId="3FEABAC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7A70BE20" w14:textId="1683E72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FD966" w:themeFill="accent4" w:themeFillTint="99"/>
          </w:tcPr>
          <w:p w14:paraId="342C13CD" w14:textId="0886596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851" w:type="dxa"/>
            <w:shd w:val="clear" w:color="auto" w:fill="FFD966" w:themeFill="accent4" w:themeFillTint="99"/>
          </w:tcPr>
          <w:p w14:paraId="1A0065C2" w14:textId="405899E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851" w:type="dxa"/>
            <w:shd w:val="clear" w:color="auto" w:fill="auto"/>
          </w:tcPr>
          <w:p w14:paraId="5C6B22CD" w14:textId="590DAE5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5B8118A9" w14:textId="77777777" w:rsidTr="00AD1FE5">
        <w:tc>
          <w:tcPr>
            <w:tcW w:w="1418" w:type="dxa"/>
            <w:tcBorders>
              <w:bottom w:val="single" w:sz="4" w:space="0" w:color="auto"/>
            </w:tcBorders>
          </w:tcPr>
          <w:p w14:paraId="2A083869" w14:textId="732F9115" w:rsidR="00B73B8C" w:rsidRPr="004A3B37" w:rsidRDefault="00B73B8C" w:rsidP="00B73B8C">
            <w:pPr>
              <w:rPr>
                <w:rFonts w:ascii="Times New Roman" w:hAnsi="Times New Roman" w:cs="Times New Roman"/>
                <w:sz w:val="16"/>
                <w:szCs w:val="16"/>
              </w:rPr>
            </w:pPr>
            <w:proofErr w:type="spellStart"/>
            <w:r w:rsidRPr="004A3B37">
              <w:rPr>
                <w:rFonts w:ascii="Times New Roman" w:hAnsi="Times New Roman" w:cs="Times New Roman"/>
                <w:sz w:val="16"/>
                <w:szCs w:val="16"/>
              </w:rPr>
              <w:t>Fielden</w:t>
            </w:r>
            <w:proofErr w:type="spellEnd"/>
            <w:r w:rsidRPr="004A3B37">
              <w:rPr>
                <w:rFonts w:ascii="Times New Roman" w:hAnsi="Times New Roman" w:cs="Times New Roman"/>
                <w:sz w:val="16"/>
                <w:szCs w:val="16"/>
              </w:rPr>
              <w:t xml:space="preserve"> et al. 2005</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{"citationID":"nvjxUebO","properties":{"formattedCitation":"\\super 18\\nosupersub{}","plainCitation":"18","noteIndex":0},"citationItems":[{"id":1430,"uris":["http://zotero.org/users/local/26vZAHNZ/items/USL7FIJQ"],"itemData":{"id":1430,"type":"article-journal","abstract":"This prospective cohort study of 153 patients aimed to determine the economic and health costs of waiting for total hip arthroplasty (THA). Health-related quality of life, using self-completed WOMAC and EQ-5D questionnaires, was assessed monthly from enrolment preoperatively to 6 months postsurgery. Monthly cost diaries were used to record costs. The mean waiting time was 5.1 months and mean total cost of waiting for surgery was NZ 4305 dollars(US 2876 dollars) per person (pp) (NZ 1 dollar = US 0.668 dollar). Waiting more than 6 months was associated with a higher total mean cost (NZ 4278 dollars/US 2858 dollars pp) than waiting less than 6 months (NZ 2828 dollars/US 1889 dollars pp; P &lt; .01). Improvements from preoperative to postoperative WOMAC and EQ-5D scores were identified (P &lt; or = .01). Waiting longer led to poorer physical function preoperatively (P &lt; or = .01). Those with poor initial health status showed greater improvement in WOMAC (P = .0001) and EQ-5D (P = .003) measures by 6 months after surgery. Longer waits for total hip arthroplasty incur greater economic costs and deterioration in physical function while waiting.","container-title":"The Journal of Arthroplasty","DOI":"10.1016/j.arth.2004.12.060","ISSN":"0883-5403","issue":"8","journalAbbreviation":"J Arthroplasty","language":"eng","note":"PMID: 16376253","page":"990-997","source":"PubMed","title":"Waiting for hip arthroplasty: economic costs and health outcomes","title-short":"Waiting for hip arthroplasty","volume":"20","author":[{"family":"Fielden","given":"Jann M."},{"family":"Cumming","given":"J. M."},{"family":"Horne","given":"J. G."},{"family":"Devane","given":"P. A."},{"family":"Slack","given":"A."},{"family":"Gallagher","given":"L. M."}],"issued":{"date-parts":[["2005",12]]}}}],"schema":"https://github.com/citation-style-language/schema/raw/master/csl-citation.json"}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18</w:t>
            </w:r>
            <w:r>
              <w:rPr>
                <w:rFonts w:ascii="Times New Roman" w:hAnsi="Times New Roman" w:cs="Times New Roman"/>
                <w:sz w:val="16"/>
                <w:szCs w:val="16"/>
              </w:rPr>
              <w:fldChar w:fldCharType="end"/>
            </w:r>
          </w:p>
        </w:tc>
        <w:tc>
          <w:tcPr>
            <w:tcW w:w="850" w:type="dxa"/>
            <w:tcBorders>
              <w:bottom w:val="single" w:sz="4" w:space="0" w:color="auto"/>
            </w:tcBorders>
            <w:shd w:val="clear" w:color="auto" w:fill="FFD966" w:themeFill="accent4" w:themeFillTint="99"/>
          </w:tcPr>
          <w:p w14:paraId="1868D69C" w14:textId="17B24967"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tcBorders>
              <w:bottom w:val="single" w:sz="4" w:space="0" w:color="auto"/>
            </w:tcBorders>
            <w:shd w:val="clear" w:color="auto" w:fill="A8D08D" w:themeFill="accent6" w:themeFillTint="99"/>
          </w:tcPr>
          <w:p w14:paraId="08FDD692" w14:textId="2377DEB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0D1D65DA" w14:textId="56B3261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3BD90242" w14:textId="51F7DCF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A8D08D" w:themeFill="accent6" w:themeFillTint="99"/>
          </w:tcPr>
          <w:p w14:paraId="05EBCC7F" w14:textId="29F6C67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4" w:type="dxa"/>
            <w:shd w:val="clear" w:color="auto" w:fill="A8D08D" w:themeFill="accent6" w:themeFillTint="99"/>
          </w:tcPr>
          <w:p w14:paraId="4210D5AA" w14:textId="6ABC125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5" w:type="dxa"/>
            <w:shd w:val="clear" w:color="auto" w:fill="auto"/>
          </w:tcPr>
          <w:p w14:paraId="059AF466" w14:textId="7D1751D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749E11C8" w14:textId="79BB8FB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8D08D" w:themeFill="accent6" w:themeFillTint="99"/>
          </w:tcPr>
          <w:p w14:paraId="6F1D228F" w14:textId="6FC842E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5" w:type="dxa"/>
            <w:shd w:val="clear" w:color="auto" w:fill="auto"/>
          </w:tcPr>
          <w:p w14:paraId="28D259BD" w14:textId="7BAD932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FFD966" w:themeFill="accent4" w:themeFillTint="99"/>
          </w:tcPr>
          <w:p w14:paraId="5307395D" w14:textId="0729C8A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FFD966" w:themeFill="accent4" w:themeFillTint="99"/>
          </w:tcPr>
          <w:p w14:paraId="57308E35" w14:textId="524A2C6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78EDDEF9" w14:textId="5D47233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FD966" w:themeFill="accent4" w:themeFillTint="99"/>
          </w:tcPr>
          <w:p w14:paraId="245B7590" w14:textId="251F8B4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851" w:type="dxa"/>
            <w:shd w:val="clear" w:color="auto" w:fill="FFD966" w:themeFill="accent4" w:themeFillTint="99"/>
          </w:tcPr>
          <w:p w14:paraId="63B9D633" w14:textId="4EFEB7C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851" w:type="dxa"/>
            <w:shd w:val="clear" w:color="auto" w:fill="auto"/>
          </w:tcPr>
          <w:p w14:paraId="32860BD7" w14:textId="7CE57F77"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76CF6043" w14:textId="77777777" w:rsidTr="00AD1FE5">
        <w:tc>
          <w:tcPr>
            <w:tcW w:w="1418" w:type="dxa"/>
            <w:tcBorders>
              <w:bottom w:val="single" w:sz="4" w:space="0" w:color="auto"/>
            </w:tcBorders>
          </w:tcPr>
          <w:p w14:paraId="6929BA60" w14:textId="66CBDE80" w:rsidR="00B73B8C" w:rsidRPr="004A3B37" w:rsidRDefault="00B73B8C" w:rsidP="00B73B8C">
            <w:pPr>
              <w:rPr>
                <w:rFonts w:ascii="Times New Roman" w:hAnsi="Times New Roman" w:cs="Times New Roman"/>
                <w:sz w:val="16"/>
                <w:szCs w:val="16"/>
              </w:rPr>
            </w:pPr>
            <w:proofErr w:type="spellStart"/>
            <w:r w:rsidRPr="004A3B37">
              <w:rPr>
                <w:rFonts w:ascii="Times New Roman" w:hAnsi="Times New Roman" w:cs="Times New Roman"/>
                <w:sz w:val="16"/>
                <w:szCs w:val="16"/>
              </w:rPr>
              <w:t>Garbuz</w:t>
            </w:r>
            <w:proofErr w:type="spellEnd"/>
            <w:r w:rsidRPr="004A3B37">
              <w:rPr>
                <w:rFonts w:ascii="Times New Roman" w:hAnsi="Times New Roman" w:cs="Times New Roman"/>
                <w:sz w:val="16"/>
                <w:szCs w:val="16"/>
              </w:rPr>
              <w:t xml:space="preserve"> et al. 2006</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{"citationID":"pdKF5DsL","properties":{"formattedCitation":"\\super 19\\nosupersub{}","plainCitation":"19","noteIndex":0},"citationItems":[{"id":1435,"uris":["http://zotero.org/users/local/26vZAHNZ/items/8H6VS25Y"],"itemData":{"id":1435,"type":"article-journal","abstract":"Although there are indications of health status deterioration for patients while waiting for elective total hip arthroplasties, controversy exists regarding the effect of waiting on postoperative outcomes. We hypothesized that longer waiting times are detrimental to achieving the full benefit of surgery. We prospectively examined 201 patients with osteoarthritis who were on the waiting list for primary total hip arthroplasties. The Western Ontario and McMaster Universities Osteoarthritis Index questionnaire was used to assess patients at surgical consultation (preoperative) and 1 year postoperative. The study included regression models to determine the expected outcome for an individual's preoperative score. Logistic regression models were used to assess the relationship between waiting time and the probability of a better than expected outcome. We found that the odds of achieving a better than expected postoperative functional outcome decreased by 8% for each month on the waiting list. Expedited access resulted in a larger proportion of patients with better than expected function 12 months after surgery.","container-title":"Clinical Orthopaedics and Related Research","DOI":"10.1097/01.blo.0000203477.19421.ed","ISSN":"0009-921X","journalAbbreviation":"Clin Orthop Relat Res","language":"eng","note":"PMID: 16505716","page":"79-84","source":"PubMed","title":"Delays worsen quality of life outcome of primary total hip arthroplasty","volume":"447","author":[{"family":"Garbuz","given":"Donald S."},{"family":"Xu","given":"Min"},{"family":"Duncan","given":"Clive P."},{"family":"Masri","given":"Bassam A."},{"family":"Sobolev","given":"Boris"}],"issued":{"date-parts":[["2006",6]]}}}],"schema":"https://github.com/citation-style-language/schema/raw/master/csl-citation.json"}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19</w:t>
            </w:r>
            <w:r>
              <w:rPr>
                <w:rFonts w:ascii="Times New Roman" w:hAnsi="Times New Roman" w:cs="Times New Roman"/>
                <w:sz w:val="16"/>
                <w:szCs w:val="16"/>
              </w:rPr>
              <w:fldChar w:fldCharType="end"/>
            </w:r>
          </w:p>
        </w:tc>
        <w:tc>
          <w:tcPr>
            <w:tcW w:w="850" w:type="dxa"/>
            <w:tcBorders>
              <w:bottom w:val="single" w:sz="4" w:space="0" w:color="auto"/>
            </w:tcBorders>
            <w:shd w:val="clear" w:color="auto" w:fill="FFD966" w:themeFill="accent4" w:themeFillTint="99"/>
          </w:tcPr>
          <w:p w14:paraId="00DFEBCA" w14:textId="2539882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tcBorders>
              <w:bottom w:val="single" w:sz="4" w:space="0" w:color="auto"/>
            </w:tcBorders>
            <w:shd w:val="clear" w:color="auto" w:fill="A8D08D" w:themeFill="accent6" w:themeFillTint="99"/>
          </w:tcPr>
          <w:p w14:paraId="296561FA" w14:textId="4F335D5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316C7323" w14:textId="008FD66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2889D75A" w14:textId="0F2BF2B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FFD966" w:themeFill="accent4" w:themeFillTint="99"/>
          </w:tcPr>
          <w:p w14:paraId="4198DE7B" w14:textId="7B29662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404" w:type="dxa"/>
            <w:shd w:val="clear" w:color="auto" w:fill="auto"/>
          </w:tcPr>
          <w:p w14:paraId="209BF0CF" w14:textId="54277D9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405" w:type="dxa"/>
            <w:shd w:val="clear" w:color="auto" w:fill="auto"/>
          </w:tcPr>
          <w:p w14:paraId="72CED764" w14:textId="02AC96B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28DD74C0" w14:textId="2B846E6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uto"/>
          </w:tcPr>
          <w:p w14:paraId="52D4BC05" w14:textId="6826AD5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5" w:type="dxa"/>
            <w:shd w:val="clear" w:color="auto" w:fill="auto"/>
          </w:tcPr>
          <w:p w14:paraId="5229D27A" w14:textId="4CF2C62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FFD966" w:themeFill="accent4" w:themeFillTint="99"/>
          </w:tcPr>
          <w:p w14:paraId="03C80265" w14:textId="69032CC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2B109890" w14:textId="5BAC803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9" w:type="dxa"/>
            <w:shd w:val="clear" w:color="auto" w:fill="auto"/>
          </w:tcPr>
          <w:p w14:paraId="179E465F" w14:textId="0D20198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FD966" w:themeFill="accent4" w:themeFillTint="99"/>
          </w:tcPr>
          <w:p w14:paraId="142330AB" w14:textId="462EB64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851" w:type="dxa"/>
            <w:shd w:val="clear" w:color="auto" w:fill="auto"/>
          </w:tcPr>
          <w:p w14:paraId="250ED4AF" w14:textId="749FABA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1" w:type="dxa"/>
            <w:shd w:val="clear" w:color="auto" w:fill="auto"/>
          </w:tcPr>
          <w:p w14:paraId="64C864C9" w14:textId="0B57E5D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4DC5FFA1" w14:textId="77777777" w:rsidTr="00AD1FE5">
        <w:tc>
          <w:tcPr>
            <w:tcW w:w="1418" w:type="dxa"/>
            <w:tcBorders>
              <w:bottom w:val="single" w:sz="4" w:space="0" w:color="auto"/>
            </w:tcBorders>
          </w:tcPr>
          <w:p w14:paraId="7724316C" w14:textId="1D6DE44C" w:rsidR="00B73B8C" w:rsidRPr="004A3B37" w:rsidRDefault="00B73B8C" w:rsidP="00B73B8C">
            <w:pPr>
              <w:rPr>
                <w:rFonts w:ascii="Times New Roman" w:hAnsi="Times New Roman" w:cs="Times New Roman"/>
                <w:sz w:val="16"/>
                <w:szCs w:val="16"/>
              </w:rPr>
            </w:pPr>
            <w:proofErr w:type="spellStart"/>
            <w:r w:rsidRPr="004A3B37">
              <w:rPr>
                <w:rFonts w:ascii="Times New Roman" w:hAnsi="Times New Roman" w:cs="Times New Roman"/>
                <w:sz w:val="16"/>
                <w:szCs w:val="16"/>
              </w:rPr>
              <w:t>Hirvonen</w:t>
            </w:r>
            <w:proofErr w:type="spellEnd"/>
            <w:r w:rsidRPr="004A3B37">
              <w:rPr>
                <w:rFonts w:ascii="Times New Roman" w:hAnsi="Times New Roman" w:cs="Times New Roman"/>
                <w:sz w:val="16"/>
                <w:szCs w:val="16"/>
              </w:rPr>
              <w:t xml:space="preserve"> et al. 2006</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{"citationID":"tTsv9ra4","properties":{"formattedCitation":"\\super 9\\nosupersub{}","plainCitation":"9","noteIndex":0},"citationItems":[{"id":1439,"uris":["http://zotero.org/users/local/26vZAHNZ/items/FYHJZXDE"],"itemData":{"id":1439,"type":"article-journal","abstract":"AIMS: To evaluate the effect of waiting on health-related quality of life (HRQoL), pain and physical function in patients awaiting primary total knee replacement (TKR) due to osteoarthritis.\nMETHODS: Some 438 patients awaiting TKR were randomized to a short waiting time (WT) group (&lt; or =3 months) or a non-fixed WT group. In the final assessment, 310 patients (213 women) with a mean age of 68 years were included. HRQoL was measured on being placed on the waiting list and again at hospital admission using the generic 15D. Patients' self-report pain and physical function were evaluated using a scale modified from the Knee Society Clinical Rating System.\nRESULTS: The median WTs for patients with short and non-fixed WT were 73 days (range 8-600 days) and 266 days (range 28-818 days), respectively. At admission, as assessed by the intention-to-treat analysis, there were no statistically significant differences between the groups in the 15D total score and disease-specific pain and function.\nCONCLUSIONS: Our study showed that longer WT did not result in worse pre-operative HRQoL.","container-title":"Journal of Evaluation in Clinical Practice","DOI":"10.1111/j.1365-2753.2006.00745.x","ISSN":"1356-1294","issue":"5","journalAbbreviation":"J Eval Clin Pract","language":"eng","note":"PMID: 17824865","page":"728-733","source":"PubMed","title":"Evaluating waiting time effect on health outcomes at admission: a prospective randomized study on patients with osteoarthritis of the knee joint","title-short":"Evaluating waiting time effect on health outcomes at admission","volume":"13","author":[{"family":"Hirvonen","given":"Johanna"},{"family":"Blom","given":"Marja"},{"family":"Tuominen","given":"Ulla"},{"family":"Seitsalo","given":"Seppo"},{"family":"Lehto","given":"Matti"},{"family":"Paavolainen","given":"Pekka"},{"family":"Hietaniemi","given":"Kalevi"},{"family":"Rissanen","given":"Pekka"},{"family":"Sintonen","given":"Harri"}],"issued":{"date-parts":[["2007",10]]}}}],"schema":"https://github.com/citation-style-language/schema/raw/master/csl-citation.json"} </w:instrText>
            </w:r>
            <w:r>
              <w:rPr>
                <w:rFonts w:ascii="Times New Roman" w:hAnsi="Times New Roman" w:cs="Times New Roman"/>
                <w:sz w:val="16"/>
                <w:szCs w:val="16"/>
              </w:rPr>
              <w:fldChar w:fldCharType="separate"/>
            </w:r>
            <w:r w:rsidRPr="00817F70">
              <w:rPr>
                <w:rFonts w:ascii="Times New Roman" w:hAnsi="Times New Roman" w:cs="Times New Roman"/>
                <w:sz w:val="16"/>
                <w:vertAlign w:val="superscript"/>
              </w:rPr>
              <w:t>9</w:t>
            </w:r>
            <w:r>
              <w:rPr>
                <w:rFonts w:ascii="Times New Roman" w:hAnsi="Times New Roman" w:cs="Times New Roman"/>
                <w:sz w:val="16"/>
                <w:szCs w:val="16"/>
              </w:rPr>
              <w:fldChar w:fldCharType="end"/>
            </w:r>
          </w:p>
        </w:tc>
        <w:tc>
          <w:tcPr>
            <w:tcW w:w="850" w:type="dxa"/>
            <w:tcBorders>
              <w:bottom w:val="single" w:sz="4" w:space="0" w:color="auto"/>
            </w:tcBorders>
            <w:shd w:val="clear" w:color="auto" w:fill="A8D08D" w:themeFill="accent6" w:themeFillTint="99"/>
          </w:tcPr>
          <w:p w14:paraId="4288E642" w14:textId="138EBBC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709" w:type="dxa"/>
            <w:tcBorders>
              <w:bottom w:val="single" w:sz="4" w:space="0" w:color="auto"/>
            </w:tcBorders>
            <w:shd w:val="clear" w:color="auto" w:fill="A8D08D" w:themeFill="accent6" w:themeFillTint="99"/>
          </w:tcPr>
          <w:p w14:paraId="18F64CB8" w14:textId="15927AB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3BE9E10C" w14:textId="5B6AE92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166B57AA" w14:textId="10A9C157"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auto"/>
          </w:tcPr>
          <w:p w14:paraId="389709D2" w14:textId="7E41B21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404" w:type="dxa"/>
            <w:shd w:val="clear" w:color="auto" w:fill="FFD966" w:themeFill="accent4" w:themeFillTint="99"/>
          </w:tcPr>
          <w:p w14:paraId="156098BE" w14:textId="499129B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405" w:type="dxa"/>
            <w:shd w:val="clear" w:color="auto" w:fill="auto"/>
          </w:tcPr>
          <w:p w14:paraId="1F65D635" w14:textId="321F38C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uto"/>
          </w:tcPr>
          <w:p w14:paraId="4DC6362C" w14:textId="128CAEC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481924BA" w14:textId="62096FC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5" w:type="dxa"/>
            <w:shd w:val="clear" w:color="auto" w:fill="auto"/>
          </w:tcPr>
          <w:p w14:paraId="0E5B280A" w14:textId="18A8028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auto"/>
          </w:tcPr>
          <w:p w14:paraId="135D6F06" w14:textId="39DA533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9" w:type="dxa"/>
            <w:shd w:val="clear" w:color="auto" w:fill="A8D08D" w:themeFill="accent6" w:themeFillTint="99"/>
          </w:tcPr>
          <w:p w14:paraId="0278EC23" w14:textId="613B8FB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709" w:type="dxa"/>
            <w:shd w:val="clear" w:color="auto" w:fill="auto"/>
          </w:tcPr>
          <w:p w14:paraId="32CF008B" w14:textId="2381251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auto"/>
          </w:tcPr>
          <w:p w14:paraId="2935FE84" w14:textId="09137DF7"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1" w:type="dxa"/>
            <w:shd w:val="clear" w:color="auto" w:fill="FFD966" w:themeFill="accent4" w:themeFillTint="99"/>
          </w:tcPr>
          <w:p w14:paraId="1771E207" w14:textId="1F3D589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851" w:type="dxa"/>
            <w:shd w:val="clear" w:color="auto" w:fill="auto"/>
          </w:tcPr>
          <w:p w14:paraId="6E084182" w14:textId="4619AC2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3220BDF0" w14:textId="77777777" w:rsidTr="00AD1FE5">
        <w:tc>
          <w:tcPr>
            <w:tcW w:w="1418" w:type="dxa"/>
            <w:tcBorders>
              <w:bottom w:val="single" w:sz="4" w:space="0" w:color="auto"/>
            </w:tcBorders>
          </w:tcPr>
          <w:p w14:paraId="48E909C7" w14:textId="19B8DEB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 xml:space="preserve">Ahmad and </w:t>
            </w:r>
            <w:proofErr w:type="spellStart"/>
            <w:r w:rsidRPr="004A3B37">
              <w:rPr>
                <w:rFonts w:ascii="Times New Roman" w:hAnsi="Times New Roman" w:cs="Times New Roman"/>
                <w:sz w:val="16"/>
                <w:szCs w:val="16"/>
              </w:rPr>
              <w:t>Konduru</w:t>
            </w:r>
            <w:proofErr w:type="spellEnd"/>
            <w:r w:rsidRPr="004A3B37">
              <w:rPr>
                <w:rFonts w:ascii="Times New Roman" w:hAnsi="Times New Roman" w:cs="Times New Roman"/>
                <w:sz w:val="16"/>
                <w:szCs w:val="16"/>
              </w:rPr>
              <w:t xml:space="preserve"> 2007</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{"citationID":"jneSWDv6","properties":{"formattedCitation":"\\super 20\\nosupersub{}","plainCitation":"20","noteIndex":0},"citationItems":[{"id":1437,"uris":["http://zotero.org/users/local/26vZAHNZ/items/5ZICSCHF"],"itemData":{"id":1437,"type":"article-journal","abstract":"OBJECTIVE: To investigate the effect of waiting lists on the rate of change in the functional status of patients awaiting total knee joint replacement.\nMETHODOLOGY: The Oxford knee score, a measure of functional status, was taken both at listing for operation and just prior to surgery for 58 patients listed for total knee replacement. The distribution of scores initially and pre-operatively were found to be normally distributed using the Kolmogorov-Smirnov test, therefore the paired t-test was used to compare the statistical significance. Waiting times were not normally distributed and the Spearmann rank correlation test was used to correlate waiting time and initial score and change in score.","container-title":"The Surgeon: Journal of the Royal Colleges of Surgeons of Edinburgh and Ireland","DOI":"10.1016/s1479-666x(07)80022-9","ISSN":"1479-666X","issue":"5","journalAbbreviation":"Surgeon","language":"eng","note":"PMID: 17958223","page":"266-267","source":"PubMed","title":"Change in functional status of patients whilst awaiting prinmary total knee arthroplasty","volume":"5","author":[{"family":"Ahmad","given":"I."},{"family":"Konduru","given":"S."}],"issued":{"date-parts":[["2007",10]]}}}],"schema":"https://github.com/citation-style-language/schema/raw/master/csl-citation.json"}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20</w:t>
            </w:r>
            <w:r>
              <w:rPr>
                <w:rFonts w:ascii="Times New Roman" w:hAnsi="Times New Roman" w:cs="Times New Roman"/>
                <w:sz w:val="16"/>
                <w:szCs w:val="16"/>
              </w:rPr>
              <w:fldChar w:fldCharType="end"/>
            </w:r>
          </w:p>
        </w:tc>
        <w:tc>
          <w:tcPr>
            <w:tcW w:w="850" w:type="dxa"/>
            <w:tcBorders>
              <w:bottom w:val="single" w:sz="4" w:space="0" w:color="auto"/>
            </w:tcBorders>
            <w:shd w:val="clear" w:color="auto" w:fill="F4B083" w:themeFill="accent2" w:themeFillTint="99"/>
          </w:tcPr>
          <w:p w14:paraId="2F28ED03" w14:textId="77E3636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709" w:type="dxa"/>
            <w:tcBorders>
              <w:bottom w:val="single" w:sz="4" w:space="0" w:color="auto"/>
            </w:tcBorders>
            <w:shd w:val="clear" w:color="auto" w:fill="A8D08D" w:themeFill="accent6" w:themeFillTint="99"/>
          </w:tcPr>
          <w:p w14:paraId="50195E23" w14:textId="33DA7AE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783D3A94" w14:textId="59805B0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5FFD461C" w14:textId="3945123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A8D08D" w:themeFill="accent6" w:themeFillTint="99"/>
          </w:tcPr>
          <w:p w14:paraId="107EA980" w14:textId="395A5CB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4" w:type="dxa"/>
            <w:shd w:val="clear" w:color="auto" w:fill="auto"/>
          </w:tcPr>
          <w:p w14:paraId="663955F6" w14:textId="1AB716A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405" w:type="dxa"/>
            <w:shd w:val="clear" w:color="auto" w:fill="auto"/>
          </w:tcPr>
          <w:p w14:paraId="606B9709" w14:textId="72D1467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585287BD" w14:textId="3A18D83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uto"/>
          </w:tcPr>
          <w:p w14:paraId="712E358C" w14:textId="20A8171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5" w:type="dxa"/>
            <w:shd w:val="clear" w:color="auto" w:fill="auto"/>
          </w:tcPr>
          <w:p w14:paraId="10302BD5" w14:textId="00750E3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FFD966" w:themeFill="accent4" w:themeFillTint="99"/>
          </w:tcPr>
          <w:p w14:paraId="74848AEF" w14:textId="07B66AC7"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1BD2EFBB" w14:textId="3D9B7D6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9" w:type="dxa"/>
            <w:shd w:val="clear" w:color="auto" w:fill="auto"/>
          </w:tcPr>
          <w:p w14:paraId="2F1713B5" w14:textId="2C79C32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4B083" w:themeFill="accent2" w:themeFillTint="99"/>
          </w:tcPr>
          <w:p w14:paraId="14F24DD8" w14:textId="4BD41AB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auto"/>
          </w:tcPr>
          <w:p w14:paraId="2EA119EE" w14:textId="56262F3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1" w:type="dxa"/>
            <w:shd w:val="clear" w:color="auto" w:fill="auto"/>
          </w:tcPr>
          <w:p w14:paraId="00F42AF6" w14:textId="61EDDA0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171FA164" w14:textId="77777777" w:rsidTr="00AD1FE5">
        <w:tc>
          <w:tcPr>
            <w:tcW w:w="1418" w:type="dxa"/>
            <w:tcBorders>
              <w:bottom w:val="single" w:sz="4" w:space="0" w:color="auto"/>
            </w:tcBorders>
          </w:tcPr>
          <w:p w14:paraId="702A4C17" w14:textId="1B801C11" w:rsidR="00B73B8C" w:rsidRPr="004A3B37" w:rsidRDefault="00B73B8C" w:rsidP="00B73B8C">
            <w:pPr>
              <w:rPr>
                <w:rFonts w:ascii="Times New Roman" w:hAnsi="Times New Roman" w:cs="Times New Roman"/>
                <w:sz w:val="16"/>
                <w:szCs w:val="16"/>
              </w:rPr>
            </w:pPr>
            <w:proofErr w:type="spellStart"/>
            <w:r w:rsidRPr="004A3B37">
              <w:rPr>
                <w:rFonts w:ascii="Times New Roman" w:hAnsi="Times New Roman" w:cs="Times New Roman"/>
                <w:sz w:val="16"/>
                <w:szCs w:val="16"/>
              </w:rPr>
              <w:t>Kapstad</w:t>
            </w:r>
            <w:proofErr w:type="spellEnd"/>
            <w:r w:rsidRPr="004A3B37">
              <w:rPr>
                <w:rFonts w:ascii="Times New Roman" w:hAnsi="Times New Roman" w:cs="Times New Roman"/>
                <w:sz w:val="16"/>
                <w:szCs w:val="16"/>
              </w:rPr>
              <w:t xml:space="preserve"> et al. 2007</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{"citationID":"RlOm4qrQ","properties":{"formattedCitation":"\\super 21\\nosupersub{}","plainCitation":"21","noteIndex":0},"citationItems":[{"id":1441,"uris":["http://zotero.org/users/local/26vZAHNZ/items/9UE83QRV"],"itemData":{"id":1441,"type":"article-journal","container-title":"Osteoarthritis and Cartilage","DOI":"10.1016/j.joca.2007.01.015","ISSN":"1063-4584, 1522-9653","issue":"7","journalAbbreviation":"Osteoarthritis and Cartilage","language":"English","note":"publisher: Elsevier\nPMID: 17344069","page":"837-843","source":"www.oarsijournal.com","title":"Changes in pain, stiffness and physical function in patients with osteoarthritis waiting for hip or knee joint replacement surgery","volume":"15","author":[{"family":"Kapstad","given":"H."},{"family":"Rustøen","given":"T."},{"family":"Hanestad","given":"B. R."},{"family":"Moum","given":"T."},{"family":"Langeland","given":"N."},{"family":"Stavem","given":"K."}],"issued":{"date-parts":[["2007",7,1]]}}}],"schema":"https://github.com/citation-style-language/schema/raw/master/csl-citation.json"}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21</w:t>
            </w:r>
            <w:r>
              <w:rPr>
                <w:rFonts w:ascii="Times New Roman" w:hAnsi="Times New Roman" w:cs="Times New Roman"/>
                <w:sz w:val="16"/>
                <w:szCs w:val="16"/>
              </w:rPr>
              <w:fldChar w:fldCharType="end"/>
            </w:r>
          </w:p>
        </w:tc>
        <w:tc>
          <w:tcPr>
            <w:tcW w:w="850" w:type="dxa"/>
            <w:tcBorders>
              <w:bottom w:val="single" w:sz="4" w:space="0" w:color="auto"/>
            </w:tcBorders>
            <w:shd w:val="clear" w:color="auto" w:fill="FFD966" w:themeFill="accent4" w:themeFillTint="99"/>
          </w:tcPr>
          <w:p w14:paraId="21B602B9" w14:textId="698A34A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tcBorders>
              <w:bottom w:val="single" w:sz="4" w:space="0" w:color="auto"/>
            </w:tcBorders>
            <w:shd w:val="clear" w:color="auto" w:fill="A8D08D" w:themeFill="accent6" w:themeFillTint="99"/>
          </w:tcPr>
          <w:p w14:paraId="5E932A21" w14:textId="6CEAB40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4EC4134C" w14:textId="030A74C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5325263F" w14:textId="498C47D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F4B083" w:themeFill="accent2" w:themeFillTint="99"/>
          </w:tcPr>
          <w:p w14:paraId="514DFF8B" w14:textId="5AA2FCF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404" w:type="dxa"/>
            <w:shd w:val="clear" w:color="auto" w:fill="auto"/>
          </w:tcPr>
          <w:p w14:paraId="38514EB7" w14:textId="2B88EC8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405" w:type="dxa"/>
            <w:shd w:val="clear" w:color="auto" w:fill="auto"/>
          </w:tcPr>
          <w:p w14:paraId="15C20B30" w14:textId="618A1C5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70D843E5" w14:textId="662B6F0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uto"/>
          </w:tcPr>
          <w:p w14:paraId="33B1943D" w14:textId="0A45CA6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5" w:type="dxa"/>
            <w:shd w:val="clear" w:color="auto" w:fill="auto"/>
          </w:tcPr>
          <w:p w14:paraId="10CFFAD0" w14:textId="25B0324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FFD966" w:themeFill="accent4" w:themeFillTint="99"/>
          </w:tcPr>
          <w:p w14:paraId="43F2676A" w14:textId="7C2AFDF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4576265F" w14:textId="08A9F9F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9" w:type="dxa"/>
            <w:shd w:val="clear" w:color="auto" w:fill="auto"/>
          </w:tcPr>
          <w:p w14:paraId="6FB475B3" w14:textId="564034B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4B083" w:themeFill="accent2" w:themeFillTint="99"/>
          </w:tcPr>
          <w:p w14:paraId="1AF058C5" w14:textId="23128C5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auto"/>
          </w:tcPr>
          <w:p w14:paraId="118A2DC0" w14:textId="089E54B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1" w:type="dxa"/>
            <w:shd w:val="clear" w:color="auto" w:fill="auto"/>
          </w:tcPr>
          <w:p w14:paraId="0323FFF9" w14:textId="7CD1855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5D2AC3C9" w14:textId="77777777" w:rsidTr="00AD1FE5">
        <w:tc>
          <w:tcPr>
            <w:tcW w:w="1418" w:type="dxa"/>
            <w:tcBorders>
              <w:bottom w:val="single" w:sz="4" w:space="0" w:color="auto"/>
            </w:tcBorders>
          </w:tcPr>
          <w:p w14:paraId="5E0C6C9D" w14:textId="034AEE9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McHugh et al. 2008</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{"citationID":"HUE75ymF","properties":{"formattedCitation":"\\super 22\\nosupersub{}","plainCitation":"22","noteIndex":0},"citationItems":[{"id":1445,"uris":["http://zotero.org/users/local/26vZAHNZ/items/DPCAVXDV"],"itemData":{"id":1445,"type":"article-journal","abstract":"OBJECTIVES: To investigate if pain, physical function and the quality of life changed among adults with osteoarthritis while on the waiting list for hip or knee joint replacement.\nMETHODS: A longitudinal study of patients listed for primary hip or knee joint replacement. Participants were interviewed at baseline (n = 105) and followed up at 3 (n = 84), 6 (n = 47) and 9 months (n = 24), or until their joint replacement. Measurement tools used were a visual analogue scale (VAS), Western Ontario and McMaster's Universities (WOMAC) Osteoarthritis Index and the Medical Outcomes Study Short Form Health Survey (SF-36).\nRESULTS: Baseline data indicated high levels of pain as measured by VAS [mean 7.0 (SD 2.2)] and WOMAC pain [mean 11.2 (SD 3.5)]. At baseline, the mean physical function measured by WOMAC was 40.3 (SD 12.1). At the 3-month follow-up, there was significant deterioration in VAS pain scores (0.6; 95% CI mean difference 0.3, 1.0); WOMAC pain scores (1.2; 95% CI mean difference 0.7, 1.8) and WOMAC physical function scores (4.8; 95% CI mean difference 2.8, 6.7) compared with baseline.\nCONCLUSION: The often long wait for joint replacement surgery and deterioration in pain and physical function has highlighted the need for active management by health professionals while patients are on the waiting list.","container-title":"Journal of Evaluation in Clinical Practice","DOI":"10.1111/j.1365-2753.2007.00777.x","ISSN":"1365-2753","issue":"1","journalAbbreviation":"J Eval Clin Pract","language":"eng","note":"PMID: 18211639","page":"19-26","source":"PubMed","title":"Pain, physical functioning and quality of life of individuals awaiting total joint replacement: a longitudinal study","title-short":"Pain, physical functioning and quality of life of individuals awaiting total joint replacement","volume":"14","author":[{"family":"McHugh","given":"Gretl A."},{"family":"Luker","given":"Karen A."},{"family":"Campbell","given":"Malcolm"},{"family":"Kay","given":"Peter R."},{"family":"Silman","given":"Alan J."}],"issued":{"date-parts":[["2008",2]]}}}],"schema":"https://github.com/citation-style-language/schema/raw/master/csl-citation.json"}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22</w:t>
            </w:r>
            <w:r>
              <w:rPr>
                <w:rFonts w:ascii="Times New Roman" w:hAnsi="Times New Roman" w:cs="Times New Roman"/>
                <w:sz w:val="16"/>
                <w:szCs w:val="16"/>
              </w:rPr>
              <w:fldChar w:fldCharType="end"/>
            </w:r>
          </w:p>
        </w:tc>
        <w:tc>
          <w:tcPr>
            <w:tcW w:w="850" w:type="dxa"/>
            <w:tcBorders>
              <w:bottom w:val="single" w:sz="4" w:space="0" w:color="auto"/>
            </w:tcBorders>
            <w:shd w:val="clear" w:color="auto" w:fill="F4B083" w:themeFill="accent2" w:themeFillTint="99"/>
          </w:tcPr>
          <w:p w14:paraId="1DAFBD78" w14:textId="4406728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709" w:type="dxa"/>
            <w:tcBorders>
              <w:bottom w:val="single" w:sz="4" w:space="0" w:color="auto"/>
            </w:tcBorders>
            <w:shd w:val="clear" w:color="auto" w:fill="A8D08D" w:themeFill="accent6" w:themeFillTint="99"/>
          </w:tcPr>
          <w:p w14:paraId="7A0476C9" w14:textId="5AE278D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184E0731" w14:textId="74DD701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0476942F" w14:textId="6CD9A89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FFD966" w:themeFill="accent4" w:themeFillTint="99"/>
          </w:tcPr>
          <w:p w14:paraId="562860AE" w14:textId="39D07E6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404" w:type="dxa"/>
            <w:shd w:val="clear" w:color="auto" w:fill="FFD966" w:themeFill="accent4" w:themeFillTint="99"/>
          </w:tcPr>
          <w:p w14:paraId="6611DD4F" w14:textId="1CA4F57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405" w:type="dxa"/>
            <w:shd w:val="clear" w:color="auto" w:fill="auto"/>
          </w:tcPr>
          <w:p w14:paraId="261F60DB" w14:textId="0A6E74C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78F10CBC" w14:textId="2B4E359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8D08D" w:themeFill="accent6" w:themeFillTint="99"/>
          </w:tcPr>
          <w:p w14:paraId="52828008" w14:textId="015C791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5" w:type="dxa"/>
            <w:shd w:val="clear" w:color="auto" w:fill="auto"/>
          </w:tcPr>
          <w:p w14:paraId="56BB531E" w14:textId="7385616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FFD966" w:themeFill="accent4" w:themeFillTint="99"/>
          </w:tcPr>
          <w:p w14:paraId="581D4D98" w14:textId="185D532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FFD966" w:themeFill="accent4" w:themeFillTint="99"/>
          </w:tcPr>
          <w:p w14:paraId="7736B195" w14:textId="7A6A590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0C915591" w14:textId="783314E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4B083" w:themeFill="accent2" w:themeFillTint="99"/>
          </w:tcPr>
          <w:p w14:paraId="26ABA984" w14:textId="199FC57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F4B083" w:themeFill="accent2" w:themeFillTint="99"/>
          </w:tcPr>
          <w:p w14:paraId="2292F436" w14:textId="64B332B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 xml:space="preserve">3 </w:t>
            </w:r>
          </w:p>
        </w:tc>
        <w:tc>
          <w:tcPr>
            <w:tcW w:w="851" w:type="dxa"/>
            <w:shd w:val="clear" w:color="auto" w:fill="auto"/>
          </w:tcPr>
          <w:p w14:paraId="4BBE435A" w14:textId="0CF6770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15A8E4CA" w14:textId="77777777" w:rsidTr="00AD1FE5">
        <w:tc>
          <w:tcPr>
            <w:tcW w:w="1418" w:type="dxa"/>
            <w:tcBorders>
              <w:bottom w:val="single" w:sz="4" w:space="0" w:color="auto"/>
            </w:tcBorders>
          </w:tcPr>
          <w:p w14:paraId="241DAF0E" w14:textId="673C3D7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Escobar et al. 2009</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{"citationID":"ObFPQlDF","properties":{"formattedCitation":"\\super 23\\nosupersub{}","plainCitation":"23","noteIndex":0},"citationItems":[{"id":1447,"uris":["http://zotero.org/users/local/26vZAHNZ/items/TVZYKNX9"],"itemData":{"id":1447,"type":"article-journal","abstract":"BACKGROUND: Total joint replacements are interventions with large waiting times from indication to the surgery management. These patients can be managed in two ways; first-in first-out or through a priority tool. The aim of this study was to compare real time on waiting list (TWL) with a priority criteria score, developed by our team, in patients awaiting joint replacement due to osteoarthritis.\nMETHODS: Consecutive patients placed on waiting list were eligible. Patients fulfilled a questionnaire which included items of our priority tool and the Western Ontario and McMaster Universities Osteoarthritis Index (WOMAC) specific questionnaire. Other priority items were extracted from the clinical history. The priority tool gives a score from 0 to 100 points, and three categories (urgent, preferent and ordinary). We studied the differences among categories and TWL by means of one-way analysis of variance. Correlational analysis was used to evaluate association among priority score and TWL and WOMAC baseline and gains at 6 months with priority score and TWL.\nRESULTS: We have studied 684 patients. Women represented 62% of sample. The mean age was 70 years. There were not association between the categories of priority score and TWL (P = 0.12). The rho correlation coefficient between TWL and priority score was -0.11. Among baseline WOMAC scores and priority score, the rho coefficients were 0.79, 0.7 and 0.52 with function, pain and stiffness dimensions, respectively. There were differences in the mean scores of WOMAC dimensions according to the three priority categories (P &lt; 0.001) but no with TWL categories. Data of gains in both health-related quality of life dimensions at 6 months were similar, with differences according to priority categories but no regarding TWL.\nCONCLUSIONS: The results of the study support the necessity of implementing a prioritization system instead of the actual system if we want to manage the waiting list for joint replacement with clinical equity.","container-title":"Journal of Evaluation in Clinical Practice","DOI":"10.1111/j.1365-2753.2008.01056.x","ISSN":"1365-2753","issue":"4","journalAbbreviation":"J Eval Clin Pract","language":"eng","note":"PMID: 19674214","page":"595-601","source":"PubMed","title":"Waiting list management: priority criteria or first-in first-out? A case for total joint replacement","title-short":"Waiting list management","volume":"15","author":[{"family":"Escobar","given":"Antonio"},{"family":"Quintana","given":"José M."},{"family":"González","given":"Marta"},{"family":"Bilbao","given":"Amaia"},{"family":"Ibañez","given":"Berta"}],"issued":{"date-parts":[["2009",8]]}}}],"schema":"https://github.com/citation-style-language/schema/raw/master/csl-citation.json"}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23</w:t>
            </w:r>
            <w:r>
              <w:rPr>
                <w:rFonts w:ascii="Times New Roman" w:hAnsi="Times New Roman" w:cs="Times New Roman"/>
                <w:sz w:val="16"/>
                <w:szCs w:val="16"/>
              </w:rPr>
              <w:fldChar w:fldCharType="end"/>
            </w:r>
          </w:p>
        </w:tc>
        <w:tc>
          <w:tcPr>
            <w:tcW w:w="850" w:type="dxa"/>
            <w:tcBorders>
              <w:bottom w:val="single" w:sz="4" w:space="0" w:color="auto"/>
            </w:tcBorders>
            <w:shd w:val="clear" w:color="auto" w:fill="F4B083" w:themeFill="accent2" w:themeFillTint="99"/>
          </w:tcPr>
          <w:p w14:paraId="21D18361" w14:textId="0CF33D9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709" w:type="dxa"/>
            <w:tcBorders>
              <w:bottom w:val="single" w:sz="4" w:space="0" w:color="auto"/>
            </w:tcBorders>
            <w:shd w:val="clear" w:color="auto" w:fill="A8D08D" w:themeFill="accent6" w:themeFillTint="99"/>
          </w:tcPr>
          <w:p w14:paraId="7DA9EB2A" w14:textId="1A76F32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7AAF9CAC" w14:textId="1146399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3E1A5A69" w14:textId="2094628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FFD966" w:themeFill="accent4" w:themeFillTint="99"/>
          </w:tcPr>
          <w:p w14:paraId="0F79645C" w14:textId="0E8F19D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404" w:type="dxa"/>
            <w:shd w:val="clear" w:color="auto" w:fill="auto"/>
          </w:tcPr>
          <w:p w14:paraId="3F0BE13B" w14:textId="1216F35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405" w:type="dxa"/>
            <w:shd w:val="clear" w:color="auto" w:fill="auto"/>
          </w:tcPr>
          <w:p w14:paraId="112A4C4C" w14:textId="4A81AB3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721E3B89" w14:textId="726B56A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uto"/>
          </w:tcPr>
          <w:p w14:paraId="0CDEF062" w14:textId="0C1D23D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5" w:type="dxa"/>
            <w:shd w:val="clear" w:color="auto" w:fill="auto"/>
          </w:tcPr>
          <w:p w14:paraId="4EC06E83" w14:textId="5EF7683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FFD966" w:themeFill="accent4" w:themeFillTint="99"/>
          </w:tcPr>
          <w:p w14:paraId="3EDD4D20" w14:textId="4F4CE7F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4AE4ABE0" w14:textId="2E02F60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9" w:type="dxa"/>
            <w:shd w:val="clear" w:color="auto" w:fill="auto"/>
          </w:tcPr>
          <w:p w14:paraId="66E26038" w14:textId="5AB5427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4B083" w:themeFill="accent2" w:themeFillTint="99"/>
          </w:tcPr>
          <w:p w14:paraId="22C4D56D" w14:textId="216765D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auto"/>
          </w:tcPr>
          <w:p w14:paraId="743C8D83" w14:textId="31B2193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1" w:type="dxa"/>
            <w:shd w:val="clear" w:color="auto" w:fill="auto"/>
          </w:tcPr>
          <w:p w14:paraId="37E635C0" w14:textId="66407E5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08AC4DFB" w14:textId="77777777" w:rsidTr="00AD1FE5">
        <w:tc>
          <w:tcPr>
            <w:tcW w:w="1418" w:type="dxa"/>
            <w:tcBorders>
              <w:bottom w:val="single" w:sz="4" w:space="0" w:color="auto"/>
            </w:tcBorders>
          </w:tcPr>
          <w:p w14:paraId="15FC5057" w14:textId="56B5141A" w:rsidR="00B73B8C" w:rsidRPr="004A3B37" w:rsidRDefault="00B73B8C" w:rsidP="00B73B8C">
            <w:pPr>
              <w:rPr>
                <w:rFonts w:ascii="Times New Roman" w:hAnsi="Times New Roman" w:cs="Times New Roman"/>
                <w:sz w:val="16"/>
                <w:szCs w:val="16"/>
              </w:rPr>
            </w:pPr>
            <w:proofErr w:type="spellStart"/>
            <w:r w:rsidRPr="004A3B37">
              <w:rPr>
                <w:rFonts w:ascii="Times New Roman" w:hAnsi="Times New Roman" w:cs="Times New Roman"/>
                <w:sz w:val="16"/>
                <w:szCs w:val="16"/>
              </w:rPr>
              <w:t>Desmeules</w:t>
            </w:r>
            <w:proofErr w:type="spellEnd"/>
            <w:r w:rsidRPr="004A3B37">
              <w:rPr>
                <w:rFonts w:ascii="Times New Roman" w:hAnsi="Times New Roman" w:cs="Times New Roman"/>
                <w:sz w:val="16"/>
                <w:szCs w:val="16"/>
              </w:rPr>
              <w:t xml:space="preserve"> et al. 2010</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{"citationID":"1VDnbDlU","properties":{"formattedCitation":"\\super 24\\nosupersub{}","plainCitation":"24","noteIndex":0},"citationItems":[{"id":1449,"uris":["http://zotero.org/users/local/26vZAHNZ/items/BU2BZW5G"],"itemData":{"id":1449,"type":"article-journal","abstract":"OBJECTIVE: To examine the change in pain and function related to the knee scheduled for surgery, change in health-related quality of life (HRQoL) and change in contralateral knee pain during pre-surgery wait up until time of surgery.\nMETHODS: One hundred and fifty-three patients scheduled for knee replacement were recruited from three hospitals in Québec City, Canada, and followed until surgery. Pre-surgery wait, defined as the time between enrolment on the pre-surgery wait list and surgery, was considered in five categories (&lt; or =3, &gt;3-6, &gt;6-9, &gt;9-12 and &gt;12 months). Pain and functional limitations were measured with the Western Ontario and McMaster Osteoarthritis Index (WOMAC) and HRQoL was measured with the medical outcomes study 36-item short form health survey.\nRESULTS: Mean pre-surgery wait time was 183 (s.d. 121.9) days. Subjects having waited &gt;9-12 months showed significant deterioration of the WOMAC pain (-9.9; 95% CI -19.2, -0.54) and function (-11.1; 95% CI -18.7, -3.4) scores. On the HRQoL SF-36 physical functioning scale, a significant deterioration was seen in subjects having waited &gt;9-12 months (-11.3; 95% CI -18.4, -4.2) and &gt;12 months (-7.1; 95% CI -12.9, -1.3). On the contralateral knee WOMAC pain score, a significant deterioration was observed in subjects having waited &gt;6-9 months (-10.4; 95% CI -16.9, -3.9) and &gt;12 months (-10.7; 95% CI -19.7, -1.7).\nCONCLUSION: Pre-surgery wait time has a negative significant impact on pain, function and HRQoL at the time of surgery. The magnitude of deterioration seen in this study may be clinically important. The effects of this pre-surgery deterioration on post-surgery outcomes need to be investigated.","container-title":"Rheumatology (Oxford, England)","DOI":"10.1093/rheumatology/kep469","ISSN":"1462-0332","issue":"5","journalAbbreviation":"Rheumatology (Oxford)","language":"eng","note":"PMID: 20144931","page":"945-954","source":"PubMed","title":"The burden of wait for knee replacement surgery: effects on pain, function and health-related quality of life at the time of surgery","title-short":"The burden of wait for knee replacement surgery","volume":"49","author":[{"family":"Desmeules","given":"François"},{"family":"Dionne","given":"Clermont E."},{"family":"Belzile","given":"Etienne"},{"family":"Bourbonnais","given":"Renée"},{"family":"Frémont","given":"Pierre"}],"issued":{"date-parts":[["2010",5]]}}}],"schema":"https://github.com/citation-style-language/schema/raw/master/csl-citation.json"}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24</w:t>
            </w:r>
            <w:r>
              <w:rPr>
                <w:rFonts w:ascii="Times New Roman" w:hAnsi="Times New Roman" w:cs="Times New Roman"/>
                <w:sz w:val="16"/>
                <w:szCs w:val="16"/>
              </w:rPr>
              <w:fldChar w:fldCharType="end"/>
            </w:r>
          </w:p>
        </w:tc>
        <w:tc>
          <w:tcPr>
            <w:tcW w:w="850" w:type="dxa"/>
            <w:tcBorders>
              <w:bottom w:val="single" w:sz="4" w:space="0" w:color="auto"/>
            </w:tcBorders>
            <w:shd w:val="clear" w:color="auto" w:fill="FFD966" w:themeFill="accent4" w:themeFillTint="99"/>
          </w:tcPr>
          <w:p w14:paraId="0BA2E224" w14:textId="45F4997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tcBorders>
              <w:bottom w:val="single" w:sz="4" w:space="0" w:color="auto"/>
            </w:tcBorders>
            <w:shd w:val="clear" w:color="auto" w:fill="A8D08D" w:themeFill="accent6" w:themeFillTint="99"/>
          </w:tcPr>
          <w:p w14:paraId="02CA2BF7" w14:textId="53B12D8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21054EA4" w14:textId="4F2D253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63A6ADFD" w14:textId="2C53D5C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F4B083" w:themeFill="accent2" w:themeFillTint="99"/>
          </w:tcPr>
          <w:p w14:paraId="66A72673" w14:textId="22DF9C8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404" w:type="dxa"/>
            <w:shd w:val="clear" w:color="auto" w:fill="F4B083" w:themeFill="accent2" w:themeFillTint="99"/>
          </w:tcPr>
          <w:p w14:paraId="357B0722" w14:textId="1BBB4A22"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405" w:type="dxa"/>
            <w:shd w:val="clear" w:color="auto" w:fill="auto"/>
          </w:tcPr>
          <w:p w14:paraId="01ED9DCD" w14:textId="6B93138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000497F0" w14:textId="1AE7E1E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8D08D" w:themeFill="accent6" w:themeFillTint="99"/>
          </w:tcPr>
          <w:p w14:paraId="4B4582E4" w14:textId="56BC005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5" w:type="dxa"/>
            <w:shd w:val="clear" w:color="auto" w:fill="auto"/>
          </w:tcPr>
          <w:p w14:paraId="4A1FD87E" w14:textId="54656DC7"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A8D08D" w:themeFill="accent6" w:themeFillTint="99"/>
          </w:tcPr>
          <w:p w14:paraId="09CBD55D" w14:textId="546B1FC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709" w:type="dxa"/>
            <w:shd w:val="clear" w:color="auto" w:fill="A8D08D" w:themeFill="accent6" w:themeFillTint="99"/>
          </w:tcPr>
          <w:p w14:paraId="6BC51365" w14:textId="62B7C6B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709" w:type="dxa"/>
            <w:shd w:val="clear" w:color="auto" w:fill="auto"/>
          </w:tcPr>
          <w:p w14:paraId="1DCAF1DF" w14:textId="76C3048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4B083" w:themeFill="accent2" w:themeFillTint="99"/>
          </w:tcPr>
          <w:p w14:paraId="5E8F5E6E" w14:textId="16BA830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F4B083" w:themeFill="accent2" w:themeFillTint="99"/>
          </w:tcPr>
          <w:p w14:paraId="3D267E6C" w14:textId="18A5277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auto"/>
          </w:tcPr>
          <w:p w14:paraId="320BC5B4" w14:textId="533B97B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3FFBB209" w14:textId="77777777" w:rsidTr="00AD1FE5">
        <w:tc>
          <w:tcPr>
            <w:tcW w:w="1418" w:type="dxa"/>
            <w:tcBorders>
              <w:bottom w:val="single" w:sz="4" w:space="0" w:color="auto"/>
            </w:tcBorders>
          </w:tcPr>
          <w:p w14:paraId="110607B9" w14:textId="19BA6428" w:rsidR="00B73B8C" w:rsidRPr="004A3B37" w:rsidRDefault="00B73B8C" w:rsidP="00B73B8C">
            <w:pPr>
              <w:rPr>
                <w:rFonts w:ascii="Times New Roman" w:hAnsi="Times New Roman" w:cs="Times New Roman"/>
                <w:sz w:val="16"/>
                <w:szCs w:val="16"/>
              </w:rPr>
            </w:pPr>
            <w:proofErr w:type="spellStart"/>
            <w:r w:rsidRPr="004A3B37">
              <w:rPr>
                <w:rFonts w:ascii="Times New Roman" w:hAnsi="Times New Roman" w:cs="Times New Roman"/>
                <w:sz w:val="16"/>
                <w:szCs w:val="16"/>
              </w:rPr>
              <w:t>Desmeules</w:t>
            </w:r>
            <w:proofErr w:type="spellEnd"/>
            <w:r w:rsidRPr="004A3B37">
              <w:rPr>
                <w:rFonts w:ascii="Times New Roman" w:hAnsi="Times New Roman" w:cs="Times New Roman"/>
                <w:sz w:val="16"/>
                <w:szCs w:val="16"/>
              </w:rPr>
              <w:t xml:space="preserve"> et al. 2012</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{"citationID":"q6XkPdT2","properties":{"formattedCitation":"\\super 25\\nosupersub{}","plainCitation":"25","noteIndex":0},"citationItems":[{"id":1452,"uris":["http://zotero.org/users/local/26vZAHNZ/items/B7SC9SFH"],"itemData":{"id":1452,"type":"article-journal","abstract":"OBJECTIVE: The purpose of the current study was to assess, in patients scheduled for primary total knee replacement (TKR), the effects of pre-surgery waiting time on pain and functional limitations related to the knee joint undergoing surgery, on health-related quality of life (HRQoL) and on contralateral knee pain 6 months after surgery.\nMETHOD: A total of 141 patients scheduled for TKR were recruited from three hospitals in Quebec City, Canada, and followed up until 6 months after surgery. Pre-surgery wait, defined as the time between enrolment on the pre-surgery waiting list and surgery, was considered in four categories (≤3, &gt;3-6, &gt;6-9, &gt;9 months). Pain and functional limitations were measured with the Western Ontario and McMaster Osteoarthritis Index (WOMAC). HRQoL was measured with the SF-36.\nRESULTS: Mean pre-surgery waiting time was 184 (SD: 120.8) days. Six months after TKR, a significant difference was seen between the four groups of pre-surgery wait in terms of HRQoL SF-36 role physical [F(3, 136) = 2.74, P = 0.046] and contralateral knee WOMAC pain [F(3, 136) = 5.78, P = 0.0009] scores. Participants with the longest pre-surgery wait (&gt;9 months) showed the worst scores 6 months after TKR.\nCONCLUSIONS: Longer pre-surgery waiting time had a negative clinically important impact on HRQoL and contralateral knee pain 6 months after surgery.","container-title":"Journal of Evaluation in Clinical Practice","DOI":"10.1111/j.1365-2753.2010.01541.x","ISSN":"1365-2753","issue":"1","journalAbbreviation":"J Eval Clin Pract","language":"eng","note":"PMID: 21040250","page":"111-120","source":"PubMed","title":"The impacts of pre-surgery wait for total knee replacement on pain, function and health-related quality of life six months after surgery","volume":"18","author":[{"family":"Desmeules","given":"François"},{"family":"Dionne","given":"Clermont E."},{"family":"Belzile","given":"Étienne L."},{"family":"Bourbonnais","given":"Renée"},{"family":"Frémont","given":"Pierre"}],"issued":{"date-parts":[["2012",2]]}}}],"schema":"https://github.com/citation-style-language/schema/raw/master/csl-citation.json"}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25</w:t>
            </w:r>
            <w:r>
              <w:rPr>
                <w:rFonts w:ascii="Times New Roman" w:hAnsi="Times New Roman" w:cs="Times New Roman"/>
                <w:sz w:val="16"/>
                <w:szCs w:val="16"/>
              </w:rPr>
              <w:fldChar w:fldCharType="end"/>
            </w:r>
          </w:p>
        </w:tc>
        <w:tc>
          <w:tcPr>
            <w:tcW w:w="850" w:type="dxa"/>
            <w:tcBorders>
              <w:bottom w:val="single" w:sz="4" w:space="0" w:color="auto"/>
            </w:tcBorders>
            <w:shd w:val="clear" w:color="auto" w:fill="FFD966" w:themeFill="accent4" w:themeFillTint="99"/>
          </w:tcPr>
          <w:p w14:paraId="2F6306AB" w14:textId="28C2E45A"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tcBorders>
              <w:bottom w:val="single" w:sz="4" w:space="0" w:color="auto"/>
            </w:tcBorders>
            <w:shd w:val="clear" w:color="auto" w:fill="A8D08D" w:themeFill="accent6" w:themeFillTint="99"/>
          </w:tcPr>
          <w:p w14:paraId="0503AC63" w14:textId="62493AF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78F8F268" w14:textId="2E692F8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01787293" w14:textId="4196BB4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F4B083" w:themeFill="accent2" w:themeFillTint="99"/>
          </w:tcPr>
          <w:p w14:paraId="41B60B4E" w14:textId="7783F8A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404" w:type="dxa"/>
            <w:shd w:val="clear" w:color="auto" w:fill="F4B083" w:themeFill="accent2" w:themeFillTint="99"/>
          </w:tcPr>
          <w:p w14:paraId="7FDC92B8" w14:textId="57F6551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405" w:type="dxa"/>
            <w:shd w:val="clear" w:color="auto" w:fill="auto"/>
          </w:tcPr>
          <w:p w14:paraId="6B86FF26" w14:textId="04622AF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0DECD1D7" w14:textId="4CD1BBA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8D08D" w:themeFill="accent6" w:themeFillTint="99"/>
          </w:tcPr>
          <w:p w14:paraId="513AE8D7" w14:textId="2D9ECE9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5" w:type="dxa"/>
            <w:shd w:val="clear" w:color="auto" w:fill="auto"/>
          </w:tcPr>
          <w:p w14:paraId="3006DA83" w14:textId="523151C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A8D08D" w:themeFill="accent6" w:themeFillTint="99"/>
          </w:tcPr>
          <w:p w14:paraId="30D899A5" w14:textId="2CAE1E1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709" w:type="dxa"/>
            <w:shd w:val="clear" w:color="auto" w:fill="A8D08D" w:themeFill="accent6" w:themeFillTint="99"/>
          </w:tcPr>
          <w:p w14:paraId="008B2051" w14:textId="6F90E4E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709" w:type="dxa"/>
            <w:shd w:val="clear" w:color="auto" w:fill="auto"/>
          </w:tcPr>
          <w:p w14:paraId="18E9EC23" w14:textId="3291853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F4B083" w:themeFill="accent2" w:themeFillTint="99"/>
          </w:tcPr>
          <w:p w14:paraId="714BC0E4" w14:textId="0C419DE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F4B083" w:themeFill="accent2" w:themeFillTint="99"/>
          </w:tcPr>
          <w:p w14:paraId="0233F18E" w14:textId="5D206BF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3</w:t>
            </w:r>
          </w:p>
        </w:tc>
        <w:tc>
          <w:tcPr>
            <w:tcW w:w="851" w:type="dxa"/>
            <w:shd w:val="clear" w:color="auto" w:fill="auto"/>
          </w:tcPr>
          <w:p w14:paraId="03E33F2F" w14:textId="30370AB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72EC2C44" w14:textId="77777777" w:rsidTr="00AD1FE5">
        <w:tc>
          <w:tcPr>
            <w:tcW w:w="1418" w:type="dxa"/>
            <w:tcBorders>
              <w:bottom w:val="single" w:sz="4" w:space="0" w:color="auto"/>
            </w:tcBorders>
          </w:tcPr>
          <w:p w14:paraId="6BB3B5C6" w14:textId="69DB98CF" w:rsidR="00B73B8C" w:rsidRPr="004A3B37" w:rsidRDefault="00B73B8C" w:rsidP="00B73B8C">
            <w:pPr>
              <w:rPr>
                <w:rFonts w:ascii="Times New Roman" w:hAnsi="Times New Roman" w:cs="Times New Roman"/>
                <w:sz w:val="16"/>
                <w:szCs w:val="16"/>
              </w:rPr>
            </w:pPr>
            <w:proofErr w:type="spellStart"/>
            <w:r w:rsidRPr="004A3B37">
              <w:rPr>
                <w:rFonts w:ascii="Times New Roman" w:hAnsi="Times New Roman" w:cs="Times New Roman"/>
                <w:sz w:val="16"/>
                <w:szCs w:val="16"/>
              </w:rPr>
              <w:t>Nikolova</w:t>
            </w:r>
            <w:proofErr w:type="spellEnd"/>
            <w:r w:rsidRPr="004A3B37">
              <w:rPr>
                <w:rFonts w:ascii="Times New Roman" w:hAnsi="Times New Roman" w:cs="Times New Roman"/>
                <w:sz w:val="16"/>
                <w:szCs w:val="16"/>
              </w:rPr>
              <w:t xml:space="preserve"> et al. 2016</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{"citationID":"oBQnE68o","properties":{"formattedCitation":"\\super 26\\nosupersub{}","plainCitation":"26","noteIndex":0},"citationItems":[{"id":1456,"uris":["http://zotero.org/users/local/26vZAHNZ/items/6F2TCI95"],"itemData":{"id":1456,"type":"article-journal","abstract":"Reducing waiting times has been a major focus of the English National Health Service for many years, but little is known about the impact on health outcomes. The collection of data on patient-reported outcome measures for all patients undergoing four large-volume procedures facilitates analysis of the impact of waiting times on patient outcomes. The availability of patient-reported outcome measures before and after surgery allows us to estimate the impact of waiting times on the effectiveness of treatment, controlling for pre-surgery health and the endogeneity of waiting times caused by prioritisation with respect to pre-intervention health. We find that waiting time has a negative and statistically significant impact on the health gain from hip and knee replacement surgery and no impact on the effectiveness of varicose vein and hernia surgery. The magnitude of this effect at patient level is small, 0.1% of the outcome measure range for each additional week of waiting. However, the value of this effect is substantially larger than existing estimates of the disutility experienced during the waiting period. The health losses associated with an additional week of waiting for annual populations of hip and knee replacement patients are worth £11.1m and £11.5m, respectively. Copyright © 2015 John Wiley &amp; Sons, Ltd.","container-title":"Health Economics","DOI":"10.1002/hec.3195","ISSN":"1099-1050","issue":"8","journalAbbreviation":"Health Econ","language":"eng","note":"PMID: 26013773","page":"955-968","source":"PubMed","title":"The Impact of Waiting Time on Health Gains from Surgery: Evidence from a National Patient-reported Outcome Dataset","title-short":"The Impact of Waiting Time on Health Gains from Surgery","volume":"25","author":[{"family":"Nikolova","given":"Silviya"},{"family":"Harrison","given":"Mark"},{"family":"Sutton","given":"Matt"}],"issued":{"date-parts":[["2016",8]]}}}],"schema":"https://github.com/citation-style-language/schema/raw/master/csl-citation.json"}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26</w:t>
            </w:r>
            <w:r>
              <w:rPr>
                <w:rFonts w:ascii="Times New Roman" w:hAnsi="Times New Roman" w:cs="Times New Roman"/>
                <w:sz w:val="16"/>
                <w:szCs w:val="16"/>
              </w:rPr>
              <w:fldChar w:fldCharType="end"/>
            </w:r>
          </w:p>
        </w:tc>
        <w:tc>
          <w:tcPr>
            <w:tcW w:w="850" w:type="dxa"/>
            <w:tcBorders>
              <w:bottom w:val="single" w:sz="4" w:space="0" w:color="auto"/>
            </w:tcBorders>
            <w:shd w:val="clear" w:color="auto" w:fill="FFD966" w:themeFill="accent4" w:themeFillTint="99"/>
          </w:tcPr>
          <w:p w14:paraId="68516E2E" w14:textId="591E664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tcBorders>
              <w:bottom w:val="single" w:sz="4" w:space="0" w:color="auto"/>
            </w:tcBorders>
            <w:shd w:val="clear" w:color="auto" w:fill="A8D08D" w:themeFill="accent6" w:themeFillTint="99"/>
          </w:tcPr>
          <w:p w14:paraId="16FCC14A" w14:textId="3C1854EA" w:rsidR="00B73B8C" w:rsidRPr="004A3B37" w:rsidRDefault="00B73B8C" w:rsidP="00B73B8C">
            <w:pPr>
              <w:rPr>
                <w:rFonts w:ascii="Times New Roman" w:hAnsi="Times New Roman" w:cs="Times New Roman"/>
                <w:color w:val="A8D08D" w:themeColor="accent6" w:themeTint="99"/>
                <w:sz w:val="16"/>
                <w:szCs w:val="16"/>
              </w:rPr>
            </w:pPr>
            <w:r w:rsidRPr="004A3B37">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799000E8" w14:textId="2C10F06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tcBorders>
              <w:bottom w:val="single" w:sz="4" w:space="0" w:color="auto"/>
            </w:tcBorders>
            <w:shd w:val="clear" w:color="auto" w:fill="auto"/>
          </w:tcPr>
          <w:p w14:paraId="247FB9FF" w14:textId="371FD10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A8D08D" w:themeFill="accent6" w:themeFillTint="99"/>
          </w:tcPr>
          <w:p w14:paraId="7A234653" w14:textId="1CE7C95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4" w:type="dxa"/>
            <w:shd w:val="clear" w:color="auto" w:fill="A8D08D" w:themeFill="accent6" w:themeFillTint="99"/>
          </w:tcPr>
          <w:p w14:paraId="364DE09A" w14:textId="3ED466B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5" w:type="dxa"/>
            <w:shd w:val="clear" w:color="auto" w:fill="auto"/>
          </w:tcPr>
          <w:p w14:paraId="4064D811" w14:textId="451733A6"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15630144" w14:textId="2519992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8D08D" w:themeFill="accent6" w:themeFillTint="99"/>
          </w:tcPr>
          <w:p w14:paraId="123451D1" w14:textId="3D7A37C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5" w:type="dxa"/>
            <w:shd w:val="clear" w:color="auto" w:fill="auto"/>
          </w:tcPr>
          <w:p w14:paraId="5D5C83B7" w14:textId="491BC52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A8D08D" w:themeFill="accent6" w:themeFillTint="99"/>
          </w:tcPr>
          <w:p w14:paraId="2C13B83B" w14:textId="2EC4E5D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709" w:type="dxa"/>
            <w:shd w:val="clear" w:color="auto" w:fill="A8D08D" w:themeFill="accent6" w:themeFillTint="99"/>
          </w:tcPr>
          <w:p w14:paraId="0B8F847B" w14:textId="6264518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709" w:type="dxa"/>
            <w:shd w:val="clear" w:color="auto" w:fill="auto"/>
          </w:tcPr>
          <w:p w14:paraId="4CD78CFD" w14:textId="13B03E43"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A8D08D" w:themeFill="accent6" w:themeFillTint="99"/>
          </w:tcPr>
          <w:p w14:paraId="7410B8CB" w14:textId="4C53722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851" w:type="dxa"/>
            <w:shd w:val="clear" w:color="auto" w:fill="A8D08D" w:themeFill="accent6" w:themeFillTint="99"/>
          </w:tcPr>
          <w:p w14:paraId="408E4632" w14:textId="6DAB9A3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851" w:type="dxa"/>
            <w:shd w:val="clear" w:color="auto" w:fill="auto"/>
          </w:tcPr>
          <w:p w14:paraId="2588247A" w14:textId="4AA3B94B"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r>
      <w:tr w:rsidR="00B73B8C" w:rsidRPr="004A3B37" w14:paraId="60F0B83D" w14:textId="77777777" w:rsidTr="00AD1FE5">
        <w:tc>
          <w:tcPr>
            <w:tcW w:w="1418" w:type="dxa"/>
          </w:tcPr>
          <w:p w14:paraId="08CC75DC" w14:textId="01F80D2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Clement et al. 2021</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{"citationID":"G53zL4ef","properties":{"formattedCitation":"\\super 27\\nosupersub{}","plainCitation":"27","noteIndex":0},"citationItems":[{"id":1470,"uris":["http://zotero.org/users/local/26vZAHNZ/items/C3SZU7TL"],"itemData":{"id":1470,"type":"article-journal","abstract":"Aims\n\nThe aim of this study was to assess the quality of life of patients on the waiting list for a total hip (THA) or knee arthroplasty (KA) during the COVID-19 pandemic. Secondary aims were to assess whether length of time on the waiting list influenced quality of life and rate of deferral of surgery.\n\nMethods\n\nDuring the study period (August and September 2020) 843 patients (THA n = 394, KA n = 449) from ten centres in the UK reported their EuroQol five dimension (EQ-5D) scores and completed a waiting list questionnaire (2020 group). Patient demographic details, procedure, and date when listed were recorded. Patients scoring less than zero for their EQ-5D score were defined to be in a health state “worse than death” (WTD). Data from a retrospective cohort (January 2014 to September 2017) were used as the control group.\n\nResults\n\nThe 2020 group had a significantly worse EQ-5D score compared to the control group for both THA (p &lt; 0.001) and KA (p &lt; 0.001). Over one-third (35.0%, n = 138/394) of patients waiting for a THA and nearly a quarter (22.3%, n = 100/449) for KA were in a health state WTD, which was significantly greater than the control group (odds ratio 2.30 (95% confidence interval (CI) 1.83 to 2.93) and 2.08 (95% CI 1.61 to 2.70), respectively; p &lt; 0.001). Over 80% (n = 680/843) of the 2020 group felt that their quality of life had deteriorated while waiting. Each additional month spent on the waiting list was independently associated with a decrease in quality of life (EQ-5D: -0.0135, p = 0.004). There were 117 (13.9%) patients who wished to defer their surgery and the main reason for this was health concerns for themselves and or their family (99.1%, n = 116/117).\n\nConclusion\n\nOver one-third of patients waiting for THA and nearly one-quarter waiting for a KA were in a state WTD, which was approaching double that observed prior to the pandemic. Increasing length of time on the waiting list was associated with decreasing quality of life.\n\nLevel of evidence: Level III retrospective case control study\n\nCite this article: Bone Joint J 2021;103-B(4):672–680.","container-title":"The Bone &amp; Joint Journal","DOI":"10.1302/0301-620X.103B.BJJ-2021-0104.R1","ISSN":"2049-4394","issue":"4","note":"publisher: The British Editorial Society of Bone &amp; Joint Surgery","page":"672-680","source":"online.boneandjoint.org.uk (Atypon)","title":"The number of patients “worse than death” while waiting for a hip or knee arthroplasty has nearly doubled during the COVID-19 pandemic","volume":"103-B","author":[{"family":"Clement","given":"Nick D."},{"family":"Scott","given":"Chloe E. H."},{"family":"Murray","given":"James R. D."},{"family":"Howie","given":"Colin R."},{"family":"Deehan","given":"David J."}],"issued":{"date-parts":[["2021",4]]}}}],"schema":"https://github.com/citation-style-language/schema/raw/master/csl-citation.json"}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27</w:t>
            </w:r>
            <w:r>
              <w:rPr>
                <w:rFonts w:ascii="Times New Roman" w:hAnsi="Times New Roman" w:cs="Times New Roman"/>
                <w:sz w:val="16"/>
                <w:szCs w:val="16"/>
              </w:rPr>
              <w:fldChar w:fldCharType="end"/>
            </w:r>
          </w:p>
        </w:tc>
        <w:tc>
          <w:tcPr>
            <w:tcW w:w="850" w:type="dxa"/>
            <w:shd w:val="clear" w:color="auto" w:fill="A8D08D" w:themeFill="accent6" w:themeFillTint="99"/>
          </w:tcPr>
          <w:p w14:paraId="26D2310C" w14:textId="653CFCE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709" w:type="dxa"/>
            <w:shd w:val="clear" w:color="auto" w:fill="A8D08D" w:themeFill="accent6" w:themeFillTint="99"/>
          </w:tcPr>
          <w:p w14:paraId="68B04EB5" w14:textId="39A6182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92" w:type="dxa"/>
            <w:shd w:val="clear" w:color="auto" w:fill="A8D08D" w:themeFill="accent6" w:themeFillTint="99"/>
          </w:tcPr>
          <w:p w14:paraId="4EC85C2E" w14:textId="5F71078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shd w:val="clear" w:color="auto" w:fill="auto"/>
          </w:tcPr>
          <w:p w14:paraId="77853629" w14:textId="625C145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auto"/>
          </w:tcPr>
          <w:p w14:paraId="7D85E60E" w14:textId="03239C9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404" w:type="dxa"/>
            <w:shd w:val="clear" w:color="auto" w:fill="A8D08D" w:themeFill="accent6" w:themeFillTint="99"/>
          </w:tcPr>
          <w:p w14:paraId="14D7A9FD" w14:textId="33C2B520"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5" w:type="dxa"/>
            <w:shd w:val="clear" w:color="auto" w:fill="A8D08D" w:themeFill="accent6" w:themeFillTint="99"/>
          </w:tcPr>
          <w:p w14:paraId="4FE0EA57" w14:textId="2625530E" w:rsidR="00B73B8C" w:rsidRPr="004A3B37" w:rsidRDefault="00B73B8C" w:rsidP="00B73B8C">
            <w:pPr>
              <w:rPr>
                <w:rFonts w:ascii="Times New Roman" w:hAnsi="Times New Roman" w:cs="Times New Roman"/>
                <w:sz w:val="16"/>
                <w:szCs w:val="16"/>
              </w:rPr>
            </w:pPr>
            <w:r>
              <w:rPr>
                <w:rFonts w:ascii="Times New Roman" w:hAnsi="Times New Roman" w:cs="Times New Roman"/>
                <w:sz w:val="16"/>
                <w:szCs w:val="16"/>
              </w:rPr>
              <w:t>1</w:t>
            </w:r>
          </w:p>
        </w:tc>
        <w:tc>
          <w:tcPr>
            <w:tcW w:w="614" w:type="dxa"/>
            <w:shd w:val="clear" w:color="auto" w:fill="A8D08D" w:themeFill="accent6" w:themeFillTint="99"/>
          </w:tcPr>
          <w:p w14:paraId="58DD4199" w14:textId="6214C3E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8D08D" w:themeFill="accent6" w:themeFillTint="99"/>
          </w:tcPr>
          <w:p w14:paraId="3B2A6C84" w14:textId="3CB3BE21"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5" w:type="dxa"/>
            <w:shd w:val="clear" w:color="auto" w:fill="FFD966" w:themeFill="accent4" w:themeFillTint="99"/>
          </w:tcPr>
          <w:p w14:paraId="2489CDDD" w14:textId="4967D617" w:rsidR="00B73B8C" w:rsidRPr="004A3B37" w:rsidRDefault="00B73B8C" w:rsidP="00B73B8C">
            <w:pPr>
              <w:rPr>
                <w:rFonts w:ascii="Times New Roman" w:hAnsi="Times New Roman" w:cs="Times New Roman"/>
                <w:sz w:val="16"/>
                <w:szCs w:val="16"/>
              </w:rPr>
            </w:pPr>
            <w:r>
              <w:rPr>
                <w:rFonts w:ascii="Times New Roman" w:hAnsi="Times New Roman" w:cs="Times New Roman"/>
                <w:sz w:val="16"/>
                <w:szCs w:val="16"/>
              </w:rPr>
              <w:t>N/I</w:t>
            </w:r>
          </w:p>
        </w:tc>
        <w:tc>
          <w:tcPr>
            <w:tcW w:w="708" w:type="dxa"/>
            <w:shd w:val="clear" w:color="auto" w:fill="auto"/>
          </w:tcPr>
          <w:p w14:paraId="0D6BA77A" w14:textId="52B25D9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9" w:type="dxa"/>
            <w:shd w:val="clear" w:color="auto" w:fill="A8D08D" w:themeFill="accent6" w:themeFillTint="99"/>
          </w:tcPr>
          <w:p w14:paraId="7604B208" w14:textId="44230EC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709" w:type="dxa"/>
            <w:shd w:val="clear" w:color="auto" w:fill="A8D08D" w:themeFill="accent6" w:themeFillTint="99"/>
          </w:tcPr>
          <w:p w14:paraId="3F6EDC00" w14:textId="6B515B6A" w:rsidR="00B73B8C" w:rsidRPr="004A3B37" w:rsidRDefault="00B73B8C" w:rsidP="00B73B8C">
            <w:pPr>
              <w:rPr>
                <w:rFonts w:ascii="Times New Roman" w:hAnsi="Times New Roman" w:cs="Times New Roman"/>
                <w:sz w:val="16"/>
                <w:szCs w:val="16"/>
              </w:rPr>
            </w:pPr>
            <w:r>
              <w:rPr>
                <w:rFonts w:ascii="Times New Roman" w:hAnsi="Times New Roman" w:cs="Times New Roman"/>
                <w:sz w:val="16"/>
                <w:szCs w:val="16"/>
              </w:rPr>
              <w:t>1</w:t>
            </w:r>
          </w:p>
        </w:tc>
        <w:tc>
          <w:tcPr>
            <w:tcW w:w="850" w:type="dxa"/>
            <w:shd w:val="clear" w:color="auto" w:fill="auto"/>
          </w:tcPr>
          <w:p w14:paraId="20C12393" w14:textId="384EDD5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1" w:type="dxa"/>
            <w:shd w:val="clear" w:color="auto" w:fill="A8D08D" w:themeFill="accent6" w:themeFillTint="99"/>
          </w:tcPr>
          <w:p w14:paraId="2C7E7D1E" w14:textId="5FCE43E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851" w:type="dxa"/>
            <w:shd w:val="clear" w:color="auto" w:fill="FFD966" w:themeFill="accent4" w:themeFillTint="99"/>
          </w:tcPr>
          <w:p w14:paraId="09F396E6" w14:textId="06085AC6" w:rsidR="00B73B8C" w:rsidRPr="004A3B37" w:rsidRDefault="00B73B8C" w:rsidP="00B73B8C">
            <w:pPr>
              <w:rPr>
                <w:rFonts w:ascii="Times New Roman" w:hAnsi="Times New Roman" w:cs="Times New Roman"/>
                <w:sz w:val="16"/>
                <w:szCs w:val="16"/>
              </w:rPr>
            </w:pPr>
            <w:r>
              <w:rPr>
                <w:rFonts w:ascii="Times New Roman" w:hAnsi="Times New Roman" w:cs="Times New Roman"/>
                <w:sz w:val="16"/>
                <w:szCs w:val="16"/>
              </w:rPr>
              <w:t>2</w:t>
            </w:r>
          </w:p>
        </w:tc>
      </w:tr>
      <w:tr w:rsidR="00AD1FE5" w:rsidRPr="004A3B37" w14:paraId="24666E97" w14:textId="77777777" w:rsidTr="006A2C17">
        <w:tc>
          <w:tcPr>
            <w:tcW w:w="1418" w:type="dxa"/>
          </w:tcPr>
          <w:p w14:paraId="0A02558F" w14:textId="48E6FB3C" w:rsidR="00B73B8C" w:rsidRPr="004A3B37" w:rsidRDefault="00B73B8C" w:rsidP="00B73B8C">
            <w:pPr>
              <w:rPr>
                <w:rFonts w:ascii="Times New Roman" w:hAnsi="Times New Roman" w:cs="Times New Roman"/>
                <w:sz w:val="16"/>
                <w:szCs w:val="16"/>
              </w:rPr>
            </w:pPr>
            <w:r>
              <w:rPr>
                <w:rFonts w:ascii="Times New Roman" w:hAnsi="Times New Roman" w:cs="Times New Roman"/>
                <w:sz w:val="16"/>
                <w:szCs w:val="16"/>
              </w:rPr>
              <w:t>Farrow</w:t>
            </w:r>
            <w:r w:rsidRPr="004A3B37">
              <w:rPr>
                <w:rFonts w:ascii="Times New Roman" w:hAnsi="Times New Roman" w:cs="Times New Roman"/>
                <w:sz w:val="16"/>
                <w:szCs w:val="16"/>
              </w:rPr>
              <w:t xml:space="preserve"> et al. 2021</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{"citationID":"6ICNTUl0","properties":{"formattedCitation":"\\super 28\\nosupersub{}","plainCitation":"28","noteIndex":0},"citationItems":[{"id":1458,"uris":["http://zotero.org/users/local/26vZAHNZ/items/S5ZNVDDF"],"itemData":{"id":1458,"type":"article-journal","abstract":"Background COVID-19 has had a detrimental impact on access to hip and knee arthroplasty surgery. We set out to examine whether this had a subsequent impact on preoperative opioid prescribing rates for those awaiting surgery.\nMethods Data regarding patient demographics and opioid utilisation were collected from the electronic health records of included patients at a large university teaching hospital. Patients on the outpatient waiting list for primary hip and knee arthroplasty as of September 2020 (COVID-19 group) were compared with historical controls (Controls) who had previously undergone surgery. A sample size calculation indicated 452 patients were required to detect a 15% difference in opioid prescription rates between groups.\nResults A total of 548 patients (58.2% female) were included, 260 in the COVID-19 group and 288 in the Controls. Baseline demographics were similar between the groups. For those with data available, the proportion of patients on any opioid at follow-up in the COVID-19 group was significantly higher: 55.0% (143/260) compared with 41.2% (112/272) in the Controls (p=0.002). This remained significant when adjusted for confounding (age, gender, Scottish Index of Multiple Deprivation, procedure and wait time). The proportion of patients on a strong opioid was similar (4.2% (11/260) vs 4.8% (13/272)) for COVID-19 and Controls, respectively. The median waiting time from referral to follow-up was significantly longer in the COVID-19 group compared with the Controls (455 days vs 365 days; p&lt;0.0001).\nConclusion The work provides evidence of potential for an emerging opioid problem associated with the influence of COVID-19 on elective arthroplasty services. Viable alternatives to opioid analgesia for those with end-stage arthritis should be explored, and prolonged waiting times for surgery ought to be avoided in the recovery from COVID-19 to prevent more widespread opioid use.","container-title":"BMJ Quality &amp; Safety","DOI":"10.1136/bmjqs-2021-013450","ISSN":"2044-5415, 2044-5423","journalAbbreviation":"BMJ Qual Saf","language":"en","license":"© Author(s) (or their employer(s)) 2021. No commercial re-use. See rights and permissions. Published by BMJ.. This article is made freely available for personal use in accordance with BMJ’s website terms and conditions for the duration of the covid-19 pandemic or until otherwise determined by BMJ. You may use, download and print the article for any lawful, non-commercial purpose (including text and data mining) provided that all copyright notices and trade marks are retained.https://bmj.com/coronavirus/usage","note":"publisher: BMJ Publishing Group Ltd\nsection: Original research\nPMID: 34521769","source":"qualitysafety.bmj.com","title":"Impact of COVID-19 on opioid use in those awaiting hip and knee arthroplasty: a retrospective cohort study","title-short":"Impact of COVID-19 on opioid use in those awaiting hip and knee arthroplasty","URL":"https://qualitysafety.bmj.com/content/early/2022/06/30/bmjqs-2021-013450","author":[{"family":"Farrow","given":"Luke"},{"family":"Gardner","given":"William T."},{"family":"Tang","given":"Chee Chee"},{"family":"Low","given":"Rachel"},{"family":"Forget","given":"Patrice"},{"family":"Ashcroft","given":"George Patrick"}],"accessed":{"date-parts":[["2022",9,12]]},"issued":{"date-parts":[["2021",9,12]]}}}],"schema":"https://github.com/citation-style-language/schema/raw/master/csl-citation.json"}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28</w:t>
            </w:r>
            <w:r>
              <w:rPr>
                <w:rFonts w:ascii="Times New Roman" w:hAnsi="Times New Roman" w:cs="Times New Roman"/>
                <w:sz w:val="16"/>
                <w:szCs w:val="16"/>
              </w:rPr>
              <w:fldChar w:fldCharType="end"/>
            </w:r>
          </w:p>
        </w:tc>
        <w:tc>
          <w:tcPr>
            <w:tcW w:w="850" w:type="dxa"/>
            <w:shd w:val="clear" w:color="auto" w:fill="FFD966" w:themeFill="accent4" w:themeFillTint="99"/>
          </w:tcPr>
          <w:p w14:paraId="169910BD" w14:textId="778E9AAE"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FFD966" w:themeFill="accent4" w:themeFillTint="99"/>
          </w:tcPr>
          <w:p w14:paraId="0923E892" w14:textId="0336CF4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992" w:type="dxa"/>
            <w:shd w:val="clear" w:color="auto" w:fill="A8D08D" w:themeFill="accent6" w:themeFillTint="99"/>
          </w:tcPr>
          <w:p w14:paraId="419DEE93" w14:textId="32926CD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914" w:type="dxa"/>
            <w:shd w:val="clear" w:color="auto" w:fill="auto"/>
          </w:tcPr>
          <w:p w14:paraId="62D64675" w14:textId="5A6347B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N/A</w:t>
            </w:r>
          </w:p>
        </w:tc>
        <w:tc>
          <w:tcPr>
            <w:tcW w:w="404" w:type="dxa"/>
            <w:shd w:val="clear" w:color="auto" w:fill="A8D08D" w:themeFill="accent6" w:themeFillTint="99"/>
          </w:tcPr>
          <w:p w14:paraId="7E2D2B0B" w14:textId="083C31F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404" w:type="dxa"/>
            <w:shd w:val="clear" w:color="auto" w:fill="auto"/>
          </w:tcPr>
          <w:p w14:paraId="25D93265" w14:textId="61A6140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405" w:type="dxa"/>
            <w:shd w:val="clear" w:color="auto" w:fill="auto"/>
          </w:tcPr>
          <w:p w14:paraId="02B1CAB5" w14:textId="00EFFB35"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4" w:type="dxa"/>
            <w:shd w:val="clear" w:color="auto" w:fill="A8D08D" w:themeFill="accent6" w:themeFillTint="99"/>
          </w:tcPr>
          <w:p w14:paraId="75BBBF93" w14:textId="51AB8BB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1</w:t>
            </w:r>
          </w:p>
        </w:tc>
        <w:tc>
          <w:tcPr>
            <w:tcW w:w="614" w:type="dxa"/>
            <w:shd w:val="clear" w:color="auto" w:fill="auto"/>
          </w:tcPr>
          <w:p w14:paraId="3EB1546D" w14:textId="0CA28DE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615" w:type="dxa"/>
            <w:shd w:val="clear" w:color="auto" w:fill="auto"/>
          </w:tcPr>
          <w:p w14:paraId="6AB8167F" w14:textId="2F8D1788"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8" w:type="dxa"/>
            <w:shd w:val="clear" w:color="auto" w:fill="FFD966" w:themeFill="accent4" w:themeFillTint="99"/>
          </w:tcPr>
          <w:p w14:paraId="52A2F590" w14:textId="1FBE618C"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50B37692" w14:textId="347BA389"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709" w:type="dxa"/>
            <w:shd w:val="clear" w:color="auto" w:fill="auto"/>
          </w:tcPr>
          <w:p w14:paraId="502CE36F" w14:textId="2B2CF1DD"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0" w:type="dxa"/>
            <w:shd w:val="clear" w:color="auto" w:fill="auto"/>
          </w:tcPr>
          <w:p w14:paraId="4C2876DA" w14:textId="448F3684"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1" w:type="dxa"/>
            <w:shd w:val="clear" w:color="auto" w:fill="auto"/>
          </w:tcPr>
          <w:p w14:paraId="47645AA4" w14:textId="16001DFF" w:rsidR="00B73B8C" w:rsidRPr="004A3B37" w:rsidRDefault="00B73B8C" w:rsidP="00B73B8C">
            <w:pPr>
              <w:rPr>
                <w:rFonts w:ascii="Times New Roman" w:hAnsi="Times New Roman" w:cs="Times New Roman"/>
                <w:sz w:val="16"/>
                <w:szCs w:val="16"/>
              </w:rPr>
            </w:pPr>
            <w:r w:rsidRPr="004A3B37">
              <w:rPr>
                <w:rFonts w:ascii="Times New Roman" w:hAnsi="Times New Roman" w:cs="Times New Roman"/>
                <w:sz w:val="16"/>
                <w:szCs w:val="16"/>
              </w:rPr>
              <w:t>X</w:t>
            </w:r>
          </w:p>
        </w:tc>
        <w:tc>
          <w:tcPr>
            <w:tcW w:w="851" w:type="dxa"/>
            <w:shd w:val="clear" w:color="auto" w:fill="FFD966" w:themeFill="accent4" w:themeFillTint="99"/>
          </w:tcPr>
          <w:p w14:paraId="438A1C24" w14:textId="1FA0CE41" w:rsidR="00B73B8C" w:rsidRPr="004A3B37" w:rsidRDefault="006A2C17" w:rsidP="00B73B8C">
            <w:pPr>
              <w:rPr>
                <w:rFonts w:ascii="Times New Roman" w:hAnsi="Times New Roman" w:cs="Times New Roman"/>
                <w:sz w:val="16"/>
                <w:szCs w:val="16"/>
              </w:rPr>
            </w:pPr>
            <w:r>
              <w:rPr>
                <w:rFonts w:ascii="Times New Roman" w:hAnsi="Times New Roman" w:cs="Times New Roman"/>
                <w:sz w:val="16"/>
                <w:szCs w:val="16"/>
              </w:rPr>
              <w:t>2</w:t>
            </w:r>
          </w:p>
        </w:tc>
      </w:tr>
      <w:tr w:rsidR="006A2C17" w:rsidRPr="004A3B37" w14:paraId="407BDCA3" w14:textId="77777777" w:rsidTr="0025538F">
        <w:tc>
          <w:tcPr>
            <w:tcW w:w="1418" w:type="dxa"/>
          </w:tcPr>
          <w:p w14:paraId="66FD370B" w14:textId="0FA257E8" w:rsidR="006A2C17" w:rsidRDefault="006A2C17" w:rsidP="006A2C17">
            <w:pPr>
              <w:rPr>
                <w:rFonts w:ascii="Times New Roman" w:hAnsi="Times New Roman" w:cs="Times New Roman"/>
                <w:sz w:val="16"/>
                <w:szCs w:val="16"/>
              </w:rPr>
            </w:pPr>
            <w:r>
              <w:rPr>
                <w:rFonts w:ascii="Times New Roman" w:hAnsi="Times New Roman" w:cs="Times New Roman"/>
                <w:sz w:val="16"/>
                <w:szCs w:val="16"/>
              </w:rPr>
              <w:t>Holzapfel et al. 2022</w:t>
            </w:r>
            <w:r w:rsidR="007C7D84">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{"citationID":"OI7z7lJu","properties":{"formattedCitation":"\\super 29\\nosupersub{}","plainCitation":"29","noteIndex":0},"citationItems":[{"id":1785,"uris":["http://zotero.org/users/local/26vZAHNZ/items/ND67YDQ8"],"itemData":{"id":1785,"type":"article-journal","abstract":"Purpose\nDelay of elective surgeries, such as total joint replacement (TJR), is a common procedure in the current pandemic. In trauma surgery, postponement is associated with increased complication rates. This study aimed to evaluate the impact of postponement on surgical revision rates and postoperative complications after elective TJR.\n\nMethods\nIn a retrospective analysis of 10,140 consecutive patients undergoing primary total hip replacement (THR) or total knee replacement (TKR) between 2011 and 2020, the effect of surgical delay on 90-day surgical revision rate, as well as internal and surgical complication rates, was investigated in a university high-volume arthroplasty center using the institute’s joint registry and data of the hospital administration. Moreover, multivariate logistic regression models were used to adjust for confounding variables.\n\nResults\nTwo thousand four hundred and eighty TJRs patients were identified with a mean delay of 13.5 ± 29.6 days. Postponed TJR revealed a higher 90-day revision rate (7.1–4.5%, p &lt; 0.001), surgical complications (3.2–1.9%, p &lt; 0.001), internal complications (1.8–1.2% p &lt; 0.041) and transfusion rate (2.6–1.8%, p &lt; 0.023) than on-time TJR. Logistic regression analysis confirmed delay of TJRs as independent risk factor for 90-day revision rate [OR 1.42; 95% CI (1.18–1.72); p &lt; 0.001] and surgical complication rates [OR 1.51; 95% CI (1.14–2.00); p = 0.04].\n\nConclusion\nAlike trauma surgery, delay in elective primary TJR correlates with higher revision and complication rates. Therefore, scheduling should be performed under consideration of the current COVID-19 pandemic.\n\nLevel of evidence\nLevel III—retrospective cohort study.","container-title":"Archives of Orthopaedic and Trauma Surgery","DOI":"10.1007/s00402-022-04670-4","ISSN":"0936-8051","journalAbbreviation":"Arch Orthop Trauma Surg","note":"PMID: 36333532\nPMCID: PMC9638434","page":"1-8","source":"PubMed Central","title":"Delay of total joint replacement is associated with a higher 90-day revision rate and increased postoperative complications","author":[{"family":"Holzapfel","given":"Dominik Emanuel"},{"family":"Meyer","given":"Matthias"},{"family":"Thieme","given":"Max"},{"family":"Pagano","given":"Stefano"},{"family":"Kunow","given":"Frederik","non-dropping-particle":"von"},{"family":"Weber","given":"Markus"}],"issued":{"date-parts":[["2022",11,4]]}}}],"schema":"https://github.com/citation-style-language/schema/raw/master/csl-citation.json"} </w:instrText>
            </w:r>
            <w:r w:rsidR="007C7D84">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29</w:t>
            </w:r>
            <w:r w:rsidR="007C7D84">
              <w:rPr>
                <w:rFonts w:ascii="Times New Roman" w:hAnsi="Times New Roman" w:cs="Times New Roman"/>
                <w:sz w:val="16"/>
                <w:szCs w:val="16"/>
              </w:rPr>
              <w:fldChar w:fldCharType="end"/>
            </w:r>
          </w:p>
        </w:tc>
        <w:tc>
          <w:tcPr>
            <w:tcW w:w="850" w:type="dxa"/>
            <w:shd w:val="clear" w:color="auto" w:fill="A8D08D" w:themeFill="accent6" w:themeFillTint="99"/>
          </w:tcPr>
          <w:p w14:paraId="1B359B82" w14:textId="0E1DED74"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1</w:t>
            </w:r>
          </w:p>
        </w:tc>
        <w:tc>
          <w:tcPr>
            <w:tcW w:w="709" w:type="dxa"/>
            <w:shd w:val="clear" w:color="auto" w:fill="A8D08D" w:themeFill="accent6" w:themeFillTint="99"/>
          </w:tcPr>
          <w:p w14:paraId="729B7D06" w14:textId="6FCE26DF"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1</w:t>
            </w:r>
          </w:p>
        </w:tc>
        <w:tc>
          <w:tcPr>
            <w:tcW w:w="992" w:type="dxa"/>
            <w:shd w:val="clear" w:color="auto" w:fill="FFD966" w:themeFill="accent4" w:themeFillTint="99"/>
          </w:tcPr>
          <w:p w14:paraId="5218553A" w14:textId="18891E04"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2</w:t>
            </w:r>
          </w:p>
        </w:tc>
        <w:tc>
          <w:tcPr>
            <w:tcW w:w="914" w:type="dxa"/>
            <w:shd w:val="clear" w:color="auto" w:fill="auto"/>
          </w:tcPr>
          <w:p w14:paraId="0A8A6A44" w14:textId="448BF196"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N/A</w:t>
            </w:r>
          </w:p>
        </w:tc>
        <w:tc>
          <w:tcPr>
            <w:tcW w:w="404" w:type="dxa"/>
            <w:shd w:val="clear" w:color="auto" w:fill="A8D08D" w:themeFill="accent6" w:themeFillTint="99"/>
          </w:tcPr>
          <w:p w14:paraId="7B1B5E29" w14:textId="7F3D07BA" w:rsidR="006A2C17" w:rsidRPr="004A3B37" w:rsidRDefault="00C34A4C" w:rsidP="006A2C17">
            <w:pPr>
              <w:rPr>
                <w:rFonts w:ascii="Times New Roman" w:hAnsi="Times New Roman" w:cs="Times New Roman"/>
                <w:sz w:val="16"/>
                <w:szCs w:val="16"/>
              </w:rPr>
            </w:pPr>
            <w:r>
              <w:rPr>
                <w:rFonts w:ascii="Times New Roman" w:hAnsi="Times New Roman" w:cs="Times New Roman"/>
                <w:sz w:val="16"/>
                <w:szCs w:val="16"/>
              </w:rPr>
              <w:t>1</w:t>
            </w:r>
          </w:p>
        </w:tc>
        <w:tc>
          <w:tcPr>
            <w:tcW w:w="404" w:type="dxa"/>
            <w:shd w:val="clear" w:color="auto" w:fill="auto"/>
          </w:tcPr>
          <w:p w14:paraId="63F83238" w14:textId="26319731"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X</w:t>
            </w:r>
          </w:p>
        </w:tc>
        <w:tc>
          <w:tcPr>
            <w:tcW w:w="405" w:type="dxa"/>
            <w:shd w:val="clear" w:color="auto" w:fill="auto"/>
          </w:tcPr>
          <w:p w14:paraId="43AB7AC4" w14:textId="47BFDA96"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X</w:t>
            </w:r>
          </w:p>
        </w:tc>
        <w:tc>
          <w:tcPr>
            <w:tcW w:w="614" w:type="dxa"/>
            <w:shd w:val="clear" w:color="auto" w:fill="A8D08D" w:themeFill="accent6" w:themeFillTint="99"/>
          </w:tcPr>
          <w:p w14:paraId="249184AD" w14:textId="4C2C46FD" w:rsidR="006A2C17" w:rsidRPr="004A3B37" w:rsidRDefault="006C470C" w:rsidP="006A2C17">
            <w:pPr>
              <w:rPr>
                <w:rFonts w:ascii="Times New Roman" w:hAnsi="Times New Roman" w:cs="Times New Roman"/>
                <w:sz w:val="16"/>
                <w:szCs w:val="16"/>
              </w:rPr>
            </w:pPr>
            <w:r>
              <w:rPr>
                <w:rFonts w:ascii="Times New Roman" w:hAnsi="Times New Roman" w:cs="Times New Roman"/>
                <w:sz w:val="16"/>
                <w:szCs w:val="16"/>
              </w:rPr>
              <w:t>1</w:t>
            </w:r>
          </w:p>
        </w:tc>
        <w:tc>
          <w:tcPr>
            <w:tcW w:w="614" w:type="dxa"/>
            <w:shd w:val="clear" w:color="auto" w:fill="auto"/>
          </w:tcPr>
          <w:p w14:paraId="7D9BA1A8" w14:textId="09B02474"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X</w:t>
            </w:r>
          </w:p>
        </w:tc>
        <w:tc>
          <w:tcPr>
            <w:tcW w:w="615" w:type="dxa"/>
            <w:shd w:val="clear" w:color="auto" w:fill="auto"/>
          </w:tcPr>
          <w:p w14:paraId="5695AECE" w14:textId="457337ED"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X</w:t>
            </w:r>
          </w:p>
        </w:tc>
        <w:tc>
          <w:tcPr>
            <w:tcW w:w="708" w:type="dxa"/>
            <w:shd w:val="clear" w:color="auto" w:fill="FFD966" w:themeFill="accent4" w:themeFillTint="99"/>
          </w:tcPr>
          <w:p w14:paraId="475FE994" w14:textId="5716FDAE" w:rsidR="006A2C17" w:rsidRPr="004A3B37" w:rsidRDefault="0025538F" w:rsidP="006A2C17">
            <w:pPr>
              <w:rPr>
                <w:rFonts w:ascii="Times New Roman" w:hAnsi="Times New Roman" w:cs="Times New Roman"/>
                <w:sz w:val="16"/>
                <w:szCs w:val="16"/>
              </w:rPr>
            </w:pPr>
            <w:r>
              <w:rPr>
                <w:rFonts w:ascii="Times New Roman" w:hAnsi="Times New Roman" w:cs="Times New Roman"/>
                <w:sz w:val="16"/>
                <w:szCs w:val="16"/>
              </w:rPr>
              <w:t>2</w:t>
            </w:r>
          </w:p>
        </w:tc>
        <w:tc>
          <w:tcPr>
            <w:tcW w:w="709" w:type="dxa"/>
            <w:shd w:val="clear" w:color="auto" w:fill="auto"/>
          </w:tcPr>
          <w:p w14:paraId="4590BD50" w14:textId="6C0AC46C"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X</w:t>
            </w:r>
          </w:p>
        </w:tc>
        <w:tc>
          <w:tcPr>
            <w:tcW w:w="709" w:type="dxa"/>
            <w:shd w:val="clear" w:color="auto" w:fill="auto"/>
          </w:tcPr>
          <w:p w14:paraId="5CBB8B24" w14:textId="741E4430"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X</w:t>
            </w:r>
          </w:p>
        </w:tc>
        <w:tc>
          <w:tcPr>
            <w:tcW w:w="850" w:type="dxa"/>
            <w:shd w:val="clear" w:color="auto" w:fill="FFD966" w:themeFill="accent4" w:themeFillTint="99"/>
          </w:tcPr>
          <w:p w14:paraId="21D5BF31" w14:textId="280ED7ED" w:rsidR="006A2C17" w:rsidRPr="004A3B37" w:rsidRDefault="0025538F" w:rsidP="006A2C17">
            <w:pPr>
              <w:rPr>
                <w:rFonts w:ascii="Times New Roman" w:hAnsi="Times New Roman" w:cs="Times New Roman"/>
                <w:sz w:val="16"/>
                <w:szCs w:val="16"/>
              </w:rPr>
            </w:pPr>
            <w:r>
              <w:rPr>
                <w:rFonts w:ascii="Times New Roman" w:hAnsi="Times New Roman" w:cs="Times New Roman"/>
                <w:sz w:val="16"/>
                <w:szCs w:val="16"/>
              </w:rPr>
              <w:t>2</w:t>
            </w:r>
          </w:p>
        </w:tc>
        <w:tc>
          <w:tcPr>
            <w:tcW w:w="851" w:type="dxa"/>
            <w:shd w:val="clear" w:color="auto" w:fill="auto"/>
          </w:tcPr>
          <w:p w14:paraId="20148FD9" w14:textId="209491C1"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X</w:t>
            </w:r>
          </w:p>
        </w:tc>
        <w:tc>
          <w:tcPr>
            <w:tcW w:w="851" w:type="dxa"/>
            <w:shd w:val="clear" w:color="auto" w:fill="auto"/>
          </w:tcPr>
          <w:p w14:paraId="4FDF3187" w14:textId="7EA85E45" w:rsidR="006A2C17" w:rsidRPr="004A3B37" w:rsidRDefault="006A2C17" w:rsidP="006A2C17">
            <w:pPr>
              <w:rPr>
                <w:rFonts w:ascii="Times New Roman" w:hAnsi="Times New Roman" w:cs="Times New Roman"/>
                <w:sz w:val="16"/>
                <w:szCs w:val="16"/>
              </w:rPr>
            </w:pPr>
            <w:r>
              <w:rPr>
                <w:rFonts w:ascii="Times New Roman" w:hAnsi="Times New Roman" w:cs="Times New Roman"/>
                <w:sz w:val="16"/>
                <w:szCs w:val="16"/>
              </w:rPr>
              <w:t>X</w:t>
            </w:r>
          </w:p>
        </w:tc>
      </w:tr>
      <w:tr w:rsidR="00B24C02" w:rsidRPr="004A3B37" w14:paraId="5FE18809" w14:textId="77777777" w:rsidTr="002E7263">
        <w:tc>
          <w:tcPr>
            <w:tcW w:w="1418" w:type="dxa"/>
            <w:tcBorders>
              <w:bottom w:val="single" w:sz="4" w:space="0" w:color="auto"/>
            </w:tcBorders>
          </w:tcPr>
          <w:p w14:paraId="27225531" w14:textId="75A9C5F2" w:rsidR="00B24C02" w:rsidRDefault="00774610" w:rsidP="00B73B8C">
            <w:pPr>
              <w:rPr>
                <w:rFonts w:ascii="Times New Roman" w:hAnsi="Times New Roman" w:cs="Times New Roman"/>
                <w:sz w:val="16"/>
                <w:szCs w:val="16"/>
              </w:rPr>
            </w:pPr>
            <w:proofErr w:type="spellStart"/>
            <w:r>
              <w:rPr>
                <w:rFonts w:ascii="Times New Roman" w:hAnsi="Times New Roman" w:cs="Times New Roman"/>
                <w:sz w:val="16"/>
                <w:szCs w:val="16"/>
              </w:rPr>
              <w:t>Morri</w:t>
            </w:r>
            <w:proofErr w:type="spellEnd"/>
            <w:r>
              <w:rPr>
                <w:rFonts w:ascii="Times New Roman" w:hAnsi="Times New Roman" w:cs="Times New Roman"/>
                <w:sz w:val="16"/>
                <w:szCs w:val="16"/>
              </w:rPr>
              <w:t xml:space="preserve"> et al. 2022</w:t>
            </w:r>
            <w:r w:rsidR="00BA5186">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{"citationID":"vKAJ3DXh","properties":{"formattedCitation":"\\super 30\\nosupersub{}","plainCitation":"30","noteIndex":0},"citationItems":[{"id":1788,"uris":["http://zotero.org/users/local/26vZAHNZ/items/6DGWLD3E"],"itemData":{"id":1788,"type":"article-journal","abstract":"Elective surgeries, as joint replacement, were resumed after the first COVID-19 pandemic wave in 2020 and a phase of coexistence with the virus began. Surgery was organized in a new way that incorporated procedures aimed at reducing the risk of spreading the virus. The aim of this study is to describe the early functional results for patients undergoing hip and knee replacements at the time healthcare services were being reopened and to compare them with the same outcomes recorded in the prepandemic period. This is a controlled retrospective study. All patients consecutively admitted during 2020 and who underwent hip and knee replacement were enrolled in the study. Patient records from January to March 2020 constituted the prepandemic control group, while patient records from May to December 2020 constituted the study group. Functional recovery was described through the patient’s ability to walk using antebrachial devices and to climb up and down 3 steps. The day after surgery on which these activities were first performed was also recorded. The prepandemic group consisted of 183 patients and the pandemic group of 280 patients. The mean age of patients was 66 years (±13.1), female was 44.9% and hip replacement was 66.5%. The number of patients who climbed stairs and the timing thereof was comparable for the 2 groups (68.5% vs 72.2%, respectively; P = .403). There was no significant difference in the incidence of patients able to walk with antebrachial device and incidence of pressure ulcers and major complications. Multivariate analysis confirmed that the incidence of stair climbing was not associated with the prepandemic or pandemic inclusion. During the reopening of orthopedic surgery activity, the reorganization and treatment pathway did not affect the functional outcome achieved by patients underwent joint replacement. Constant monitoring of the functional outcomes will be required so as to further increase the number of joint replacement surgeries.","container-title":"Medicine","DOI":"10.1097/MD.0000000000030395","issue":"36","language":"en-US","page":"e30395","source":"journals.lww.com","title":"The impact of the pandemic on functional outcomes for joint replacement patients: An observational study","title-short":"The impact of the pandemic on functional outcomes for joint replacement patients","volume":"101","author":[{"family":"Morri","given":"Mattia"},{"family":"Ruisi","given":"Riccardo"},{"family":"Peccerillo","given":"Vincenzo"},{"family":"Franchini","given":"Natalia"},{"family":"Magli","given":"Antonella Orlandi"},{"family":"Forni","given":"Cristiana"}],"issued":{"date-parts":[["2022",9,9]]}}}],"schema":"https://github.com/citation-style-language/schema/raw/master/csl-citation.json"} </w:instrText>
            </w:r>
            <w:r w:rsidR="00BA5186">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30</w:t>
            </w:r>
            <w:r w:rsidR="00BA5186">
              <w:rPr>
                <w:rFonts w:ascii="Times New Roman" w:hAnsi="Times New Roman" w:cs="Times New Roman"/>
                <w:sz w:val="16"/>
                <w:szCs w:val="16"/>
              </w:rPr>
              <w:fldChar w:fldCharType="end"/>
            </w:r>
          </w:p>
        </w:tc>
        <w:tc>
          <w:tcPr>
            <w:tcW w:w="850" w:type="dxa"/>
            <w:tcBorders>
              <w:bottom w:val="single" w:sz="4" w:space="0" w:color="auto"/>
            </w:tcBorders>
            <w:shd w:val="clear" w:color="auto" w:fill="A8D08D" w:themeFill="accent6" w:themeFillTint="99"/>
          </w:tcPr>
          <w:p w14:paraId="6B2B060D" w14:textId="5F1CFA10" w:rsidR="00B24C02" w:rsidRPr="004A3B37" w:rsidRDefault="009F11B7" w:rsidP="00B73B8C">
            <w:pPr>
              <w:rPr>
                <w:rFonts w:ascii="Times New Roman" w:hAnsi="Times New Roman" w:cs="Times New Roman"/>
                <w:sz w:val="16"/>
                <w:szCs w:val="16"/>
              </w:rPr>
            </w:pPr>
            <w:r>
              <w:rPr>
                <w:rFonts w:ascii="Times New Roman" w:hAnsi="Times New Roman" w:cs="Times New Roman"/>
                <w:sz w:val="16"/>
                <w:szCs w:val="16"/>
              </w:rPr>
              <w:t>1</w:t>
            </w:r>
          </w:p>
        </w:tc>
        <w:tc>
          <w:tcPr>
            <w:tcW w:w="709" w:type="dxa"/>
            <w:tcBorders>
              <w:bottom w:val="single" w:sz="4" w:space="0" w:color="auto"/>
            </w:tcBorders>
            <w:shd w:val="clear" w:color="auto" w:fill="A8D08D" w:themeFill="accent6" w:themeFillTint="99"/>
          </w:tcPr>
          <w:p w14:paraId="6C9404F9" w14:textId="4203E2D6" w:rsidR="00B24C02" w:rsidRPr="004A3B37" w:rsidRDefault="00E15A9F" w:rsidP="00B73B8C">
            <w:pPr>
              <w:rPr>
                <w:rFonts w:ascii="Times New Roman" w:hAnsi="Times New Roman" w:cs="Times New Roman"/>
                <w:sz w:val="16"/>
                <w:szCs w:val="16"/>
              </w:rPr>
            </w:pPr>
            <w:r>
              <w:rPr>
                <w:rFonts w:ascii="Times New Roman" w:hAnsi="Times New Roman" w:cs="Times New Roman"/>
                <w:sz w:val="16"/>
                <w:szCs w:val="16"/>
              </w:rPr>
              <w:t>1</w:t>
            </w:r>
          </w:p>
        </w:tc>
        <w:tc>
          <w:tcPr>
            <w:tcW w:w="992" w:type="dxa"/>
            <w:tcBorders>
              <w:bottom w:val="single" w:sz="4" w:space="0" w:color="auto"/>
            </w:tcBorders>
            <w:shd w:val="clear" w:color="auto" w:fill="A8D08D" w:themeFill="accent6" w:themeFillTint="99"/>
          </w:tcPr>
          <w:p w14:paraId="058FC629" w14:textId="4691151E" w:rsidR="00B24C02" w:rsidRPr="004A3B37" w:rsidRDefault="00D55B7B" w:rsidP="00B73B8C">
            <w:pPr>
              <w:rPr>
                <w:rFonts w:ascii="Times New Roman" w:hAnsi="Times New Roman" w:cs="Times New Roman"/>
                <w:sz w:val="16"/>
                <w:szCs w:val="16"/>
              </w:rPr>
            </w:pPr>
            <w:r>
              <w:rPr>
                <w:rFonts w:ascii="Times New Roman" w:hAnsi="Times New Roman" w:cs="Times New Roman"/>
                <w:sz w:val="16"/>
                <w:szCs w:val="16"/>
              </w:rPr>
              <w:t>1</w:t>
            </w:r>
          </w:p>
        </w:tc>
        <w:tc>
          <w:tcPr>
            <w:tcW w:w="914" w:type="dxa"/>
            <w:tcBorders>
              <w:bottom w:val="single" w:sz="4" w:space="0" w:color="auto"/>
            </w:tcBorders>
            <w:shd w:val="clear" w:color="auto" w:fill="auto"/>
          </w:tcPr>
          <w:p w14:paraId="77B1D68D" w14:textId="4F2B28ED" w:rsidR="00B24C02" w:rsidRPr="004A3B37" w:rsidRDefault="00D55B7B" w:rsidP="00B73B8C">
            <w:pPr>
              <w:rPr>
                <w:rFonts w:ascii="Times New Roman" w:hAnsi="Times New Roman" w:cs="Times New Roman"/>
                <w:sz w:val="16"/>
                <w:szCs w:val="16"/>
              </w:rPr>
            </w:pPr>
            <w:r>
              <w:rPr>
                <w:rFonts w:ascii="Times New Roman" w:hAnsi="Times New Roman" w:cs="Times New Roman"/>
                <w:sz w:val="16"/>
                <w:szCs w:val="16"/>
              </w:rPr>
              <w:t>N/A</w:t>
            </w:r>
          </w:p>
        </w:tc>
        <w:tc>
          <w:tcPr>
            <w:tcW w:w="404" w:type="dxa"/>
            <w:tcBorders>
              <w:bottom w:val="single" w:sz="4" w:space="0" w:color="auto"/>
            </w:tcBorders>
            <w:shd w:val="clear" w:color="auto" w:fill="A8D08D" w:themeFill="accent6" w:themeFillTint="99"/>
          </w:tcPr>
          <w:p w14:paraId="7C80E03F" w14:textId="31ED5A1B" w:rsidR="00B24C02" w:rsidRPr="004A3B37" w:rsidRDefault="00F73266" w:rsidP="00B73B8C">
            <w:pPr>
              <w:rPr>
                <w:rFonts w:ascii="Times New Roman" w:hAnsi="Times New Roman" w:cs="Times New Roman"/>
                <w:sz w:val="16"/>
                <w:szCs w:val="16"/>
              </w:rPr>
            </w:pPr>
            <w:r>
              <w:rPr>
                <w:rFonts w:ascii="Times New Roman" w:hAnsi="Times New Roman" w:cs="Times New Roman"/>
                <w:sz w:val="16"/>
                <w:szCs w:val="16"/>
              </w:rPr>
              <w:t>1</w:t>
            </w:r>
          </w:p>
        </w:tc>
        <w:tc>
          <w:tcPr>
            <w:tcW w:w="404" w:type="dxa"/>
            <w:tcBorders>
              <w:bottom w:val="single" w:sz="4" w:space="0" w:color="auto"/>
            </w:tcBorders>
            <w:shd w:val="clear" w:color="auto" w:fill="auto"/>
          </w:tcPr>
          <w:p w14:paraId="7727C8FE" w14:textId="79A680DE" w:rsidR="00B24C02" w:rsidRPr="004A3B37" w:rsidRDefault="00F73266" w:rsidP="00B73B8C">
            <w:pPr>
              <w:rPr>
                <w:rFonts w:ascii="Times New Roman" w:hAnsi="Times New Roman" w:cs="Times New Roman"/>
                <w:sz w:val="16"/>
                <w:szCs w:val="16"/>
              </w:rPr>
            </w:pPr>
            <w:r>
              <w:rPr>
                <w:rFonts w:ascii="Times New Roman" w:hAnsi="Times New Roman" w:cs="Times New Roman"/>
                <w:sz w:val="16"/>
                <w:szCs w:val="16"/>
              </w:rPr>
              <w:t>X</w:t>
            </w:r>
          </w:p>
        </w:tc>
        <w:tc>
          <w:tcPr>
            <w:tcW w:w="405" w:type="dxa"/>
            <w:tcBorders>
              <w:bottom w:val="single" w:sz="4" w:space="0" w:color="auto"/>
            </w:tcBorders>
            <w:shd w:val="clear" w:color="auto" w:fill="auto"/>
          </w:tcPr>
          <w:p w14:paraId="4C56BF12" w14:textId="03AAB44C" w:rsidR="00B24C02" w:rsidRPr="004A3B37" w:rsidRDefault="00F73266" w:rsidP="00B73B8C">
            <w:pPr>
              <w:rPr>
                <w:rFonts w:ascii="Times New Roman" w:hAnsi="Times New Roman" w:cs="Times New Roman"/>
                <w:sz w:val="16"/>
                <w:szCs w:val="16"/>
              </w:rPr>
            </w:pPr>
            <w:r>
              <w:rPr>
                <w:rFonts w:ascii="Times New Roman" w:hAnsi="Times New Roman" w:cs="Times New Roman"/>
                <w:sz w:val="16"/>
                <w:szCs w:val="16"/>
              </w:rPr>
              <w:t>X</w:t>
            </w:r>
          </w:p>
        </w:tc>
        <w:tc>
          <w:tcPr>
            <w:tcW w:w="614" w:type="dxa"/>
            <w:tcBorders>
              <w:bottom w:val="single" w:sz="4" w:space="0" w:color="auto"/>
            </w:tcBorders>
            <w:shd w:val="clear" w:color="auto" w:fill="A8D08D" w:themeFill="accent6" w:themeFillTint="99"/>
          </w:tcPr>
          <w:p w14:paraId="36ECE6B0" w14:textId="662C13C1" w:rsidR="00B24C02" w:rsidRPr="004A3B37" w:rsidRDefault="00391E5C" w:rsidP="00B73B8C">
            <w:pPr>
              <w:rPr>
                <w:rFonts w:ascii="Times New Roman" w:hAnsi="Times New Roman" w:cs="Times New Roman"/>
                <w:sz w:val="16"/>
                <w:szCs w:val="16"/>
              </w:rPr>
            </w:pPr>
            <w:r>
              <w:rPr>
                <w:rFonts w:ascii="Times New Roman" w:hAnsi="Times New Roman" w:cs="Times New Roman"/>
                <w:sz w:val="16"/>
                <w:szCs w:val="16"/>
              </w:rPr>
              <w:t>1</w:t>
            </w:r>
          </w:p>
        </w:tc>
        <w:tc>
          <w:tcPr>
            <w:tcW w:w="614" w:type="dxa"/>
            <w:tcBorders>
              <w:bottom w:val="single" w:sz="4" w:space="0" w:color="auto"/>
            </w:tcBorders>
            <w:shd w:val="clear" w:color="auto" w:fill="auto"/>
          </w:tcPr>
          <w:p w14:paraId="395ABCEA" w14:textId="43FEB26C" w:rsidR="00B24C02" w:rsidRPr="004A3B37" w:rsidRDefault="00391E5C" w:rsidP="00B73B8C">
            <w:pPr>
              <w:rPr>
                <w:rFonts w:ascii="Times New Roman" w:hAnsi="Times New Roman" w:cs="Times New Roman"/>
                <w:sz w:val="16"/>
                <w:szCs w:val="16"/>
              </w:rPr>
            </w:pPr>
            <w:r>
              <w:rPr>
                <w:rFonts w:ascii="Times New Roman" w:hAnsi="Times New Roman" w:cs="Times New Roman"/>
                <w:sz w:val="16"/>
                <w:szCs w:val="16"/>
              </w:rPr>
              <w:t>X</w:t>
            </w:r>
          </w:p>
        </w:tc>
        <w:tc>
          <w:tcPr>
            <w:tcW w:w="615" w:type="dxa"/>
            <w:tcBorders>
              <w:bottom w:val="single" w:sz="4" w:space="0" w:color="auto"/>
            </w:tcBorders>
            <w:shd w:val="clear" w:color="auto" w:fill="auto"/>
          </w:tcPr>
          <w:p w14:paraId="690E21B7" w14:textId="1D0FB4E0" w:rsidR="00B24C02" w:rsidRPr="004A3B37" w:rsidRDefault="00391E5C" w:rsidP="00B73B8C">
            <w:pPr>
              <w:rPr>
                <w:rFonts w:ascii="Times New Roman" w:hAnsi="Times New Roman" w:cs="Times New Roman"/>
                <w:sz w:val="16"/>
                <w:szCs w:val="16"/>
              </w:rPr>
            </w:pPr>
            <w:r>
              <w:rPr>
                <w:rFonts w:ascii="Times New Roman" w:hAnsi="Times New Roman" w:cs="Times New Roman"/>
                <w:sz w:val="16"/>
                <w:szCs w:val="16"/>
              </w:rPr>
              <w:t>X</w:t>
            </w:r>
          </w:p>
        </w:tc>
        <w:tc>
          <w:tcPr>
            <w:tcW w:w="708" w:type="dxa"/>
            <w:tcBorders>
              <w:bottom w:val="single" w:sz="4" w:space="0" w:color="auto"/>
            </w:tcBorders>
            <w:shd w:val="clear" w:color="auto" w:fill="A8D08D" w:themeFill="accent6" w:themeFillTint="99"/>
          </w:tcPr>
          <w:p w14:paraId="5E3058F9" w14:textId="18216AA1" w:rsidR="00B24C02" w:rsidRPr="004A3B37" w:rsidRDefault="002E7263" w:rsidP="00B73B8C">
            <w:pPr>
              <w:rPr>
                <w:rFonts w:ascii="Times New Roman" w:hAnsi="Times New Roman" w:cs="Times New Roman"/>
                <w:sz w:val="16"/>
                <w:szCs w:val="16"/>
              </w:rPr>
            </w:pPr>
            <w:r>
              <w:rPr>
                <w:rFonts w:ascii="Times New Roman" w:hAnsi="Times New Roman" w:cs="Times New Roman"/>
                <w:sz w:val="16"/>
                <w:szCs w:val="16"/>
              </w:rPr>
              <w:t>1</w:t>
            </w:r>
          </w:p>
        </w:tc>
        <w:tc>
          <w:tcPr>
            <w:tcW w:w="709" w:type="dxa"/>
            <w:tcBorders>
              <w:bottom w:val="single" w:sz="4" w:space="0" w:color="auto"/>
            </w:tcBorders>
            <w:shd w:val="clear" w:color="auto" w:fill="auto"/>
          </w:tcPr>
          <w:p w14:paraId="7FD22D15" w14:textId="04DE193B" w:rsidR="00B24C02" w:rsidRPr="004A3B37" w:rsidRDefault="002E7263" w:rsidP="00B73B8C">
            <w:pPr>
              <w:rPr>
                <w:rFonts w:ascii="Times New Roman" w:hAnsi="Times New Roman" w:cs="Times New Roman"/>
                <w:sz w:val="16"/>
                <w:szCs w:val="16"/>
              </w:rPr>
            </w:pPr>
            <w:r>
              <w:rPr>
                <w:rFonts w:ascii="Times New Roman" w:hAnsi="Times New Roman" w:cs="Times New Roman"/>
                <w:sz w:val="16"/>
                <w:szCs w:val="16"/>
              </w:rPr>
              <w:t>X</w:t>
            </w:r>
          </w:p>
        </w:tc>
        <w:tc>
          <w:tcPr>
            <w:tcW w:w="709" w:type="dxa"/>
            <w:tcBorders>
              <w:bottom w:val="single" w:sz="4" w:space="0" w:color="auto"/>
            </w:tcBorders>
            <w:shd w:val="clear" w:color="auto" w:fill="auto"/>
          </w:tcPr>
          <w:p w14:paraId="3D187CA9" w14:textId="7FC35D45" w:rsidR="00B24C02" w:rsidRPr="004A3B37" w:rsidRDefault="002E7263" w:rsidP="00B73B8C">
            <w:pPr>
              <w:rPr>
                <w:rFonts w:ascii="Times New Roman" w:hAnsi="Times New Roman" w:cs="Times New Roman"/>
                <w:sz w:val="16"/>
                <w:szCs w:val="16"/>
              </w:rPr>
            </w:pPr>
            <w:r>
              <w:rPr>
                <w:rFonts w:ascii="Times New Roman" w:hAnsi="Times New Roman" w:cs="Times New Roman"/>
                <w:sz w:val="16"/>
                <w:szCs w:val="16"/>
              </w:rPr>
              <w:t>X</w:t>
            </w:r>
          </w:p>
        </w:tc>
        <w:tc>
          <w:tcPr>
            <w:tcW w:w="850" w:type="dxa"/>
            <w:tcBorders>
              <w:bottom w:val="single" w:sz="4" w:space="0" w:color="auto"/>
            </w:tcBorders>
            <w:shd w:val="clear" w:color="auto" w:fill="A8D08D" w:themeFill="accent6" w:themeFillTint="99"/>
          </w:tcPr>
          <w:p w14:paraId="6F7326F3" w14:textId="591CB9DD" w:rsidR="00B24C02" w:rsidRPr="004A3B37" w:rsidRDefault="002E7263" w:rsidP="00B73B8C">
            <w:pPr>
              <w:rPr>
                <w:rFonts w:ascii="Times New Roman" w:hAnsi="Times New Roman" w:cs="Times New Roman"/>
                <w:sz w:val="16"/>
                <w:szCs w:val="16"/>
              </w:rPr>
            </w:pPr>
            <w:r>
              <w:rPr>
                <w:rFonts w:ascii="Times New Roman" w:hAnsi="Times New Roman" w:cs="Times New Roman"/>
                <w:sz w:val="16"/>
                <w:szCs w:val="16"/>
              </w:rPr>
              <w:t>1</w:t>
            </w:r>
          </w:p>
        </w:tc>
        <w:tc>
          <w:tcPr>
            <w:tcW w:w="851" w:type="dxa"/>
            <w:tcBorders>
              <w:bottom w:val="single" w:sz="4" w:space="0" w:color="auto"/>
            </w:tcBorders>
            <w:shd w:val="clear" w:color="auto" w:fill="auto"/>
          </w:tcPr>
          <w:p w14:paraId="2FAA2407" w14:textId="3E133D62" w:rsidR="00B24C02" w:rsidRPr="004A3B37" w:rsidRDefault="002E7263" w:rsidP="00B73B8C">
            <w:pPr>
              <w:rPr>
                <w:rFonts w:ascii="Times New Roman" w:hAnsi="Times New Roman" w:cs="Times New Roman"/>
                <w:sz w:val="16"/>
                <w:szCs w:val="16"/>
              </w:rPr>
            </w:pPr>
            <w:r>
              <w:rPr>
                <w:rFonts w:ascii="Times New Roman" w:hAnsi="Times New Roman" w:cs="Times New Roman"/>
                <w:sz w:val="16"/>
                <w:szCs w:val="16"/>
              </w:rPr>
              <w:t>X</w:t>
            </w:r>
          </w:p>
        </w:tc>
        <w:tc>
          <w:tcPr>
            <w:tcW w:w="851" w:type="dxa"/>
            <w:tcBorders>
              <w:bottom w:val="single" w:sz="4" w:space="0" w:color="auto"/>
            </w:tcBorders>
            <w:shd w:val="clear" w:color="auto" w:fill="auto"/>
          </w:tcPr>
          <w:p w14:paraId="2D34DBD0" w14:textId="0326BA3D" w:rsidR="00B24C02" w:rsidRPr="004A3B37" w:rsidRDefault="002E7263" w:rsidP="00B73B8C">
            <w:pPr>
              <w:rPr>
                <w:rFonts w:ascii="Times New Roman" w:hAnsi="Times New Roman" w:cs="Times New Roman"/>
                <w:sz w:val="16"/>
                <w:szCs w:val="16"/>
              </w:rPr>
            </w:pPr>
            <w:r>
              <w:rPr>
                <w:rFonts w:ascii="Times New Roman" w:hAnsi="Times New Roman" w:cs="Times New Roman"/>
                <w:sz w:val="16"/>
                <w:szCs w:val="16"/>
              </w:rPr>
              <w:t>X</w:t>
            </w:r>
          </w:p>
        </w:tc>
      </w:tr>
    </w:tbl>
    <w:p w14:paraId="543B977C" w14:textId="084A433C" w:rsidR="00064D44" w:rsidRPr="00322094" w:rsidRDefault="001F27AB" w:rsidP="004A3B37">
      <w:pPr>
        <w:rPr>
          <w:rFonts w:ascii="Times New Roman" w:hAnsi="Times New Roman" w:cs="Times New Roman"/>
          <w:i/>
          <w:iCs/>
          <w:sz w:val="20"/>
          <w:szCs w:val="20"/>
        </w:rPr>
      </w:pPr>
      <w:r w:rsidRPr="00322094">
        <w:rPr>
          <w:rFonts w:ascii="Times New Roman" w:hAnsi="Times New Roman" w:cs="Times New Roman"/>
          <w:b/>
          <w:bCs/>
          <w:i/>
          <w:iCs/>
          <w:sz w:val="20"/>
          <w:szCs w:val="20"/>
        </w:rPr>
        <w:t xml:space="preserve">Supplementary Table 4: </w:t>
      </w:r>
      <w:r w:rsidR="00DA4588" w:rsidRPr="00322094">
        <w:rPr>
          <w:rFonts w:ascii="Times New Roman" w:hAnsi="Times New Roman" w:cs="Times New Roman"/>
          <w:i/>
          <w:iCs/>
          <w:sz w:val="20"/>
          <w:szCs w:val="20"/>
        </w:rPr>
        <w:t xml:space="preserve">Risk </w:t>
      </w:r>
      <w:r w:rsidR="00C82C8C" w:rsidRPr="00322094">
        <w:rPr>
          <w:rFonts w:ascii="Times New Roman" w:hAnsi="Times New Roman" w:cs="Times New Roman"/>
          <w:i/>
          <w:iCs/>
          <w:sz w:val="20"/>
          <w:szCs w:val="20"/>
        </w:rPr>
        <w:t xml:space="preserve">of bias in non-randomised studies </w:t>
      </w:r>
      <w:r w:rsidR="00DA4588" w:rsidRPr="00322094">
        <w:rPr>
          <w:rFonts w:ascii="Times New Roman" w:hAnsi="Times New Roman" w:cs="Times New Roman"/>
          <w:i/>
          <w:iCs/>
          <w:sz w:val="20"/>
          <w:szCs w:val="20"/>
        </w:rPr>
        <w:t xml:space="preserve">was considered </w:t>
      </w:r>
      <w:r w:rsidR="00C82C8C" w:rsidRPr="00322094">
        <w:rPr>
          <w:rFonts w:ascii="Times New Roman" w:hAnsi="Times New Roman" w:cs="Times New Roman"/>
          <w:i/>
          <w:iCs/>
          <w:sz w:val="20"/>
          <w:szCs w:val="20"/>
        </w:rPr>
        <w:t>according to the ROBINS-I framework</w:t>
      </w:r>
      <w:r w:rsidR="00124780" w:rsidRPr="00322094">
        <w:rPr>
          <w:rFonts w:ascii="Times New Roman" w:hAnsi="Times New Roman" w:cs="Times New Roman"/>
          <w:i/>
          <w:iCs/>
          <w:sz w:val="20"/>
          <w:szCs w:val="20"/>
        </w:rPr>
        <w:fldChar w:fldCharType="begin"/>
      </w:r>
      <w:r w:rsidR="003A04FA" w:rsidRPr="00322094">
        <w:rPr>
          <w:rFonts w:ascii="Times New Roman" w:hAnsi="Times New Roman" w:cs="Times New Roman"/>
          <w:i/>
          <w:iCs/>
          <w:sz w:val="20"/>
          <w:szCs w:val="20"/>
        </w:rPr>
        <w:instrText xml:space="preserve"> ADDIN ZOTERO_ITEM CSL_CITATION {"citationID":"RzfNpKYX","properties":{"formattedCitation":"\\super 31\\nosupersub{}","plainCitation":"31","noteIndex":0},"citationItems":[{"id":601,"uris":["http://zotero.org/users/local/26vZAHNZ/items/8XPZLKS4"],"itemData":{"id":601,"type":"article-journal","abstract":"&lt;p&gt;Non-randomised studies of the effects of interventions are critical to many areas of healthcare evaluation, but their results may be biased. It is therefore important to understand and appraise their strengths and weaknesses. We developed ROBINS-I (“Risk Of Bias In Non-randomised Studies - of Interventions”), a new tool for evaluating risk of bias in estimates of the comparative effectiveness (harm or benefit) of interventions from studies that did not use randomisation to allocate units (individuals or clusters of individuals) to comparison groups. The tool will be particularly useful to those undertaking systematic reviews that include non-randomised studies.&lt;/p&gt;","container-title":"BMJ","DOI":"10.1136/bmj.i4919","ISSN":"1756-1833","journalAbbreviation":"BMJ","language":"en","license":"Published by the BMJ Publishing Group Limited. For permission to use (where not already granted under a licence) please go to http://group.bmj.com/group/rights-licensing/permissions. This is an Open Access article distributed in accordance with the Creative Commons Attribution Non Commercial (CC BY-NC 3.0) license, which permits others to distribute, remix, adapt, build upon this work non-commercially, and license their derivative works on different terms, provided the original work is properly cited and the use is non-commercial. See: http://creativecommons.org/licenses/by-nc/3.0/.","note":"publisher: British Medical Journal Publishing Group\nsection: Research Methods &amp;amp; Reporting\nPMID: 27733354","source":"www.bmj.com","title":"ROBINS-I: a tool for assessing risk of bias in non-randomised studies of interventions","title-short":"ROBINS-I","URL":"https://www.bmj.com/content/355/bmj.i4919","volume":"355","author":[{"family":"Sterne","given":"Jonathan AC"},{"family":"Hernán","given":"Miguel A."},{"family":"Reeves","given":"Barnaby C."},{"family":"Savović","given":"Jelena"},{"family":"Berkman","given":"Nancy D."},{"family":"Viswanathan","given":"Meera"},{"family":"Henry","given":"David"},{"family":"Altman","given":"Douglas G."},{"family":"Ansari","given":"Mohammed T."},{"family":"Boutron","given":"Isabelle"},{"family":"Carpenter","given":"James R."},{"family":"Chan","given":"An-Wen"},{"family":"Churchill","given":"Rachel"},{"family":"Deeks","given":"Jonathan J."},{"family":"Hróbjartsson","given":"Asbjørn"},{"family":"Kirkham","given":"Jamie"},{"family":"Jüni","given":"Peter"},{"family":"Loke","given":"Yoon K."},{"family":"Pigott","given":"Theresa D."},{"family":"Ramsay","given":"Craig R."},{"family":"Regidor","given":"Deborah"},{"family":"Rothstein","given":"Hannah R."},{"family":"Sandhu","given":"Lakhbir"},{"family":"Santaguida","given":"Pasqualina L."},{"family":"Schünemann","given":"Holger J."},{"family":"Shea","given":"Beverly"},{"family":"Shrier","given":"Ian"},{"family":"Tugwell","given":"Peter"},{"family":"Turner","given":"Lucy"},{"family":"Valentine","given":"Jeffrey C."},{"family":"Waddington","given":"Hugh"},{"family":"Waters","given":"Elizabeth"},{"family":"Wells","given":"George A."},{"family":"Whiting","given":"Penny F."},{"family":"Higgins","given":"Julian PT"}],"accessed":{"date-parts":[["2020",11,23]]},"issued":{"date-parts":[["2016",10,12]]}}}],"schema":"https://github.com/citation-style-language/schema/raw/master/csl-citation.json"} </w:instrText>
      </w:r>
      <w:r w:rsidR="00124780" w:rsidRPr="00322094">
        <w:rPr>
          <w:rFonts w:ascii="Times New Roman" w:hAnsi="Times New Roman" w:cs="Times New Roman"/>
          <w:i/>
          <w:iCs/>
          <w:sz w:val="20"/>
          <w:szCs w:val="20"/>
        </w:rPr>
        <w:fldChar w:fldCharType="separate"/>
      </w:r>
      <w:r w:rsidR="003A04FA" w:rsidRPr="00322094">
        <w:rPr>
          <w:rFonts w:ascii="Times New Roman" w:hAnsi="Times New Roman" w:cs="Times New Roman"/>
          <w:sz w:val="20"/>
          <w:szCs w:val="20"/>
          <w:vertAlign w:val="superscript"/>
        </w:rPr>
        <w:t>31</w:t>
      </w:r>
      <w:r w:rsidR="00124780" w:rsidRPr="00322094">
        <w:rPr>
          <w:rFonts w:ascii="Times New Roman" w:hAnsi="Times New Roman" w:cs="Times New Roman"/>
          <w:i/>
          <w:iCs/>
          <w:sz w:val="20"/>
          <w:szCs w:val="20"/>
        </w:rPr>
        <w:fldChar w:fldCharType="end"/>
      </w:r>
      <w:r w:rsidR="00C82C8C" w:rsidRPr="00322094">
        <w:rPr>
          <w:rFonts w:ascii="Times New Roman" w:hAnsi="Times New Roman" w:cs="Times New Roman"/>
          <w:i/>
          <w:iCs/>
          <w:sz w:val="20"/>
          <w:szCs w:val="20"/>
        </w:rPr>
        <w:t xml:space="preserve">. Each domain was assessed as either </w:t>
      </w:r>
      <w:r w:rsidR="00DA4588" w:rsidRPr="00322094">
        <w:rPr>
          <w:rFonts w:ascii="Times New Roman" w:hAnsi="Times New Roman" w:cs="Times New Roman"/>
          <w:i/>
          <w:iCs/>
          <w:sz w:val="20"/>
          <w:szCs w:val="20"/>
        </w:rPr>
        <w:t xml:space="preserve">not applicable (N/A) insufficient information to assess (N/I), low (1), moderate (2), serious (3) or critical risk </w:t>
      </w:r>
      <w:r w:rsidR="00C82C8C" w:rsidRPr="00322094">
        <w:rPr>
          <w:rFonts w:ascii="Times New Roman" w:hAnsi="Times New Roman" w:cs="Times New Roman"/>
          <w:i/>
          <w:iCs/>
          <w:sz w:val="20"/>
          <w:szCs w:val="20"/>
        </w:rPr>
        <w:t xml:space="preserve"> of bias</w:t>
      </w:r>
      <w:r w:rsidR="00DA4588" w:rsidRPr="00322094">
        <w:rPr>
          <w:rFonts w:ascii="Times New Roman" w:hAnsi="Times New Roman" w:cs="Times New Roman"/>
          <w:i/>
          <w:iCs/>
          <w:sz w:val="20"/>
          <w:szCs w:val="20"/>
        </w:rPr>
        <w:t xml:space="preserve">(4). Overall risk of bias was attributed by the highest reported risk in any domain. </w:t>
      </w:r>
      <w:r w:rsidRPr="00322094">
        <w:rPr>
          <w:rFonts w:ascii="Times New Roman" w:hAnsi="Times New Roman" w:cs="Times New Roman"/>
          <w:i/>
          <w:iCs/>
          <w:sz w:val="20"/>
          <w:szCs w:val="20"/>
        </w:rPr>
        <w:t xml:space="preserve">Outcomes reviewed: </w:t>
      </w:r>
      <w:r w:rsidR="00064D44" w:rsidRPr="00322094">
        <w:rPr>
          <w:rFonts w:ascii="Times New Roman" w:hAnsi="Times New Roman" w:cs="Times New Roman"/>
          <w:i/>
          <w:iCs/>
          <w:sz w:val="20"/>
          <w:szCs w:val="20"/>
        </w:rPr>
        <w:t xml:space="preserve">A: Hip or knee joint-specific function; B: Global Health-Related Quality of Life indices; </w:t>
      </w:r>
      <w:r w:rsidR="00803390" w:rsidRPr="00322094">
        <w:rPr>
          <w:rFonts w:ascii="Times New Roman" w:hAnsi="Times New Roman" w:cs="Times New Roman"/>
          <w:i/>
          <w:iCs/>
          <w:sz w:val="20"/>
          <w:szCs w:val="20"/>
        </w:rPr>
        <w:t>C: patient perspectives</w:t>
      </w:r>
      <w:r w:rsidR="00064D44" w:rsidRPr="00322094">
        <w:rPr>
          <w:rFonts w:ascii="Times New Roman" w:hAnsi="Times New Roman" w:cs="Times New Roman"/>
          <w:i/>
          <w:iCs/>
          <w:sz w:val="20"/>
          <w:szCs w:val="20"/>
        </w:rPr>
        <w:t>.</w:t>
      </w:r>
    </w:p>
    <w:p w14:paraId="6CBE6064" w14:textId="79DEE64F" w:rsidR="0049058D" w:rsidRPr="004A3B37" w:rsidRDefault="0049058D" w:rsidP="004A3B37">
      <w:pPr>
        <w:rPr>
          <w:rFonts w:ascii="Times New Roman" w:hAnsi="Times New Roman" w:cs="Times New Roman"/>
          <w:sz w:val="16"/>
          <w:szCs w:val="16"/>
        </w:rPr>
      </w:pPr>
      <w:r w:rsidRPr="004A3B37">
        <w:rPr>
          <w:rFonts w:ascii="Times New Roman" w:hAnsi="Times New Roman" w:cs="Times New Roman"/>
          <w:i/>
          <w:iCs/>
          <w:sz w:val="16"/>
          <w:szCs w:val="16"/>
        </w:rPr>
        <w:br w:type="page"/>
      </w:r>
    </w:p>
    <w:p w14:paraId="28C84DD8" w14:textId="23AD68CC" w:rsidR="003F05DB" w:rsidRPr="00322094" w:rsidRDefault="00393D01" w:rsidP="004A3B37">
      <w:pPr>
        <w:rPr>
          <w:rFonts w:ascii="Times New Roman" w:hAnsi="Times New Roman" w:cs="Times New Roman"/>
          <w:b/>
          <w:bCs/>
          <w:sz w:val="20"/>
          <w:szCs w:val="20"/>
        </w:rPr>
      </w:pPr>
      <w:r w:rsidRPr="00322094">
        <w:rPr>
          <w:rFonts w:ascii="Times New Roman" w:hAnsi="Times New Roman" w:cs="Times New Roman"/>
          <w:b/>
          <w:bCs/>
          <w:sz w:val="20"/>
          <w:szCs w:val="20"/>
        </w:rPr>
        <w:lastRenderedPageBreak/>
        <w:t>Supplementary Table 5</w:t>
      </w:r>
      <w:r w:rsidR="007230B4" w:rsidRPr="00322094">
        <w:rPr>
          <w:rFonts w:ascii="Times New Roman" w:hAnsi="Times New Roman" w:cs="Times New Roman"/>
          <w:b/>
          <w:bCs/>
          <w:sz w:val="20"/>
          <w:szCs w:val="20"/>
        </w:rPr>
        <w:t xml:space="preserve">: Risk of Bias in Cross-Sectional Studies by </w:t>
      </w:r>
      <w:r w:rsidR="003B041F" w:rsidRPr="00322094">
        <w:rPr>
          <w:rFonts w:ascii="Times New Roman" w:hAnsi="Times New Roman" w:cs="Times New Roman"/>
          <w:b/>
          <w:bCs/>
          <w:sz w:val="20"/>
          <w:szCs w:val="20"/>
        </w:rPr>
        <w:t>Joanna Briggs Institute (JBI)</w:t>
      </w:r>
      <w:r w:rsidR="00791E47" w:rsidRPr="00322094">
        <w:rPr>
          <w:rFonts w:ascii="Times New Roman" w:hAnsi="Times New Roman" w:cs="Times New Roman"/>
          <w:b/>
          <w:bCs/>
          <w:sz w:val="20"/>
          <w:szCs w:val="20"/>
        </w:rPr>
        <w:t xml:space="preserve"> Cross-Sectional Study</w:t>
      </w:r>
      <w:r w:rsidR="00217C4B" w:rsidRPr="00322094">
        <w:rPr>
          <w:rFonts w:ascii="Times New Roman" w:hAnsi="Times New Roman" w:cs="Times New Roman"/>
          <w:b/>
          <w:bCs/>
          <w:sz w:val="20"/>
          <w:szCs w:val="20"/>
        </w:rPr>
        <w:t xml:space="preserve"> Framework.</w:t>
      </w:r>
    </w:p>
    <w:p w14:paraId="592A7D5D" w14:textId="63259F68" w:rsidR="00217C4B" w:rsidRPr="004A3B37" w:rsidRDefault="00217C4B" w:rsidP="004A3B37">
      <w:pPr>
        <w:tabs>
          <w:tab w:val="left" w:pos="919"/>
        </w:tabs>
        <w:rPr>
          <w:rFonts w:ascii="Times New Roman" w:hAnsi="Times New Roman" w:cs="Times New Roman"/>
          <w:sz w:val="16"/>
          <w:szCs w:val="16"/>
        </w:rPr>
      </w:pPr>
    </w:p>
    <w:tbl>
      <w:tblPr>
        <w:tblStyle w:val="TableGrid"/>
        <w:tblW w:w="13042" w:type="dxa"/>
        <w:tblInd w:w="-147" w:type="dxa"/>
        <w:tblLayout w:type="fixed"/>
        <w:tblLook w:val="04A0" w:firstRow="1" w:lastRow="0" w:firstColumn="1" w:lastColumn="0" w:noHBand="0" w:noVBand="1"/>
      </w:tblPr>
      <w:tblGrid>
        <w:gridCol w:w="993"/>
        <w:gridCol w:w="992"/>
        <w:gridCol w:w="992"/>
        <w:gridCol w:w="993"/>
        <w:gridCol w:w="992"/>
        <w:gridCol w:w="1134"/>
        <w:gridCol w:w="1097"/>
        <w:gridCol w:w="579"/>
        <w:gridCol w:w="579"/>
        <w:gridCol w:w="580"/>
        <w:gridCol w:w="661"/>
        <w:gridCol w:w="661"/>
        <w:gridCol w:w="662"/>
        <w:gridCol w:w="709"/>
        <w:gridCol w:w="709"/>
        <w:gridCol w:w="709"/>
      </w:tblGrid>
      <w:tr w:rsidR="002A4810" w:rsidRPr="004A3B37" w14:paraId="53989E45" w14:textId="1C9A6041" w:rsidTr="008E6A17">
        <w:tc>
          <w:tcPr>
            <w:tcW w:w="993" w:type="dxa"/>
            <w:vMerge w:val="restart"/>
          </w:tcPr>
          <w:p w14:paraId="6FC33DAC" w14:textId="77777777" w:rsidR="00FB0019"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Article</w:t>
            </w:r>
          </w:p>
        </w:tc>
        <w:tc>
          <w:tcPr>
            <w:tcW w:w="9922" w:type="dxa"/>
            <w:gridSpan w:val="12"/>
          </w:tcPr>
          <w:p w14:paraId="64EED2EB" w14:textId="79E89164" w:rsidR="00FB0019"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Sources of Bias:</w:t>
            </w:r>
          </w:p>
        </w:tc>
        <w:tc>
          <w:tcPr>
            <w:tcW w:w="2127" w:type="dxa"/>
            <w:gridSpan w:val="3"/>
            <w:vMerge w:val="restart"/>
          </w:tcPr>
          <w:p w14:paraId="696B4DF1" w14:textId="278FC594" w:rsidR="00FB0019"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Overall Risk of Bias:</w:t>
            </w:r>
          </w:p>
        </w:tc>
      </w:tr>
      <w:tr w:rsidR="00EE423C" w:rsidRPr="004A3B37" w14:paraId="55F71348" w14:textId="1C0FA089" w:rsidTr="008E6A17">
        <w:tc>
          <w:tcPr>
            <w:tcW w:w="993" w:type="dxa"/>
            <w:vMerge/>
          </w:tcPr>
          <w:p w14:paraId="20FC8E37" w14:textId="77777777" w:rsidR="00FB0019" w:rsidRPr="004A3B37" w:rsidRDefault="00FB0019" w:rsidP="004A3B37">
            <w:pPr>
              <w:rPr>
                <w:rFonts w:ascii="Times New Roman" w:hAnsi="Times New Roman" w:cs="Times New Roman"/>
                <w:sz w:val="16"/>
                <w:szCs w:val="16"/>
              </w:rPr>
            </w:pPr>
          </w:p>
        </w:tc>
        <w:tc>
          <w:tcPr>
            <w:tcW w:w="992" w:type="dxa"/>
            <w:vMerge w:val="restart"/>
          </w:tcPr>
          <w:p w14:paraId="13E8A2F5" w14:textId="2F0CA23E" w:rsidR="00FB0019"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Clear Eligibility Criteria.</w:t>
            </w:r>
          </w:p>
        </w:tc>
        <w:tc>
          <w:tcPr>
            <w:tcW w:w="992" w:type="dxa"/>
            <w:vMerge w:val="restart"/>
          </w:tcPr>
          <w:p w14:paraId="7AAC5A2F" w14:textId="77777777" w:rsidR="00350ECA"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 xml:space="preserve">Clear </w:t>
            </w:r>
          </w:p>
          <w:p w14:paraId="22304E3F" w14:textId="77777777" w:rsidR="00350ECA"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 xml:space="preserve">Study Subjects and </w:t>
            </w:r>
          </w:p>
          <w:p w14:paraId="5EC055B6" w14:textId="410CC6B8" w:rsidR="00FB0019"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Setting.</w:t>
            </w:r>
          </w:p>
        </w:tc>
        <w:tc>
          <w:tcPr>
            <w:tcW w:w="993" w:type="dxa"/>
            <w:vMerge w:val="restart"/>
          </w:tcPr>
          <w:p w14:paraId="13A5169D" w14:textId="48446CC1" w:rsidR="00FB0019"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 xml:space="preserve">Valid Measurement of Exposure. </w:t>
            </w:r>
          </w:p>
        </w:tc>
        <w:tc>
          <w:tcPr>
            <w:tcW w:w="992" w:type="dxa"/>
            <w:vMerge w:val="restart"/>
          </w:tcPr>
          <w:p w14:paraId="3F61434D" w14:textId="72F37F1D" w:rsidR="00FB0019"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 xml:space="preserve">Standardised </w:t>
            </w:r>
            <w:r w:rsidR="00C9335C" w:rsidRPr="004A3B37">
              <w:rPr>
                <w:rFonts w:ascii="Times New Roman" w:hAnsi="Times New Roman" w:cs="Times New Roman"/>
                <w:sz w:val="16"/>
                <w:szCs w:val="16"/>
              </w:rPr>
              <w:t>Criteria</w:t>
            </w:r>
          </w:p>
        </w:tc>
        <w:tc>
          <w:tcPr>
            <w:tcW w:w="1134" w:type="dxa"/>
            <w:vMerge w:val="restart"/>
          </w:tcPr>
          <w:p w14:paraId="115FB8A4" w14:textId="035B6772" w:rsidR="00FB0019"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Sources of Confounding Identified.</w:t>
            </w:r>
          </w:p>
          <w:p w14:paraId="203B32FD" w14:textId="77777777" w:rsidR="00FB0019" w:rsidRPr="004A3B37" w:rsidRDefault="00FB0019" w:rsidP="004A3B37">
            <w:pPr>
              <w:rPr>
                <w:rFonts w:ascii="Times New Roman" w:hAnsi="Times New Roman" w:cs="Times New Roman"/>
                <w:sz w:val="16"/>
                <w:szCs w:val="16"/>
              </w:rPr>
            </w:pPr>
          </w:p>
        </w:tc>
        <w:tc>
          <w:tcPr>
            <w:tcW w:w="1097" w:type="dxa"/>
            <w:vMerge w:val="restart"/>
          </w:tcPr>
          <w:p w14:paraId="1A1FCB5C" w14:textId="6510AE5E" w:rsidR="00FB0019"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 xml:space="preserve">Control </w:t>
            </w:r>
            <w:r w:rsidR="00877631" w:rsidRPr="004A3B37">
              <w:rPr>
                <w:rFonts w:ascii="Times New Roman" w:hAnsi="Times New Roman" w:cs="Times New Roman"/>
                <w:sz w:val="16"/>
                <w:szCs w:val="16"/>
              </w:rPr>
              <w:t xml:space="preserve">of </w:t>
            </w:r>
            <w:r w:rsidR="005D51EB" w:rsidRPr="004A3B37">
              <w:rPr>
                <w:rFonts w:ascii="Times New Roman" w:hAnsi="Times New Roman" w:cs="Times New Roman"/>
                <w:sz w:val="16"/>
                <w:szCs w:val="16"/>
              </w:rPr>
              <w:t>Identified</w:t>
            </w:r>
            <w:r w:rsidR="003326F3" w:rsidRPr="004A3B37">
              <w:rPr>
                <w:rFonts w:ascii="Times New Roman" w:hAnsi="Times New Roman" w:cs="Times New Roman"/>
                <w:sz w:val="16"/>
                <w:szCs w:val="16"/>
              </w:rPr>
              <w:t xml:space="preserve"> </w:t>
            </w:r>
            <w:r w:rsidRPr="004A3B37">
              <w:rPr>
                <w:rFonts w:ascii="Times New Roman" w:hAnsi="Times New Roman" w:cs="Times New Roman"/>
                <w:sz w:val="16"/>
                <w:szCs w:val="16"/>
              </w:rPr>
              <w:t>Con</w:t>
            </w:r>
            <w:r w:rsidR="009073D8" w:rsidRPr="004A3B37">
              <w:rPr>
                <w:rFonts w:ascii="Times New Roman" w:hAnsi="Times New Roman" w:cs="Times New Roman"/>
                <w:sz w:val="16"/>
                <w:szCs w:val="16"/>
              </w:rPr>
              <w:t>-</w:t>
            </w:r>
            <w:r w:rsidRPr="004A3B37">
              <w:rPr>
                <w:rFonts w:ascii="Times New Roman" w:hAnsi="Times New Roman" w:cs="Times New Roman"/>
                <w:sz w:val="16"/>
                <w:szCs w:val="16"/>
              </w:rPr>
              <w:t>founding</w:t>
            </w:r>
            <w:r w:rsidR="00797590" w:rsidRPr="004A3B37">
              <w:rPr>
                <w:rFonts w:ascii="Times New Roman" w:hAnsi="Times New Roman" w:cs="Times New Roman"/>
                <w:sz w:val="16"/>
                <w:szCs w:val="16"/>
              </w:rPr>
              <w:t xml:space="preserve"> </w:t>
            </w:r>
          </w:p>
        </w:tc>
        <w:tc>
          <w:tcPr>
            <w:tcW w:w="1738" w:type="dxa"/>
            <w:gridSpan w:val="3"/>
          </w:tcPr>
          <w:p w14:paraId="50C94BC8" w14:textId="0D8B48AD" w:rsidR="00FB0019"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 xml:space="preserve">Valid Measurement of Outcome  </w:t>
            </w:r>
          </w:p>
        </w:tc>
        <w:tc>
          <w:tcPr>
            <w:tcW w:w="1984" w:type="dxa"/>
            <w:gridSpan w:val="3"/>
          </w:tcPr>
          <w:p w14:paraId="4A133A25" w14:textId="09A241E1" w:rsidR="00FB0019" w:rsidRPr="004A3B37" w:rsidRDefault="00FB0019" w:rsidP="004A3B37">
            <w:pPr>
              <w:rPr>
                <w:rFonts w:ascii="Times New Roman" w:hAnsi="Times New Roman" w:cs="Times New Roman"/>
                <w:sz w:val="16"/>
                <w:szCs w:val="16"/>
              </w:rPr>
            </w:pPr>
            <w:r w:rsidRPr="004A3B37">
              <w:rPr>
                <w:rFonts w:ascii="Times New Roman" w:hAnsi="Times New Roman" w:cs="Times New Roman"/>
                <w:sz w:val="16"/>
                <w:szCs w:val="16"/>
              </w:rPr>
              <w:t>Appropriate Statistical Analysis.</w:t>
            </w:r>
          </w:p>
        </w:tc>
        <w:tc>
          <w:tcPr>
            <w:tcW w:w="2127" w:type="dxa"/>
            <w:gridSpan w:val="3"/>
            <w:vMerge/>
          </w:tcPr>
          <w:p w14:paraId="1E8E6DFB" w14:textId="77777777" w:rsidR="00FB0019" w:rsidRPr="004A3B37" w:rsidRDefault="00FB0019" w:rsidP="004A3B37">
            <w:pPr>
              <w:rPr>
                <w:rFonts w:ascii="Times New Roman" w:hAnsi="Times New Roman" w:cs="Times New Roman"/>
                <w:sz w:val="16"/>
                <w:szCs w:val="16"/>
              </w:rPr>
            </w:pPr>
          </w:p>
        </w:tc>
      </w:tr>
      <w:tr w:rsidR="008E6A17" w:rsidRPr="004A3B37" w14:paraId="0B9D96ED" w14:textId="77777777" w:rsidTr="008E6A17">
        <w:tc>
          <w:tcPr>
            <w:tcW w:w="993" w:type="dxa"/>
            <w:vMerge/>
          </w:tcPr>
          <w:p w14:paraId="4492824C" w14:textId="77777777" w:rsidR="008E6A17" w:rsidRPr="004A3B37" w:rsidRDefault="008E6A17" w:rsidP="004A3B37">
            <w:pPr>
              <w:rPr>
                <w:rFonts w:ascii="Times New Roman" w:hAnsi="Times New Roman" w:cs="Times New Roman"/>
                <w:sz w:val="16"/>
                <w:szCs w:val="16"/>
                <w:highlight w:val="yellow"/>
              </w:rPr>
            </w:pPr>
          </w:p>
        </w:tc>
        <w:tc>
          <w:tcPr>
            <w:tcW w:w="992" w:type="dxa"/>
            <w:vMerge/>
            <w:shd w:val="clear" w:color="auto" w:fill="auto"/>
          </w:tcPr>
          <w:p w14:paraId="439D7BCB" w14:textId="77777777" w:rsidR="008E6A17" w:rsidRPr="004A3B37" w:rsidRDefault="008E6A17" w:rsidP="004A3B37">
            <w:pPr>
              <w:rPr>
                <w:rFonts w:ascii="Times New Roman" w:hAnsi="Times New Roman" w:cs="Times New Roman"/>
                <w:sz w:val="16"/>
                <w:szCs w:val="16"/>
              </w:rPr>
            </w:pPr>
          </w:p>
        </w:tc>
        <w:tc>
          <w:tcPr>
            <w:tcW w:w="992" w:type="dxa"/>
            <w:vMerge/>
            <w:shd w:val="clear" w:color="auto" w:fill="auto"/>
          </w:tcPr>
          <w:p w14:paraId="0BA300F4" w14:textId="77777777" w:rsidR="008E6A17" w:rsidRPr="004A3B37" w:rsidRDefault="008E6A17" w:rsidP="004A3B37">
            <w:pPr>
              <w:rPr>
                <w:rFonts w:ascii="Times New Roman" w:hAnsi="Times New Roman" w:cs="Times New Roman"/>
                <w:sz w:val="16"/>
                <w:szCs w:val="16"/>
              </w:rPr>
            </w:pPr>
          </w:p>
        </w:tc>
        <w:tc>
          <w:tcPr>
            <w:tcW w:w="993" w:type="dxa"/>
            <w:vMerge/>
            <w:shd w:val="clear" w:color="auto" w:fill="auto"/>
          </w:tcPr>
          <w:p w14:paraId="07683AD4" w14:textId="77777777" w:rsidR="008E6A17" w:rsidRPr="004A3B37" w:rsidRDefault="008E6A17" w:rsidP="004A3B37">
            <w:pPr>
              <w:rPr>
                <w:rFonts w:ascii="Times New Roman" w:hAnsi="Times New Roman" w:cs="Times New Roman"/>
                <w:sz w:val="16"/>
                <w:szCs w:val="16"/>
              </w:rPr>
            </w:pPr>
          </w:p>
        </w:tc>
        <w:tc>
          <w:tcPr>
            <w:tcW w:w="992" w:type="dxa"/>
            <w:vMerge/>
            <w:shd w:val="clear" w:color="auto" w:fill="auto"/>
          </w:tcPr>
          <w:p w14:paraId="44A5949B" w14:textId="77777777" w:rsidR="008E6A17" w:rsidRPr="004A3B37" w:rsidRDefault="008E6A17" w:rsidP="004A3B37">
            <w:pPr>
              <w:rPr>
                <w:rFonts w:ascii="Times New Roman" w:hAnsi="Times New Roman" w:cs="Times New Roman"/>
                <w:sz w:val="16"/>
                <w:szCs w:val="16"/>
              </w:rPr>
            </w:pPr>
          </w:p>
        </w:tc>
        <w:tc>
          <w:tcPr>
            <w:tcW w:w="1134" w:type="dxa"/>
            <w:vMerge/>
            <w:shd w:val="clear" w:color="auto" w:fill="auto"/>
          </w:tcPr>
          <w:p w14:paraId="1F42E3FD" w14:textId="77777777" w:rsidR="008E6A17" w:rsidRPr="004A3B37" w:rsidRDefault="008E6A17" w:rsidP="004A3B37">
            <w:pPr>
              <w:rPr>
                <w:rFonts w:ascii="Times New Roman" w:hAnsi="Times New Roman" w:cs="Times New Roman"/>
                <w:sz w:val="16"/>
                <w:szCs w:val="16"/>
              </w:rPr>
            </w:pPr>
          </w:p>
        </w:tc>
        <w:tc>
          <w:tcPr>
            <w:tcW w:w="1097" w:type="dxa"/>
            <w:vMerge/>
            <w:shd w:val="clear" w:color="auto" w:fill="auto"/>
          </w:tcPr>
          <w:p w14:paraId="6431270B" w14:textId="77777777" w:rsidR="008E6A17" w:rsidRPr="004A3B37" w:rsidRDefault="008E6A17" w:rsidP="004A3B37">
            <w:pPr>
              <w:rPr>
                <w:rFonts w:ascii="Times New Roman" w:hAnsi="Times New Roman" w:cs="Times New Roman"/>
                <w:sz w:val="16"/>
                <w:szCs w:val="16"/>
              </w:rPr>
            </w:pPr>
          </w:p>
        </w:tc>
        <w:tc>
          <w:tcPr>
            <w:tcW w:w="579" w:type="dxa"/>
            <w:shd w:val="clear" w:color="auto" w:fill="auto"/>
          </w:tcPr>
          <w:p w14:paraId="4CB3AB6F" w14:textId="3ADA0B6F"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A</w:t>
            </w:r>
          </w:p>
        </w:tc>
        <w:tc>
          <w:tcPr>
            <w:tcW w:w="579" w:type="dxa"/>
            <w:shd w:val="clear" w:color="auto" w:fill="auto"/>
          </w:tcPr>
          <w:p w14:paraId="23EB4367" w14:textId="7988F009"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B</w:t>
            </w:r>
          </w:p>
        </w:tc>
        <w:tc>
          <w:tcPr>
            <w:tcW w:w="580" w:type="dxa"/>
            <w:shd w:val="clear" w:color="auto" w:fill="auto"/>
          </w:tcPr>
          <w:p w14:paraId="07CC5C61" w14:textId="6F7F7B2C"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C</w:t>
            </w:r>
          </w:p>
        </w:tc>
        <w:tc>
          <w:tcPr>
            <w:tcW w:w="661" w:type="dxa"/>
            <w:shd w:val="clear" w:color="auto" w:fill="auto"/>
          </w:tcPr>
          <w:p w14:paraId="1FE2A259" w14:textId="4047AEE2"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A</w:t>
            </w:r>
          </w:p>
        </w:tc>
        <w:tc>
          <w:tcPr>
            <w:tcW w:w="661" w:type="dxa"/>
            <w:shd w:val="clear" w:color="auto" w:fill="auto"/>
          </w:tcPr>
          <w:p w14:paraId="0BD832FA" w14:textId="68B88883"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B</w:t>
            </w:r>
          </w:p>
        </w:tc>
        <w:tc>
          <w:tcPr>
            <w:tcW w:w="662" w:type="dxa"/>
            <w:shd w:val="clear" w:color="auto" w:fill="auto"/>
          </w:tcPr>
          <w:p w14:paraId="242B90D2" w14:textId="5C5E2C8C"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C</w:t>
            </w:r>
          </w:p>
        </w:tc>
        <w:tc>
          <w:tcPr>
            <w:tcW w:w="709" w:type="dxa"/>
            <w:shd w:val="clear" w:color="auto" w:fill="auto"/>
          </w:tcPr>
          <w:p w14:paraId="0B354A92" w14:textId="62D03AE6"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A</w:t>
            </w:r>
          </w:p>
        </w:tc>
        <w:tc>
          <w:tcPr>
            <w:tcW w:w="709" w:type="dxa"/>
            <w:shd w:val="clear" w:color="auto" w:fill="auto"/>
          </w:tcPr>
          <w:p w14:paraId="167A7EC3" w14:textId="6D45DEC2"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B</w:t>
            </w:r>
          </w:p>
        </w:tc>
        <w:tc>
          <w:tcPr>
            <w:tcW w:w="709" w:type="dxa"/>
            <w:shd w:val="clear" w:color="auto" w:fill="auto"/>
          </w:tcPr>
          <w:p w14:paraId="3CBF228F" w14:textId="316DA1E0"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C</w:t>
            </w:r>
          </w:p>
        </w:tc>
      </w:tr>
      <w:tr w:rsidR="008E6A17" w:rsidRPr="004A3B37" w14:paraId="50E67537" w14:textId="77777777" w:rsidTr="008E6A17">
        <w:tc>
          <w:tcPr>
            <w:tcW w:w="993" w:type="dxa"/>
          </w:tcPr>
          <w:p w14:paraId="28E36183" w14:textId="68B8A705"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Brown et al. 2021</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{"citationID":"chbaQDw1","properties":{"formattedCitation":"\\super 32\\nosupersub{}","plainCitation":"32","noteIndex":0},"citationItems":[{"id":1465,"uris":["http://zotero.org/users/local/26vZAHNZ/items/D7MVMZTG"],"itemData":{"id":1465,"type":"article-journal","abstract":"BACKGROUND: In March 2020, elective total hip and knee arthroplasty (THA and TKA) were suspended across the United States in response to the COVID-19 pandemic. We had previously published the results of a survey to the affected patients from 6 institutions. We now present the results of a larger distribution of this survey, through May and June 2020, to electively scheduled patients representing different regions of the United States.\nMETHODS: Fifteen centers identified through the American Association of Hip and Knee Surgeons Research Committee participated in a survey study of THA and TKA patients. Patients scheduled for primary elective THA or TKA but canceled due to the COVID-19 elective surgery stoppage (3/2020-5/2020) were included in the study. Descriptive statistics along with subgroup analysis with Wilcoxon rank were performed.\nRESULTS: In total, surveys were distributed to 2135 patients and completed by 848 patients (40%) from 15 institutions. Most patients (728/848, 86%) had their surgery postponed or canceled by the surgeon or hospital. Unknown length of surgical delay remained the highest source of anxiety among survey participants. Male patients were more likely to be willing to proceed with surgery in spite of COVID-19. There were minimal regional differences in responses. Only 61 patients (7%) stated they will continue to delay surgery for fear of contracting COVID-19 while in the hospital.\nCONCLUSION: Similar to the previous study, the most anxiety-provoking thought was the uncertainty, over if and when the canceled joint replacement surgery could be rescheduled. Patients suffering from the daily pain of hip and knee arthritis who have been scheduled for elective arthroplasty remain eager to have their operation as soon as elective surgery is allowed to resume.","container-title":"Arthroplasty Today","DOI":"10.1016/j.artd.2020.11.025","ISSN":"2352-3441","journalAbbreviation":"Arthroplast Today","language":"eng","note":"PMID: 33294537\nPMCID: PMC7713541","page":"268-272","source":"PubMed","title":"The Effect of the COVID-19 Pandemic on Hip and Knee Arthroplasty Patients in the United States: A Multicenter Update to the Previous Survey","title-short":"The Effect of the COVID-19 Pandemic on Hip and Knee Arthroplasty Patients in the United States","volume":"7","author":[{"family":"Brown","given":"Timothy S."},{"family":"Bedard","given":"Nicholas A."},{"family":"Rojas","given":"Edward O."},{"family":"Anthony","given":"Christopher A."},{"family":"Schwarzkopf","given":"Ran"},{"family":"Stambough","given":"Jeffrey B."},{"family":"Nandi","given":"Sumon"},{"family":"Prieto","given":"Hernan"},{"family":"Parvizi","given":"Javad"},{"family":"Bini","given":"Stefano A."},{"family":"Higuera","given":"Carlos A."},{"family":"Piuzzi","given":"Nicholas S."},{"family":"Blankstein","given":"Michael"},{"family":"Wellman","given":"Samuel S."},{"family":"Dietz","given":"Matthew J."},{"family":"Jennings","given":"Jason M."},{"family":"Dasa","given":"Vinod"},{"literal":"AAHKS Research Committee"}],"issued":{"date-parts":[["2021",2]]}}}],"schema":"https://github.com/citation-style-language/schema/raw/master/csl-citation.json"}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32</w:t>
            </w:r>
            <w:r>
              <w:rPr>
                <w:rFonts w:ascii="Times New Roman" w:hAnsi="Times New Roman" w:cs="Times New Roman"/>
                <w:sz w:val="16"/>
                <w:szCs w:val="16"/>
              </w:rPr>
              <w:fldChar w:fldCharType="end"/>
            </w:r>
          </w:p>
        </w:tc>
        <w:tc>
          <w:tcPr>
            <w:tcW w:w="992" w:type="dxa"/>
            <w:shd w:val="clear" w:color="auto" w:fill="A8D08D" w:themeFill="accent6" w:themeFillTint="99"/>
          </w:tcPr>
          <w:p w14:paraId="3620A0E7" w14:textId="1A3997BB"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992" w:type="dxa"/>
            <w:shd w:val="clear" w:color="auto" w:fill="A8D08D" w:themeFill="accent6" w:themeFillTint="99"/>
          </w:tcPr>
          <w:p w14:paraId="1CC98E3E" w14:textId="2E7EA1F9"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993" w:type="dxa"/>
            <w:shd w:val="clear" w:color="auto" w:fill="auto"/>
          </w:tcPr>
          <w:p w14:paraId="7B62AF92" w14:textId="632D5707"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X</w:t>
            </w:r>
          </w:p>
        </w:tc>
        <w:tc>
          <w:tcPr>
            <w:tcW w:w="992" w:type="dxa"/>
            <w:shd w:val="clear" w:color="auto" w:fill="A8D08D" w:themeFill="accent6" w:themeFillTint="99"/>
          </w:tcPr>
          <w:p w14:paraId="13F66615" w14:textId="15EE1DEB"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1134" w:type="dxa"/>
            <w:shd w:val="clear" w:color="auto" w:fill="A8D08D" w:themeFill="accent6" w:themeFillTint="99"/>
          </w:tcPr>
          <w:p w14:paraId="6EB6F8C9" w14:textId="6AFE6F80"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1097" w:type="dxa"/>
            <w:shd w:val="clear" w:color="auto" w:fill="A8D08D" w:themeFill="accent6" w:themeFillTint="99"/>
          </w:tcPr>
          <w:p w14:paraId="7C7329F5" w14:textId="792C457E"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579" w:type="dxa"/>
            <w:shd w:val="clear" w:color="auto" w:fill="FB7670"/>
          </w:tcPr>
          <w:p w14:paraId="1C571974" w14:textId="59F581E8"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N</w:t>
            </w:r>
          </w:p>
        </w:tc>
        <w:tc>
          <w:tcPr>
            <w:tcW w:w="579" w:type="dxa"/>
            <w:shd w:val="clear" w:color="auto" w:fill="auto"/>
          </w:tcPr>
          <w:p w14:paraId="1639B23E" w14:textId="156D7B63"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X</w:t>
            </w:r>
          </w:p>
        </w:tc>
        <w:tc>
          <w:tcPr>
            <w:tcW w:w="580" w:type="dxa"/>
            <w:shd w:val="clear" w:color="auto" w:fill="FF7E79"/>
          </w:tcPr>
          <w:p w14:paraId="12CA9344" w14:textId="4E0F48E3"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N</w:t>
            </w:r>
          </w:p>
        </w:tc>
        <w:tc>
          <w:tcPr>
            <w:tcW w:w="661" w:type="dxa"/>
            <w:shd w:val="clear" w:color="auto" w:fill="A8D08D" w:themeFill="accent6" w:themeFillTint="99"/>
          </w:tcPr>
          <w:p w14:paraId="554C8FD2" w14:textId="190CFC54"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661" w:type="dxa"/>
            <w:shd w:val="clear" w:color="auto" w:fill="auto"/>
          </w:tcPr>
          <w:p w14:paraId="402627AF" w14:textId="0A5A05AD"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X</w:t>
            </w:r>
          </w:p>
        </w:tc>
        <w:tc>
          <w:tcPr>
            <w:tcW w:w="662" w:type="dxa"/>
            <w:shd w:val="clear" w:color="auto" w:fill="A8D08D" w:themeFill="accent6" w:themeFillTint="99"/>
          </w:tcPr>
          <w:p w14:paraId="63DDDCD6" w14:textId="173A4DEB"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709" w:type="dxa"/>
            <w:shd w:val="clear" w:color="auto" w:fill="FFD966" w:themeFill="accent4" w:themeFillTint="99"/>
          </w:tcPr>
          <w:p w14:paraId="026C4D55" w14:textId="69708256"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2</w:t>
            </w:r>
          </w:p>
        </w:tc>
        <w:tc>
          <w:tcPr>
            <w:tcW w:w="709" w:type="dxa"/>
            <w:shd w:val="clear" w:color="auto" w:fill="auto"/>
          </w:tcPr>
          <w:p w14:paraId="0FDF7259" w14:textId="248C5414"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X</w:t>
            </w:r>
          </w:p>
        </w:tc>
        <w:tc>
          <w:tcPr>
            <w:tcW w:w="709" w:type="dxa"/>
            <w:shd w:val="clear" w:color="auto" w:fill="FFD966" w:themeFill="accent4" w:themeFillTint="99"/>
          </w:tcPr>
          <w:p w14:paraId="38BD8859" w14:textId="1D3BC68E"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2</w:t>
            </w:r>
          </w:p>
        </w:tc>
      </w:tr>
      <w:tr w:rsidR="008E6A17" w:rsidRPr="004A3B37" w14:paraId="1CA8A1ED" w14:textId="77777777" w:rsidTr="008E6A17">
        <w:tc>
          <w:tcPr>
            <w:tcW w:w="993" w:type="dxa"/>
          </w:tcPr>
          <w:p w14:paraId="04861C3F" w14:textId="69834CC6"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Johnson et al. 2021</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{"citationID":"YPVhBIlK","properties":{"formattedCitation":"\\super 33\\nosupersub{}","plainCitation":"33","noteIndex":0},"citationItems":[{"id":1462,"uris":["http://zotero.org/users/local/26vZAHNZ/items/EAQEGS22"],"itemData":{"id":1462,"type":"article-journal","abstract":"BACKGROUND: The COVID-19 pandemic led to cancelation of all elective surgeries for a time period in the vast majority of the United States. We compiled a questionnaire to determine the physical and mental toll of this delay on elective total joint arthroplasty patients.\nMETHODS: All patients whose primary or revision total hip or knee arthroplasty was canceled because of the COVID-19 pandemic at a large academic-private practice were identified. An 11-question survey was administered to these patients via email. All data were deidentified and stored in a REDCAP database.\nRESULTS: Of 367 total patients identified, 113 responded to the survey. Seventy-seven percent of patients had their surgery postponed at least 5 weeks, and 20% were delayed longer than 12 weeks. Forty-one percent of patients reported an average visual analog scale pain score greater than 7.5. Forty percent of respondents experienced increased anxiety during the delay. Thirty-four percent of patients felt their surgery was not elective. Sixteen percent experienced a fall during the delay, and 1 patient sustained a hip fracture. Level of pain reported was significantly associated with negative emotions, negative effects of delay, and whether patients felt their surgery was indeed elective. Seventy-six percent reported trust in their surgeon's judgment regarding appropriate timing of surgery. Communication was listed as the number one way in which patients felt their surgeon could have improved during this time.\nCONCLUSION: Surgical delay due to the COVID-19 pandemic resulted in increased pain and anxiety for many total joint arthroplasty patients. While most patients maintained trust in their surgeon during the delay, methods to improve communication may benefit the patient experience in future delays.\nLEVEL OF EVIDENCE: Level II.","container-title":"Arthroplasty Today","DOI":"10.1016/j.artd.2021.05.013","ISSN":"2352-3441","journalAbbreviation":"Arthroplast Today","language":"eng","note":"PMID: 34095397\nPMCID: PMC8162719","page":"27-34","source":"PubMed","title":"Pain and Anxiety due to the COVID-19 Pandemic: A Survey of Patients With Delayed Elective Hip and Knee Arthroplasty","title-short":"Pain and Anxiety due to the COVID-19 Pandemic","volume":"10","author":[{"family":"Johnson","given":"Nick R."},{"family":"Odum","given":"Susan"},{"family":"Lastra","given":"James D."},{"family":"Fehring","given":"Keith A."},{"family":"Springer","given":"Bryan D."},{"family":"Otero","given":"Jesse E."}],"issued":{"date-parts":[["2021",8]]}}}],"schema":"https://github.com/citation-style-language/schema/raw/master/csl-citation.json"}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33</w:t>
            </w:r>
            <w:r>
              <w:rPr>
                <w:rFonts w:ascii="Times New Roman" w:hAnsi="Times New Roman" w:cs="Times New Roman"/>
                <w:sz w:val="16"/>
                <w:szCs w:val="16"/>
              </w:rPr>
              <w:fldChar w:fldCharType="end"/>
            </w:r>
          </w:p>
        </w:tc>
        <w:tc>
          <w:tcPr>
            <w:tcW w:w="992" w:type="dxa"/>
            <w:shd w:val="clear" w:color="auto" w:fill="A8D08D" w:themeFill="accent6" w:themeFillTint="99"/>
          </w:tcPr>
          <w:p w14:paraId="27F64DD1" w14:textId="20735F0A"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992" w:type="dxa"/>
            <w:shd w:val="clear" w:color="auto" w:fill="A8D08D" w:themeFill="accent6" w:themeFillTint="99"/>
          </w:tcPr>
          <w:p w14:paraId="2F1415DB" w14:textId="0511B8BC"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993" w:type="dxa"/>
            <w:shd w:val="clear" w:color="auto" w:fill="auto"/>
          </w:tcPr>
          <w:p w14:paraId="30973E9D" w14:textId="598142A7"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X</w:t>
            </w:r>
          </w:p>
        </w:tc>
        <w:tc>
          <w:tcPr>
            <w:tcW w:w="992" w:type="dxa"/>
            <w:shd w:val="clear" w:color="auto" w:fill="A8D08D" w:themeFill="accent6" w:themeFillTint="99"/>
          </w:tcPr>
          <w:p w14:paraId="3549CE86" w14:textId="40DE6F9B"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1134" w:type="dxa"/>
            <w:shd w:val="clear" w:color="auto" w:fill="FF7E79"/>
          </w:tcPr>
          <w:p w14:paraId="6B84BB13" w14:textId="63968D6A"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N</w:t>
            </w:r>
          </w:p>
        </w:tc>
        <w:tc>
          <w:tcPr>
            <w:tcW w:w="1097" w:type="dxa"/>
            <w:shd w:val="clear" w:color="auto" w:fill="FF7E79"/>
          </w:tcPr>
          <w:p w14:paraId="5E09C448" w14:textId="21BC041C"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N</w:t>
            </w:r>
          </w:p>
        </w:tc>
        <w:tc>
          <w:tcPr>
            <w:tcW w:w="579" w:type="dxa"/>
            <w:shd w:val="clear" w:color="auto" w:fill="FB7670"/>
          </w:tcPr>
          <w:p w14:paraId="5226A6D4" w14:textId="2E977D03"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N</w:t>
            </w:r>
          </w:p>
        </w:tc>
        <w:tc>
          <w:tcPr>
            <w:tcW w:w="579" w:type="dxa"/>
            <w:shd w:val="clear" w:color="auto" w:fill="auto"/>
          </w:tcPr>
          <w:p w14:paraId="75E44664" w14:textId="24235105"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X</w:t>
            </w:r>
          </w:p>
        </w:tc>
        <w:tc>
          <w:tcPr>
            <w:tcW w:w="580" w:type="dxa"/>
            <w:shd w:val="clear" w:color="auto" w:fill="A8D08D" w:themeFill="accent6" w:themeFillTint="99"/>
          </w:tcPr>
          <w:p w14:paraId="6B638EC2" w14:textId="6C0E3A16"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661" w:type="dxa"/>
            <w:shd w:val="clear" w:color="auto" w:fill="A8D08D" w:themeFill="accent6" w:themeFillTint="99"/>
          </w:tcPr>
          <w:p w14:paraId="77E2F1FF" w14:textId="2238EF65"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661" w:type="dxa"/>
            <w:shd w:val="clear" w:color="auto" w:fill="auto"/>
          </w:tcPr>
          <w:p w14:paraId="11DC8CF5" w14:textId="3A986988"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X</w:t>
            </w:r>
          </w:p>
        </w:tc>
        <w:tc>
          <w:tcPr>
            <w:tcW w:w="662" w:type="dxa"/>
            <w:shd w:val="clear" w:color="auto" w:fill="A8D08D" w:themeFill="accent6" w:themeFillTint="99"/>
          </w:tcPr>
          <w:p w14:paraId="214BB7BA" w14:textId="55F95A35"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Y</w:t>
            </w:r>
          </w:p>
        </w:tc>
        <w:tc>
          <w:tcPr>
            <w:tcW w:w="709" w:type="dxa"/>
            <w:shd w:val="clear" w:color="auto" w:fill="F4B083" w:themeFill="accent2" w:themeFillTint="99"/>
          </w:tcPr>
          <w:p w14:paraId="1342877D" w14:textId="1C4515F4"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3</w:t>
            </w:r>
          </w:p>
        </w:tc>
        <w:tc>
          <w:tcPr>
            <w:tcW w:w="709" w:type="dxa"/>
            <w:shd w:val="clear" w:color="auto" w:fill="auto"/>
          </w:tcPr>
          <w:p w14:paraId="7A548FC3" w14:textId="56AE0B6A"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X</w:t>
            </w:r>
          </w:p>
        </w:tc>
        <w:tc>
          <w:tcPr>
            <w:tcW w:w="709" w:type="dxa"/>
            <w:shd w:val="clear" w:color="auto" w:fill="FFD966" w:themeFill="accent4" w:themeFillTint="99"/>
          </w:tcPr>
          <w:p w14:paraId="7EE0F28D" w14:textId="7F404C26" w:rsidR="008E6A17" w:rsidRPr="004A3B37" w:rsidRDefault="008E6A17" w:rsidP="004A3B37">
            <w:pPr>
              <w:rPr>
                <w:rFonts w:ascii="Times New Roman" w:hAnsi="Times New Roman" w:cs="Times New Roman"/>
                <w:sz w:val="16"/>
                <w:szCs w:val="16"/>
              </w:rPr>
            </w:pPr>
            <w:r w:rsidRPr="004A3B37">
              <w:rPr>
                <w:rFonts w:ascii="Times New Roman" w:hAnsi="Times New Roman" w:cs="Times New Roman"/>
                <w:sz w:val="16"/>
                <w:szCs w:val="16"/>
              </w:rPr>
              <w:t>2</w:t>
            </w:r>
          </w:p>
        </w:tc>
      </w:tr>
      <w:tr w:rsidR="007C7D84" w:rsidRPr="004A3B37" w14:paraId="5E57F89C" w14:textId="77777777" w:rsidTr="009B21A8">
        <w:tc>
          <w:tcPr>
            <w:tcW w:w="993" w:type="dxa"/>
            <w:shd w:val="clear" w:color="auto" w:fill="auto"/>
          </w:tcPr>
          <w:p w14:paraId="4322B28C" w14:textId="7F06F06F"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Clement et al. 2022</w:t>
            </w:r>
            <w:r>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{"citationID":"Hdc0eCem","properties":{"formattedCitation":"\\super 34\\nosupersub{}","plainCitation":"34","noteIndex":0},"citationItems":[{"id":1792,"uris":["http://zotero.org/users/local/26vZAHNZ/items/XJD2JMSQ"],"itemData":{"id":1792,"type":"article-journal","abstract":"AIMS: The primary aim of this study was to assess whether patients waiting six months or more for a total hip (THA) or knee (KA) arthroplasty had a deterioration in their health-related quality of life (HRQoL). Secondary aims were to assess changes in frailty and the number of patients living in a state considered to be worse than death (WTD), and factors associated with changes in HRQoL and frailty.\nMETHODS: This cross-sectional study included 326 patients, 150 males (46.0%) and 176 females (54.0%), with a mean age of 68.6 years (SD 9.8) who were randomly selected from waiting lists at four centres and had been waiting for six months or more (median 13 months, interquartile range 10 to 21) for a primary THA (n = 161) or KA (n = 165). The EuroQol five-dimension questionnaire (EQ-5D) and visual analogue scores (EQ-VAS), Rockwood Clinical Frailty Scale (CFS), and 36-Item Short Form Survey subjective change in HRQoL were assessed at the time and recalled for six months earlier. A state that was WTD was defined as an EQ-5D of less than zero.\nRESULTS: There were significant deteriorations in the EQ-5D (mean 0.175, 95% confidence interval (CI) 0.145 to 0.204; p &lt; 0.001), EQ-VAS (mean 8.6, 95% CI 7.0 to 10.4; &lt; 0.001), and CFS (from 3 \"managing well\" to 4 \"vulnerable\"; p &lt; 0.001), and a significant increase in the number of those in a state that was WTD (n = 48; p &lt; 0.001) during the previous six months for the whole cohort. A total of 110 patients (33.7%) stated that their health was much worse and 107 (32.8%) felt it was somewhat worse compared with six months previously. A significantly greater EQ-5D (-0.14, 95% CI 0.08 to 0.28; p = 0.038) and a state that was not WTD (-0.14, 95% CI 0.01 to 0.26; p = 0.031) were associated with a deterioration in the EQ-5D. THA (0.21, 95% CI 0.07 to 0.34; p = 0.002) or a lower (better) CFS (0.14, 95% CI 0.07 to 0.20; p &lt; 0.001) were independently significantly associated with a deterioration in the CFS.\nCONCLUSION: Patients waiting more than six months for THA or KA had a significant deterioration in their HRQoL and increased frailty, with two-thirds of patients feeling that their health had worsened.Cite this article: Bone Joint J 2022;104-B(11):1215-1224.","container-title":"The Bone &amp; Joint Journal","DOI":"10.1302/0301-620X.104B11.BJJ-2022-0470.R2","ISSN":"2049-4408","issue":"11","journalAbbreviation":"Bone Joint J","language":"eng","note":"PMID: 36317352","page":"1215-1224","source":"PubMed","title":"Significant deterioration in quality of life and increased frailty in patients waiting more than six months for total hip or knee arthroplasty : a cross-sectional multicentre study","title-short":"Significant deterioration in quality of life and increased frailty in patients waiting more than six months for total hip or knee arthroplasty","volume":"104-B","author":[{"family":"Clement","given":"Nick D."},{"family":"Wickramasinghe","given":"Neil R."},{"family":"Bayram","given":"John M."},{"family":"Hughes","given":"Katie"},{"family":"Oag","given":"Erlend"},{"family":"Heinz","given":"Nicholas"},{"family":"Fraser","given":"Ewen"},{"family":"Jefferies","given":"James G."},{"family":"Dall","given":"Graham F."},{"family":"Ballantyne","given":"Andy"},{"family":"Jenkins","given":"Paul J."}],"issued":{"date-parts":[["2022",11]]}}}],"schema":"https://github.com/citation-style-language/schema/raw/master/csl-citation.json"} </w:instrText>
            </w:r>
            <w:r>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34</w:t>
            </w:r>
            <w:r>
              <w:rPr>
                <w:rFonts w:ascii="Times New Roman" w:hAnsi="Times New Roman" w:cs="Times New Roman"/>
                <w:sz w:val="16"/>
                <w:szCs w:val="16"/>
              </w:rPr>
              <w:fldChar w:fldCharType="end"/>
            </w:r>
          </w:p>
        </w:tc>
        <w:tc>
          <w:tcPr>
            <w:tcW w:w="992" w:type="dxa"/>
            <w:shd w:val="clear" w:color="auto" w:fill="A8D08D" w:themeFill="accent6" w:themeFillTint="99"/>
          </w:tcPr>
          <w:p w14:paraId="2528745C" w14:textId="0A0B5B0C"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Y</w:t>
            </w:r>
          </w:p>
        </w:tc>
        <w:tc>
          <w:tcPr>
            <w:tcW w:w="992" w:type="dxa"/>
            <w:shd w:val="clear" w:color="auto" w:fill="A8D08D" w:themeFill="accent6" w:themeFillTint="99"/>
          </w:tcPr>
          <w:p w14:paraId="1C04BC8C" w14:textId="70B08F95"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Y</w:t>
            </w:r>
          </w:p>
        </w:tc>
        <w:tc>
          <w:tcPr>
            <w:tcW w:w="993" w:type="dxa"/>
            <w:shd w:val="clear" w:color="auto" w:fill="A8D08D" w:themeFill="accent6" w:themeFillTint="99"/>
          </w:tcPr>
          <w:p w14:paraId="7CC21980" w14:textId="4081381F"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Y</w:t>
            </w:r>
          </w:p>
        </w:tc>
        <w:tc>
          <w:tcPr>
            <w:tcW w:w="992" w:type="dxa"/>
            <w:shd w:val="clear" w:color="auto" w:fill="A8D08D" w:themeFill="accent6" w:themeFillTint="99"/>
          </w:tcPr>
          <w:p w14:paraId="3D59511D" w14:textId="3852D3CE"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Y</w:t>
            </w:r>
          </w:p>
        </w:tc>
        <w:tc>
          <w:tcPr>
            <w:tcW w:w="1134" w:type="dxa"/>
            <w:shd w:val="clear" w:color="auto" w:fill="A8D08D" w:themeFill="accent6" w:themeFillTint="99"/>
          </w:tcPr>
          <w:p w14:paraId="2689AB11" w14:textId="5C9457CE"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Y</w:t>
            </w:r>
          </w:p>
        </w:tc>
        <w:tc>
          <w:tcPr>
            <w:tcW w:w="1097" w:type="dxa"/>
            <w:shd w:val="clear" w:color="auto" w:fill="A8D08D" w:themeFill="accent6" w:themeFillTint="99"/>
          </w:tcPr>
          <w:p w14:paraId="0A746360" w14:textId="41F96F19"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Y</w:t>
            </w:r>
          </w:p>
        </w:tc>
        <w:tc>
          <w:tcPr>
            <w:tcW w:w="579" w:type="dxa"/>
            <w:shd w:val="clear" w:color="auto" w:fill="auto"/>
          </w:tcPr>
          <w:p w14:paraId="2E151632" w14:textId="1927F630"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X</w:t>
            </w:r>
          </w:p>
        </w:tc>
        <w:tc>
          <w:tcPr>
            <w:tcW w:w="579" w:type="dxa"/>
            <w:shd w:val="clear" w:color="auto" w:fill="A8D08D" w:themeFill="accent6" w:themeFillTint="99"/>
          </w:tcPr>
          <w:p w14:paraId="7A01381A" w14:textId="2D1C5CB1"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Y</w:t>
            </w:r>
          </w:p>
        </w:tc>
        <w:tc>
          <w:tcPr>
            <w:tcW w:w="580" w:type="dxa"/>
            <w:shd w:val="clear" w:color="auto" w:fill="auto"/>
          </w:tcPr>
          <w:p w14:paraId="1BD249A4" w14:textId="341CB031"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X</w:t>
            </w:r>
          </w:p>
        </w:tc>
        <w:tc>
          <w:tcPr>
            <w:tcW w:w="661" w:type="dxa"/>
            <w:shd w:val="clear" w:color="auto" w:fill="auto"/>
          </w:tcPr>
          <w:p w14:paraId="6D5FC65B" w14:textId="4BA022FD"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X</w:t>
            </w:r>
          </w:p>
        </w:tc>
        <w:tc>
          <w:tcPr>
            <w:tcW w:w="661" w:type="dxa"/>
            <w:shd w:val="clear" w:color="auto" w:fill="A8D08D" w:themeFill="accent6" w:themeFillTint="99"/>
          </w:tcPr>
          <w:p w14:paraId="0E499097" w14:textId="596B1FEC"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Y</w:t>
            </w:r>
          </w:p>
        </w:tc>
        <w:tc>
          <w:tcPr>
            <w:tcW w:w="662" w:type="dxa"/>
            <w:shd w:val="clear" w:color="auto" w:fill="auto"/>
          </w:tcPr>
          <w:p w14:paraId="373CAA54" w14:textId="7DB47CAB"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X</w:t>
            </w:r>
          </w:p>
        </w:tc>
        <w:tc>
          <w:tcPr>
            <w:tcW w:w="709" w:type="dxa"/>
            <w:shd w:val="clear" w:color="auto" w:fill="auto"/>
          </w:tcPr>
          <w:p w14:paraId="2D5F1835" w14:textId="101FA775"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X</w:t>
            </w:r>
          </w:p>
        </w:tc>
        <w:tc>
          <w:tcPr>
            <w:tcW w:w="709" w:type="dxa"/>
            <w:shd w:val="clear" w:color="auto" w:fill="A8D08D" w:themeFill="accent6" w:themeFillTint="99"/>
          </w:tcPr>
          <w:p w14:paraId="34306BDE" w14:textId="2967E662"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1</w:t>
            </w:r>
          </w:p>
        </w:tc>
        <w:tc>
          <w:tcPr>
            <w:tcW w:w="709" w:type="dxa"/>
            <w:shd w:val="clear" w:color="auto" w:fill="auto"/>
          </w:tcPr>
          <w:p w14:paraId="40A6E97B" w14:textId="11FDFDE5"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X</w:t>
            </w:r>
          </w:p>
        </w:tc>
      </w:tr>
      <w:tr w:rsidR="007C7D84" w:rsidRPr="004A3B37" w14:paraId="2B44C4A3" w14:textId="77777777" w:rsidTr="009B21A8">
        <w:tc>
          <w:tcPr>
            <w:tcW w:w="993" w:type="dxa"/>
            <w:shd w:val="clear" w:color="auto" w:fill="auto"/>
          </w:tcPr>
          <w:p w14:paraId="2FADECE6" w14:textId="0BC34D16"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Grace et al. 2022</w:t>
            </w:r>
            <w:r w:rsidR="00BA5186">
              <w:rPr>
                <w:rFonts w:ascii="Times New Roman" w:hAnsi="Times New Roman" w:cs="Times New Roman"/>
                <w:sz w:val="16"/>
                <w:szCs w:val="16"/>
              </w:rPr>
              <w:fldChar w:fldCharType="begin"/>
            </w:r>
            <w:r w:rsidR="003A04FA">
              <w:rPr>
                <w:rFonts w:ascii="Times New Roman" w:hAnsi="Times New Roman" w:cs="Times New Roman"/>
                <w:sz w:val="16"/>
                <w:szCs w:val="16"/>
              </w:rPr>
              <w:instrText xml:space="preserve"> ADDIN ZOTERO_ITEM CSL_CITATION {"citationID":"6aYaZkHi","properties":{"formattedCitation":"\\super 35\\nosupersub{}","plainCitation":"35","noteIndex":0},"citationItems":[{"id":1782,"uris":["http://zotero.org/users/local/26vZAHNZ/items/TC8BBXK3"],"itemData":{"id":1782,"type":"article-journal","abstract":"Background\nPayer coverage policies have recently begun requiring physical therapy (PT) prior to total hip arthroplasty and total knee arthroplasty (TKA). It remains controversial if such a mandate is appropriate for patients with end-stage, symptomatic osteoarthritis. The purpose of this study is to assess if such patients are amenable to delaying surgery for a trial of PT.\nMethods\nAll patients scheduled for elective primary total hip arthroplasty and TKA in a 3-month period by 1 of 7 surgeons at a single institution were contacted and asked to participate in a survey. Participation in PT within the prior 6 months was noted. Patients were asked if they would be willing to delay surgery for a PT trial as a nonsurgical option to improve their symptoms. The primary reason for their answer was also recorded.\nResults\nIn total, 200 patients were successfully contacted and agreed to participate. The mean age was 66 years, 47% were male, the mean body mass index was 31 kg/m2, and 66% were scheduled for TKA. In total, 157 patients (79%) stated they had not done PT in the preceding 6 months, and 185 patients (93%) stated they would not want to delay surgery for mandatory PT. The most common reasons for refusing PT were “surgery is inevitable” (44%) and “unlikely to improve pain” (29%).\nConclusion\nPatients with end-stage hip and knee osteoarthritis who are otherwise candidates for surgery appear overwhelmingly opposed to mandatory preoperative PT, mostly due to a lack of perceived efficacy in providing long-term symptom relief compared to total joint arhtroplasty.","collection-title":"Proceedings of the Knee Society: 2021 Members Meeting and 2022 Award Papers","container-title":"The Journal of Arthroplasty","DOI":"10.1016/j.arth.2021.11.034","ISSN":"0883-5403","issue":"6, Supplement","journalAbbreviation":"The Journal of Arthroplasty","language":"en","page":"S27-S31","source":"ScienceDirect","title":"Are Patients With End-Stage Arthritis Willing to Delay Arthroplasty for Payer-Mandated Physical Therapy?","volume":"37","author":[{"family":"Grace","given":"Trevor R."},{"family":"Eralp","given":"Ipek"},{"family":"Khan","given":"Irfan A."},{"family":"Goh","given":"Graham S."},{"family":"Siqueira","given":"Marcelo B."},{"family":"Austin","given":"Matthew S."}],"issued":{"date-parts":[["2022",6,1]]}}}],"schema":"https://github.com/citation-style-language/schema/raw/master/csl-citation.json"} </w:instrText>
            </w:r>
            <w:r w:rsidR="00BA5186">
              <w:rPr>
                <w:rFonts w:ascii="Times New Roman" w:hAnsi="Times New Roman" w:cs="Times New Roman"/>
                <w:sz w:val="16"/>
                <w:szCs w:val="16"/>
              </w:rPr>
              <w:fldChar w:fldCharType="separate"/>
            </w:r>
            <w:r w:rsidR="003A04FA" w:rsidRPr="003A04FA">
              <w:rPr>
                <w:rFonts w:ascii="Times New Roman" w:hAnsi="Times New Roman" w:cs="Times New Roman"/>
                <w:sz w:val="16"/>
                <w:vertAlign w:val="superscript"/>
              </w:rPr>
              <w:t>35</w:t>
            </w:r>
            <w:r w:rsidR="00BA5186">
              <w:rPr>
                <w:rFonts w:ascii="Times New Roman" w:hAnsi="Times New Roman" w:cs="Times New Roman"/>
                <w:sz w:val="16"/>
                <w:szCs w:val="16"/>
              </w:rPr>
              <w:fldChar w:fldCharType="end"/>
            </w:r>
          </w:p>
        </w:tc>
        <w:tc>
          <w:tcPr>
            <w:tcW w:w="992" w:type="dxa"/>
            <w:shd w:val="clear" w:color="auto" w:fill="A8D08D" w:themeFill="accent6" w:themeFillTint="99"/>
          </w:tcPr>
          <w:p w14:paraId="3E65F066" w14:textId="1FAF01C7" w:rsidR="007C7D84" w:rsidRPr="004A3B37" w:rsidRDefault="00D240D0" w:rsidP="007C7D84">
            <w:pPr>
              <w:rPr>
                <w:rFonts w:ascii="Times New Roman" w:hAnsi="Times New Roman" w:cs="Times New Roman"/>
                <w:sz w:val="16"/>
                <w:szCs w:val="16"/>
              </w:rPr>
            </w:pPr>
            <w:r>
              <w:rPr>
                <w:rFonts w:ascii="Times New Roman" w:hAnsi="Times New Roman" w:cs="Times New Roman"/>
                <w:sz w:val="16"/>
                <w:szCs w:val="16"/>
              </w:rPr>
              <w:t>Y</w:t>
            </w:r>
          </w:p>
        </w:tc>
        <w:tc>
          <w:tcPr>
            <w:tcW w:w="992" w:type="dxa"/>
            <w:shd w:val="clear" w:color="auto" w:fill="FB7670"/>
          </w:tcPr>
          <w:p w14:paraId="67C43F69" w14:textId="2A10625D" w:rsidR="007C7D84" w:rsidRPr="004A3B37" w:rsidRDefault="008F257F" w:rsidP="007C7D84">
            <w:pPr>
              <w:rPr>
                <w:rFonts w:ascii="Times New Roman" w:hAnsi="Times New Roman" w:cs="Times New Roman"/>
                <w:sz w:val="16"/>
                <w:szCs w:val="16"/>
              </w:rPr>
            </w:pPr>
            <w:r>
              <w:rPr>
                <w:rFonts w:ascii="Times New Roman" w:hAnsi="Times New Roman" w:cs="Times New Roman"/>
                <w:sz w:val="16"/>
                <w:szCs w:val="16"/>
              </w:rPr>
              <w:t>N</w:t>
            </w:r>
          </w:p>
        </w:tc>
        <w:tc>
          <w:tcPr>
            <w:tcW w:w="993" w:type="dxa"/>
            <w:shd w:val="clear" w:color="auto" w:fill="auto"/>
          </w:tcPr>
          <w:p w14:paraId="6EC18E7C" w14:textId="519A6040" w:rsidR="007C7D84" w:rsidRPr="004A3B37" w:rsidRDefault="008F257F" w:rsidP="007C7D84">
            <w:pPr>
              <w:rPr>
                <w:rFonts w:ascii="Times New Roman" w:hAnsi="Times New Roman" w:cs="Times New Roman"/>
                <w:sz w:val="16"/>
                <w:szCs w:val="16"/>
              </w:rPr>
            </w:pPr>
            <w:r>
              <w:rPr>
                <w:rFonts w:ascii="Times New Roman" w:hAnsi="Times New Roman" w:cs="Times New Roman"/>
                <w:sz w:val="16"/>
                <w:szCs w:val="16"/>
              </w:rPr>
              <w:t>X</w:t>
            </w:r>
          </w:p>
        </w:tc>
        <w:tc>
          <w:tcPr>
            <w:tcW w:w="992" w:type="dxa"/>
            <w:shd w:val="clear" w:color="auto" w:fill="auto"/>
          </w:tcPr>
          <w:p w14:paraId="1284281B" w14:textId="16662AD4" w:rsidR="007C7D84" w:rsidRPr="004A3B37" w:rsidRDefault="00E30CD9" w:rsidP="007C7D84">
            <w:pPr>
              <w:rPr>
                <w:rFonts w:ascii="Times New Roman" w:hAnsi="Times New Roman" w:cs="Times New Roman"/>
                <w:sz w:val="16"/>
                <w:szCs w:val="16"/>
              </w:rPr>
            </w:pPr>
            <w:r>
              <w:rPr>
                <w:rFonts w:ascii="Times New Roman" w:hAnsi="Times New Roman" w:cs="Times New Roman"/>
                <w:sz w:val="16"/>
                <w:szCs w:val="16"/>
              </w:rPr>
              <w:t>Y</w:t>
            </w:r>
          </w:p>
        </w:tc>
        <w:tc>
          <w:tcPr>
            <w:tcW w:w="1134" w:type="dxa"/>
            <w:shd w:val="clear" w:color="auto" w:fill="FB7670"/>
          </w:tcPr>
          <w:p w14:paraId="73034D6D" w14:textId="6885C49B" w:rsidR="007C7D84" w:rsidRPr="004A3B37" w:rsidRDefault="00E30CD9" w:rsidP="007C7D84">
            <w:pPr>
              <w:rPr>
                <w:rFonts w:ascii="Times New Roman" w:hAnsi="Times New Roman" w:cs="Times New Roman"/>
                <w:sz w:val="16"/>
                <w:szCs w:val="16"/>
              </w:rPr>
            </w:pPr>
            <w:r>
              <w:rPr>
                <w:rFonts w:ascii="Times New Roman" w:hAnsi="Times New Roman" w:cs="Times New Roman"/>
                <w:sz w:val="16"/>
                <w:szCs w:val="16"/>
              </w:rPr>
              <w:t>N</w:t>
            </w:r>
          </w:p>
        </w:tc>
        <w:tc>
          <w:tcPr>
            <w:tcW w:w="1097" w:type="dxa"/>
            <w:shd w:val="clear" w:color="auto" w:fill="FB7670"/>
          </w:tcPr>
          <w:p w14:paraId="60BE4296" w14:textId="6ED453FC" w:rsidR="007C7D84" w:rsidRPr="004A3B37" w:rsidRDefault="00E30CD9" w:rsidP="007C7D84">
            <w:pPr>
              <w:rPr>
                <w:rFonts w:ascii="Times New Roman" w:hAnsi="Times New Roman" w:cs="Times New Roman"/>
                <w:sz w:val="16"/>
                <w:szCs w:val="16"/>
              </w:rPr>
            </w:pPr>
            <w:r>
              <w:rPr>
                <w:rFonts w:ascii="Times New Roman" w:hAnsi="Times New Roman" w:cs="Times New Roman"/>
                <w:sz w:val="16"/>
                <w:szCs w:val="16"/>
              </w:rPr>
              <w:t>N</w:t>
            </w:r>
          </w:p>
        </w:tc>
        <w:tc>
          <w:tcPr>
            <w:tcW w:w="579" w:type="dxa"/>
            <w:shd w:val="clear" w:color="auto" w:fill="auto"/>
          </w:tcPr>
          <w:p w14:paraId="7E0D5539" w14:textId="0E76ACBC" w:rsidR="007C7D84" w:rsidRPr="004A3B37" w:rsidRDefault="00660474" w:rsidP="007C7D84">
            <w:pPr>
              <w:rPr>
                <w:rFonts w:ascii="Times New Roman" w:hAnsi="Times New Roman" w:cs="Times New Roman"/>
                <w:sz w:val="16"/>
                <w:szCs w:val="16"/>
              </w:rPr>
            </w:pPr>
            <w:r>
              <w:rPr>
                <w:rFonts w:ascii="Times New Roman" w:hAnsi="Times New Roman" w:cs="Times New Roman"/>
                <w:sz w:val="16"/>
                <w:szCs w:val="16"/>
              </w:rPr>
              <w:t>X</w:t>
            </w:r>
          </w:p>
        </w:tc>
        <w:tc>
          <w:tcPr>
            <w:tcW w:w="579" w:type="dxa"/>
            <w:shd w:val="clear" w:color="auto" w:fill="auto"/>
          </w:tcPr>
          <w:p w14:paraId="608B58A7" w14:textId="79CD70C0" w:rsidR="007C7D84" w:rsidRPr="004A3B37" w:rsidRDefault="00660474" w:rsidP="007C7D84">
            <w:pPr>
              <w:rPr>
                <w:rFonts w:ascii="Times New Roman" w:hAnsi="Times New Roman" w:cs="Times New Roman"/>
                <w:sz w:val="16"/>
                <w:szCs w:val="16"/>
              </w:rPr>
            </w:pPr>
            <w:r>
              <w:rPr>
                <w:rFonts w:ascii="Times New Roman" w:hAnsi="Times New Roman" w:cs="Times New Roman"/>
                <w:sz w:val="16"/>
                <w:szCs w:val="16"/>
              </w:rPr>
              <w:t>X</w:t>
            </w:r>
          </w:p>
        </w:tc>
        <w:tc>
          <w:tcPr>
            <w:tcW w:w="580" w:type="dxa"/>
            <w:shd w:val="clear" w:color="auto" w:fill="auto"/>
          </w:tcPr>
          <w:p w14:paraId="5CD4DCB4" w14:textId="1AAE0E21" w:rsidR="007C7D84" w:rsidRPr="004A3B37" w:rsidRDefault="003C1317" w:rsidP="007C7D84">
            <w:pPr>
              <w:rPr>
                <w:rFonts w:ascii="Times New Roman" w:hAnsi="Times New Roman" w:cs="Times New Roman"/>
                <w:sz w:val="16"/>
                <w:szCs w:val="16"/>
              </w:rPr>
            </w:pPr>
            <w:r>
              <w:rPr>
                <w:rFonts w:ascii="Times New Roman" w:hAnsi="Times New Roman" w:cs="Times New Roman"/>
                <w:sz w:val="16"/>
                <w:szCs w:val="16"/>
              </w:rPr>
              <w:t>Y</w:t>
            </w:r>
          </w:p>
        </w:tc>
        <w:tc>
          <w:tcPr>
            <w:tcW w:w="661" w:type="dxa"/>
            <w:shd w:val="clear" w:color="auto" w:fill="auto"/>
          </w:tcPr>
          <w:p w14:paraId="6D23BDA7" w14:textId="596B6864" w:rsidR="007C7D84" w:rsidRPr="004A3B37" w:rsidRDefault="00660474" w:rsidP="007C7D84">
            <w:pPr>
              <w:rPr>
                <w:rFonts w:ascii="Times New Roman" w:hAnsi="Times New Roman" w:cs="Times New Roman"/>
                <w:sz w:val="16"/>
                <w:szCs w:val="16"/>
              </w:rPr>
            </w:pPr>
            <w:r>
              <w:rPr>
                <w:rFonts w:ascii="Times New Roman" w:hAnsi="Times New Roman" w:cs="Times New Roman"/>
                <w:sz w:val="16"/>
                <w:szCs w:val="16"/>
              </w:rPr>
              <w:t>X</w:t>
            </w:r>
          </w:p>
        </w:tc>
        <w:tc>
          <w:tcPr>
            <w:tcW w:w="661" w:type="dxa"/>
            <w:shd w:val="clear" w:color="auto" w:fill="auto"/>
          </w:tcPr>
          <w:p w14:paraId="0F2FAED3" w14:textId="08909AE0" w:rsidR="007C7D84" w:rsidRPr="004A3B37" w:rsidRDefault="00660474" w:rsidP="007C7D84">
            <w:pPr>
              <w:rPr>
                <w:rFonts w:ascii="Times New Roman" w:hAnsi="Times New Roman" w:cs="Times New Roman"/>
                <w:sz w:val="16"/>
                <w:szCs w:val="16"/>
              </w:rPr>
            </w:pPr>
            <w:r>
              <w:rPr>
                <w:rFonts w:ascii="Times New Roman" w:hAnsi="Times New Roman" w:cs="Times New Roman"/>
                <w:sz w:val="16"/>
                <w:szCs w:val="16"/>
              </w:rPr>
              <w:t>X</w:t>
            </w:r>
          </w:p>
        </w:tc>
        <w:tc>
          <w:tcPr>
            <w:tcW w:w="662" w:type="dxa"/>
            <w:shd w:val="clear" w:color="auto" w:fill="FB7670"/>
          </w:tcPr>
          <w:p w14:paraId="33529192" w14:textId="61786321" w:rsidR="007C7D84" w:rsidRPr="004A3B37" w:rsidRDefault="009B21A8" w:rsidP="007C7D84">
            <w:pPr>
              <w:rPr>
                <w:rFonts w:ascii="Times New Roman" w:hAnsi="Times New Roman" w:cs="Times New Roman"/>
                <w:sz w:val="16"/>
                <w:szCs w:val="16"/>
              </w:rPr>
            </w:pPr>
            <w:r>
              <w:rPr>
                <w:rFonts w:ascii="Times New Roman" w:hAnsi="Times New Roman" w:cs="Times New Roman"/>
                <w:sz w:val="16"/>
                <w:szCs w:val="16"/>
              </w:rPr>
              <w:t>Y</w:t>
            </w:r>
          </w:p>
        </w:tc>
        <w:tc>
          <w:tcPr>
            <w:tcW w:w="709" w:type="dxa"/>
            <w:shd w:val="clear" w:color="auto" w:fill="auto"/>
          </w:tcPr>
          <w:p w14:paraId="01A75B5F" w14:textId="304A8B86"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X</w:t>
            </w:r>
          </w:p>
        </w:tc>
        <w:tc>
          <w:tcPr>
            <w:tcW w:w="709" w:type="dxa"/>
            <w:shd w:val="clear" w:color="auto" w:fill="auto"/>
          </w:tcPr>
          <w:p w14:paraId="0C68EA03" w14:textId="5DF8E3DD" w:rsidR="007C7D84" w:rsidRPr="004A3B37" w:rsidRDefault="007C7D84" w:rsidP="007C7D84">
            <w:pPr>
              <w:rPr>
                <w:rFonts w:ascii="Times New Roman" w:hAnsi="Times New Roman" w:cs="Times New Roman"/>
                <w:sz w:val="16"/>
                <w:szCs w:val="16"/>
              </w:rPr>
            </w:pPr>
            <w:r>
              <w:rPr>
                <w:rFonts w:ascii="Times New Roman" w:hAnsi="Times New Roman" w:cs="Times New Roman"/>
                <w:sz w:val="16"/>
                <w:szCs w:val="16"/>
              </w:rPr>
              <w:t>X</w:t>
            </w:r>
          </w:p>
        </w:tc>
        <w:tc>
          <w:tcPr>
            <w:tcW w:w="709" w:type="dxa"/>
            <w:shd w:val="clear" w:color="auto" w:fill="F4B083" w:themeFill="accent2" w:themeFillTint="99"/>
          </w:tcPr>
          <w:p w14:paraId="2FE625CC" w14:textId="627FC2FA" w:rsidR="007C7D84" w:rsidRPr="004A3B37" w:rsidRDefault="009B21A8" w:rsidP="007C7D84">
            <w:pPr>
              <w:rPr>
                <w:rFonts w:ascii="Times New Roman" w:hAnsi="Times New Roman" w:cs="Times New Roman"/>
                <w:sz w:val="16"/>
                <w:szCs w:val="16"/>
              </w:rPr>
            </w:pPr>
            <w:r>
              <w:rPr>
                <w:rFonts w:ascii="Times New Roman" w:hAnsi="Times New Roman" w:cs="Times New Roman"/>
                <w:sz w:val="16"/>
                <w:szCs w:val="16"/>
              </w:rPr>
              <w:t>3</w:t>
            </w:r>
          </w:p>
        </w:tc>
      </w:tr>
    </w:tbl>
    <w:p w14:paraId="7F2D0723" w14:textId="7F2A1307" w:rsidR="00313109" w:rsidRPr="00322094" w:rsidRDefault="001F27AB" w:rsidP="004A3B37">
      <w:pPr>
        <w:rPr>
          <w:rFonts w:ascii="Times New Roman" w:hAnsi="Times New Roman" w:cs="Times New Roman"/>
          <w:i/>
          <w:iCs/>
          <w:sz w:val="20"/>
          <w:szCs w:val="20"/>
        </w:rPr>
      </w:pPr>
      <w:r w:rsidRPr="00322094">
        <w:rPr>
          <w:rFonts w:ascii="Times New Roman" w:hAnsi="Times New Roman" w:cs="Times New Roman"/>
          <w:b/>
          <w:bCs/>
          <w:i/>
          <w:iCs/>
          <w:sz w:val="20"/>
          <w:szCs w:val="20"/>
        </w:rPr>
        <w:t xml:space="preserve">Supplementary Table 5: </w:t>
      </w:r>
      <w:r w:rsidR="00DA4588" w:rsidRPr="00322094">
        <w:rPr>
          <w:rFonts w:ascii="Times New Roman" w:hAnsi="Times New Roman" w:cs="Times New Roman"/>
          <w:i/>
          <w:iCs/>
          <w:sz w:val="20"/>
          <w:szCs w:val="20"/>
        </w:rPr>
        <w:t xml:space="preserve">JBI </w:t>
      </w:r>
      <w:r w:rsidR="00A24CAE" w:rsidRPr="00322094">
        <w:rPr>
          <w:rFonts w:ascii="Times New Roman" w:hAnsi="Times New Roman" w:cs="Times New Roman"/>
          <w:i/>
          <w:iCs/>
          <w:sz w:val="20"/>
          <w:szCs w:val="20"/>
        </w:rPr>
        <w:t>risk of bias assessment in cross-sectional studies</w:t>
      </w:r>
      <w:r w:rsidR="00124780" w:rsidRPr="00322094">
        <w:rPr>
          <w:rFonts w:ascii="Times New Roman" w:hAnsi="Times New Roman" w:cs="Times New Roman"/>
          <w:i/>
          <w:iCs/>
          <w:sz w:val="20"/>
          <w:szCs w:val="20"/>
        </w:rPr>
        <w:fldChar w:fldCharType="begin"/>
      </w:r>
      <w:r w:rsidR="003A04FA" w:rsidRPr="00322094">
        <w:rPr>
          <w:rFonts w:ascii="Times New Roman" w:hAnsi="Times New Roman" w:cs="Times New Roman"/>
          <w:i/>
          <w:iCs/>
          <w:sz w:val="20"/>
          <w:szCs w:val="20"/>
        </w:rPr>
        <w:instrText xml:space="preserve"> ADDIN ZOTERO_ITEM CSL_CITATION {"citationID":"zkEKessK","properties":{"formattedCitation":"\\super 36\\nosupersub{}","plainCitation":"36","noteIndex":0},"citationItems":[{"id":1403,"uris":["http://zotero.org/users/local/26vZAHNZ/items/CQVCP8TB"],"itemData":{"id":1403,"type":"chapter","container-title":"JBI Manual for Evidence Synthesis","publisher":"JBI","title":"Chapter 7: Systematic reviews of etiology and risk - JBI Manual for Evidence Synthesis","URL":"https://doi.org/10.46658/JBIMES-20-08","author":[{"family":"Sandeep Moola, Zachary Munn, Catalin Tufanaru, Edoardo Aromataris, Kim Sears, Raluca Sfetc, Marian Currie, Karolina Lisy, Rubab Qureshi, Patrick Mattis, Pei-Fan Mu","given":""}],"accessed":{"date-parts":[["2022",6,19]]},"issued":{"date-parts":[["2020"]]}}}],"schema":"https://github.com/citation-style-language/schema/raw/master/csl-citation.json"} </w:instrText>
      </w:r>
      <w:r w:rsidR="00124780" w:rsidRPr="00322094">
        <w:rPr>
          <w:rFonts w:ascii="Times New Roman" w:hAnsi="Times New Roman" w:cs="Times New Roman"/>
          <w:i/>
          <w:iCs/>
          <w:sz w:val="20"/>
          <w:szCs w:val="20"/>
        </w:rPr>
        <w:fldChar w:fldCharType="separate"/>
      </w:r>
      <w:r w:rsidR="003A04FA" w:rsidRPr="00322094">
        <w:rPr>
          <w:rFonts w:ascii="Times New Roman" w:hAnsi="Times New Roman" w:cs="Times New Roman"/>
          <w:sz w:val="20"/>
          <w:szCs w:val="20"/>
          <w:vertAlign w:val="superscript"/>
        </w:rPr>
        <w:t>36</w:t>
      </w:r>
      <w:r w:rsidR="00124780" w:rsidRPr="00322094">
        <w:rPr>
          <w:rFonts w:ascii="Times New Roman" w:hAnsi="Times New Roman" w:cs="Times New Roman"/>
          <w:i/>
          <w:iCs/>
          <w:sz w:val="20"/>
          <w:szCs w:val="20"/>
        </w:rPr>
        <w:fldChar w:fldCharType="end"/>
      </w:r>
      <w:r w:rsidR="00A24CAE" w:rsidRPr="00322094">
        <w:rPr>
          <w:rFonts w:ascii="Times New Roman" w:hAnsi="Times New Roman" w:cs="Times New Roman"/>
          <w:i/>
          <w:iCs/>
          <w:sz w:val="20"/>
          <w:szCs w:val="20"/>
        </w:rPr>
        <w:t>.</w:t>
      </w:r>
      <w:r w:rsidR="00DA4588" w:rsidRPr="00322094">
        <w:rPr>
          <w:rFonts w:ascii="Times New Roman" w:hAnsi="Times New Roman" w:cs="Times New Roman"/>
          <w:i/>
          <w:iCs/>
          <w:sz w:val="20"/>
          <w:szCs w:val="20"/>
        </w:rPr>
        <w:t xml:space="preserve"> </w:t>
      </w:r>
      <w:r w:rsidR="00A24CAE" w:rsidRPr="00322094">
        <w:rPr>
          <w:rFonts w:ascii="Times New Roman" w:hAnsi="Times New Roman" w:cs="Times New Roman"/>
          <w:i/>
          <w:iCs/>
          <w:sz w:val="20"/>
          <w:szCs w:val="20"/>
        </w:rPr>
        <w:t xml:space="preserve">Each </w:t>
      </w:r>
      <w:r w:rsidR="00DA4588" w:rsidRPr="00322094">
        <w:rPr>
          <w:rFonts w:ascii="Times New Roman" w:hAnsi="Times New Roman" w:cs="Times New Roman"/>
          <w:i/>
          <w:iCs/>
          <w:sz w:val="20"/>
          <w:szCs w:val="20"/>
        </w:rPr>
        <w:t xml:space="preserve">domain </w:t>
      </w:r>
      <w:r w:rsidR="00A24CAE" w:rsidRPr="00322094">
        <w:rPr>
          <w:rFonts w:ascii="Times New Roman" w:hAnsi="Times New Roman" w:cs="Times New Roman"/>
          <w:i/>
          <w:iCs/>
          <w:sz w:val="20"/>
          <w:szCs w:val="20"/>
        </w:rPr>
        <w:t>was</w:t>
      </w:r>
      <w:r w:rsidR="00DA4588" w:rsidRPr="00322094">
        <w:rPr>
          <w:rFonts w:ascii="Times New Roman" w:hAnsi="Times New Roman" w:cs="Times New Roman"/>
          <w:i/>
          <w:iCs/>
          <w:sz w:val="20"/>
          <w:szCs w:val="20"/>
        </w:rPr>
        <w:t xml:space="preserve"> considered as either insufficient information to assess (N/I), yes (Y), no (N), or not applicable (X). Additionally, overall risk of bias </w:t>
      </w:r>
      <w:r w:rsidR="00A24CAE" w:rsidRPr="00322094">
        <w:rPr>
          <w:rFonts w:ascii="Times New Roman" w:hAnsi="Times New Roman" w:cs="Times New Roman"/>
          <w:i/>
          <w:iCs/>
          <w:sz w:val="20"/>
          <w:szCs w:val="20"/>
        </w:rPr>
        <w:t xml:space="preserve">thus determined </w:t>
      </w:r>
      <w:r w:rsidR="00DA4588" w:rsidRPr="00322094">
        <w:rPr>
          <w:rFonts w:ascii="Times New Roman" w:hAnsi="Times New Roman" w:cs="Times New Roman"/>
          <w:i/>
          <w:iCs/>
          <w:sz w:val="20"/>
          <w:szCs w:val="20"/>
        </w:rPr>
        <w:t xml:space="preserve">as low (1), moderate (2), serious (3) or critical risk (4). </w:t>
      </w:r>
      <w:r w:rsidR="00474B22" w:rsidRPr="00322094">
        <w:rPr>
          <w:rFonts w:ascii="Times New Roman" w:hAnsi="Times New Roman" w:cs="Times New Roman"/>
          <w:i/>
          <w:iCs/>
          <w:sz w:val="20"/>
          <w:szCs w:val="20"/>
        </w:rPr>
        <w:t xml:space="preserve">Outcomes reviewed: </w:t>
      </w:r>
      <w:r w:rsidR="00064D44" w:rsidRPr="00322094">
        <w:rPr>
          <w:rFonts w:ascii="Times New Roman" w:hAnsi="Times New Roman" w:cs="Times New Roman"/>
          <w:i/>
          <w:iCs/>
          <w:sz w:val="20"/>
          <w:szCs w:val="20"/>
        </w:rPr>
        <w:t xml:space="preserve">A: Hip or knee joint-specific function; B: Global Health-Related Quality of Life indices; </w:t>
      </w:r>
      <w:r w:rsidR="00803390" w:rsidRPr="00322094">
        <w:rPr>
          <w:rFonts w:ascii="Times New Roman" w:hAnsi="Times New Roman" w:cs="Times New Roman"/>
          <w:i/>
          <w:iCs/>
          <w:sz w:val="20"/>
          <w:szCs w:val="20"/>
        </w:rPr>
        <w:t>C: patient perspectives</w:t>
      </w:r>
      <w:r w:rsidR="00064D44" w:rsidRPr="00322094">
        <w:rPr>
          <w:rFonts w:ascii="Times New Roman" w:hAnsi="Times New Roman" w:cs="Times New Roman"/>
          <w:i/>
          <w:iCs/>
          <w:sz w:val="20"/>
          <w:szCs w:val="20"/>
        </w:rPr>
        <w:t>.</w:t>
      </w:r>
    </w:p>
    <w:p w14:paraId="4A113F7D" w14:textId="77777777" w:rsidR="00313109" w:rsidRPr="004A3B37" w:rsidRDefault="00313109" w:rsidP="004A3B37">
      <w:pPr>
        <w:rPr>
          <w:rFonts w:ascii="Times New Roman" w:hAnsi="Times New Roman" w:cs="Times New Roman"/>
          <w:sz w:val="16"/>
          <w:szCs w:val="16"/>
        </w:rPr>
      </w:pPr>
      <w:r w:rsidRPr="004A3B37">
        <w:rPr>
          <w:rFonts w:ascii="Times New Roman" w:hAnsi="Times New Roman" w:cs="Times New Roman"/>
          <w:sz w:val="16"/>
          <w:szCs w:val="16"/>
        </w:rPr>
        <w:br w:type="page"/>
      </w:r>
    </w:p>
    <w:p w14:paraId="60D32ACC" w14:textId="1FDB4B68" w:rsidR="0042729E" w:rsidRPr="00322094" w:rsidRDefault="00393D01" w:rsidP="004A3B37">
      <w:pPr>
        <w:rPr>
          <w:rFonts w:ascii="Times New Roman" w:hAnsi="Times New Roman" w:cs="Times New Roman"/>
          <w:b/>
          <w:bCs/>
          <w:sz w:val="20"/>
          <w:szCs w:val="20"/>
        </w:rPr>
      </w:pPr>
      <w:r w:rsidRPr="00322094">
        <w:rPr>
          <w:rFonts w:ascii="Times New Roman" w:hAnsi="Times New Roman" w:cs="Times New Roman"/>
          <w:b/>
          <w:bCs/>
          <w:sz w:val="20"/>
          <w:szCs w:val="20"/>
        </w:rPr>
        <w:lastRenderedPageBreak/>
        <w:t xml:space="preserve">Supplementary Table 6: </w:t>
      </w:r>
      <w:r w:rsidR="00C82C8C" w:rsidRPr="00322094">
        <w:rPr>
          <w:rFonts w:ascii="Times New Roman" w:hAnsi="Times New Roman" w:cs="Times New Roman"/>
          <w:b/>
          <w:bCs/>
          <w:sz w:val="20"/>
          <w:szCs w:val="20"/>
        </w:rPr>
        <w:t xml:space="preserve">Grading of Recommendations Assessment, Development and Evaluation </w:t>
      </w:r>
      <w:r w:rsidR="00313109" w:rsidRPr="00322094">
        <w:rPr>
          <w:rFonts w:ascii="Times New Roman" w:hAnsi="Times New Roman" w:cs="Times New Roman"/>
          <w:b/>
          <w:bCs/>
          <w:sz w:val="20"/>
          <w:szCs w:val="20"/>
        </w:rPr>
        <w:t>Certainty of Evidence Assessment</w:t>
      </w:r>
      <w:r w:rsidR="00C82C8C" w:rsidRPr="00322094">
        <w:rPr>
          <w:rFonts w:ascii="Times New Roman" w:hAnsi="Times New Roman" w:cs="Times New Roman"/>
          <w:b/>
          <w:bCs/>
          <w:sz w:val="20"/>
          <w:szCs w:val="20"/>
        </w:rPr>
        <w:t xml:space="preserve"> (GRADE).</w:t>
      </w:r>
    </w:p>
    <w:tbl>
      <w:tblPr>
        <w:tblStyle w:val="TableGrid"/>
        <w:tblW w:w="0" w:type="auto"/>
        <w:tblLook w:val="04A0" w:firstRow="1" w:lastRow="0" w:firstColumn="1" w:lastColumn="0" w:noHBand="0" w:noVBand="1"/>
      </w:tblPr>
      <w:tblGrid>
        <w:gridCol w:w="1853"/>
        <w:gridCol w:w="1746"/>
        <w:gridCol w:w="1962"/>
        <w:gridCol w:w="1922"/>
        <w:gridCol w:w="1920"/>
        <w:gridCol w:w="1791"/>
        <w:gridCol w:w="1756"/>
      </w:tblGrid>
      <w:tr w:rsidR="00190BC3" w:rsidRPr="004A3B37" w14:paraId="19E25754" w14:textId="0A717FB8" w:rsidTr="00190BC3">
        <w:tc>
          <w:tcPr>
            <w:tcW w:w="1853" w:type="dxa"/>
          </w:tcPr>
          <w:p w14:paraId="79984C86" w14:textId="69F64ED7" w:rsidR="00190BC3" w:rsidRPr="004A3B37" w:rsidRDefault="00190BC3" w:rsidP="004A3B37">
            <w:pPr>
              <w:rPr>
                <w:rFonts w:ascii="Times New Roman" w:hAnsi="Times New Roman" w:cs="Times New Roman"/>
                <w:sz w:val="16"/>
                <w:szCs w:val="16"/>
              </w:rPr>
            </w:pPr>
            <w:r w:rsidRPr="004A3B37">
              <w:rPr>
                <w:rFonts w:ascii="Times New Roman" w:hAnsi="Times New Roman" w:cs="Times New Roman"/>
                <w:sz w:val="16"/>
                <w:szCs w:val="16"/>
              </w:rPr>
              <w:t>Outcome</w:t>
            </w:r>
          </w:p>
        </w:tc>
        <w:tc>
          <w:tcPr>
            <w:tcW w:w="1746" w:type="dxa"/>
          </w:tcPr>
          <w:p w14:paraId="62BC9FB9" w14:textId="25FF616B" w:rsidR="00190BC3" w:rsidRPr="004A3B37" w:rsidRDefault="00190BC3" w:rsidP="004A3B37">
            <w:pPr>
              <w:rPr>
                <w:rFonts w:ascii="Times New Roman" w:hAnsi="Times New Roman" w:cs="Times New Roman"/>
                <w:sz w:val="16"/>
                <w:szCs w:val="16"/>
              </w:rPr>
            </w:pPr>
            <w:r w:rsidRPr="004A3B37">
              <w:rPr>
                <w:rFonts w:ascii="Times New Roman" w:hAnsi="Times New Roman" w:cs="Times New Roman"/>
                <w:sz w:val="16"/>
                <w:szCs w:val="16"/>
              </w:rPr>
              <w:t>Risk of Bias</w:t>
            </w:r>
          </w:p>
        </w:tc>
        <w:tc>
          <w:tcPr>
            <w:tcW w:w="1962" w:type="dxa"/>
          </w:tcPr>
          <w:p w14:paraId="79485D89" w14:textId="2573C505" w:rsidR="00190BC3" w:rsidRPr="004A3B37" w:rsidRDefault="00190BC3" w:rsidP="004A3B37">
            <w:pPr>
              <w:rPr>
                <w:rFonts w:ascii="Times New Roman" w:hAnsi="Times New Roman" w:cs="Times New Roman"/>
                <w:sz w:val="16"/>
                <w:szCs w:val="16"/>
              </w:rPr>
            </w:pPr>
            <w:r w:rsidRPr="004A3B37">
              <w:rPr>
                <w:rFonts w:ascii="Times New Roman" w:hAnsi="Times New Roman" w:cs="Times New Roman"/>
                <w:sz w:val="16"/>
                <w:szCs w:val="16"/>
              </w:rPr>
              <w:t>Inconsistency</w:t>
            </w:r>
          </w:p>
        </w:tc>
        <w:tc>
          <w:tcPr>
            <w:tcW w:w="1922" w:type="dxa"/>
          </w:tcPr>
          <w:p w14:paraId="68394F19" w14:textId="17083A1A" w:rsidR="00190BC3" w:rsidRPr="004A3B37" w:rsidRDefault="00190BC3" w:rsidP="004A3B37">
            <w:pPr>
              <w:rPr>
                <w:rFonts w:ascii="Times New Roman" w:hAnsi="Times New Roman" w:cs="Times New Roman"/>
                <w:sz w:val="16"/>
                <w:szCs w:val="16"/>
              </w:rPr>
            </w:pPr>
            <w:r w:rsidRPr="004A3B37">
              <w:rPr>
                <w:rFonts w:ascii="Times New Roman" w:hAnsi="Times New Roman" w:cs="Times New Roman"/>
                <w:sz w:val="16"/>
                <w:szCs w:val="16"/>
              </w:rPr>
              <w:t>Indirectness</w:t>
            </w:r>
          </w:p>
        </w:tc>
        <w:tc>
          <w:tcPr>
            <w:tcW w:w="1920" w:type="dxa"/>
          </w:tcPr>
          <w:p w14:paraId="799C5582" w14:textId="7F2F1B12" w:rsidR="00190BC3" w:rsidRPr="004A3B37" w:rsidRDefault="00190BC3" w:rsidP="004A3B37">
            <w:pPr>
              <w:rPr>
                <w:rFonts w:ascii="Times New Roman" w:hAnsi="Times New Roman" w:cs="Times New Roman"/>
                <w:sz w:val="16"/>
                <w:szCs w:val="16"/>
              </w:rPr>
            </w:pPr>
            <w:r w:rsidRPr="004A3B37">
              <w:rPr>
                <w:rFonts w:ascii="Times New Roman" w:hAnsi="Times New Roman" w:cs="Times New Roman"/>
                <w:sz w:val="16"/>
                <w:szCs w:val="16"/>
              </w:rPr>
              <w:t>Imprecision</w:t>
            </w:r>
          </w:p>
        </w:tc>
        <w:tc>
          <w:tcPr>
            <w:tcW w:w="1791" w:type="dxa"/>
          </w:tcPr>
          <w:p w14:paraId="7D895DD9" w14:textId="35776D98" w:rsidR="00190BC3" w:rsidRPr="004A3B37" w:rsidRDefault="00190BC3" w:rsidP="004A3B37">
            <w:pPr>
              <w:rPr>
                <w:rFonts w:ascii="Times New Roman" w:hAnsi="Times New Roman" w:cs="Times New Roman"/>
                <w:sz w:val="16"/>
                <w:szCs w:val="16"/>
              </w:rPr>
            </w:pPr>
            <w:r w:rsidRPr="004A3B37">
              <w:rPr>
                <w:rFonts w:ascii="Times New Roman" w:hAnsi="Times New Roman" w:cs="Times New Roman"/>
                <w:sz w:val="16"/>
                <w:szCs w:val="16"/>
              </w:rPr>
              <w:t>Publication Bias</w:t>
            </w:r>
          </w:p>
        </w:tc>
        <w:tc>
          <w:tcPr>
            <w:tcW w:w="1756" w:type="dxa"/>
          </w:tcPr>
          <w:p w14:paraId="3F3D6E0A" w14:textId="5D713E1A" w:rsidR="00190BC3" w:rsidRPr="004A3B37" w:rsidRDefault="00190BC3" w:rsidP="004A3B37">
            <w:pPr>
              <w:rPr>
                <w:rFonts w:ascii="Times New Roman" w:hAnsi="Times New Roman" w:cs="Times New Roman"/>
                <w:sz w:val="16"/>
                <w:szCs w:val="16"/>
              </w:rPr>
            </w:pPr>
            <w:r w:rsidRPr="004A3B37">
              <w:rPr>
                <w:rFonts w:ascii="Times New Roman" w:hAnsi="Times New Roman" w:cs="Times New Roman"/>
                <w:sz w:val="16"/>
                <w:szCs w:val="16"/>
              </w:rPr>
              <w:t>Overall Certainty</w:t>
            </w:r>
          </w:p>
        </w:tc>
      </w:tr>
      <w:tr w:rsidR="00AD6811" w:rsidRPr="004A3B37" w14:paraId="1BC1DDEA" w14:textId="030616FB" w:rsidTr="008E1462">
        <w:tc>
          <w:tcPr>
            <w:tcW w:w="1853" w:type="dxa"/>
          </w:tcPr>
          <w:p w14:paraId="1B3CF0FC" w14:textId="6DC37DE1" w:rsidR="00AD6811" w:rsidRPr="004A3B37" w:rsidRDefault="00AD6811" w:rsidP="004A3B37">
            <w:pPr>
              <w:rPr>
                <w:rFonts w:ascii="Times New Roman" w:hAnsi="Times New Roman" w:cs="Times New Roman"/>
                <w:sz w:val="16"/>
                <w:szCs w:val="16"/>
              </w:rPr>
            </w:pPr>
            <w:r w:rsidRPr="004A3B37">
              <w:rPr>
                <w:rFonts w:ascii="Times New Roman" w:hAnsi="Times New Roman" w:cs="Times New Roman"/>
                <w:sz w:val="16"/>
                <w:szCs w:val="16"/>
              </w:rPr>
              <w:t>Waiting time on preoperative joint-specific functional scores.</w:t>
            </w:r>
          </w:p>
        </w:tc>
        <w:tc>
          <w:tcPr>
            <w:tcW w:w="1746" w:type="dxa"/>
            <w:shd w:val="clear" w:color="auto" w:fill="A8D08D" w:themeFill="accent6" w:themeFillTint="99"/>
          </w:tcPr>
          <w:p w14:paraId="0BF5A142" w14:textId="355061CE" w:rsidR="00AD6811" w:rsidRPr="004A3B37" w:rsidRDefault="00DD52A8" w:rsidP="004A3B37">
            <w:pPr>
              <w:rPr>
                <w:rFonts w:ascii="Times New Roman" w:hAnsi="Times New Roman" w:cs="Times New Roman"/>
                <w:sz w:val="16"/>
                <w:szCs w:val="16"/>
              </w:rPr>
            </w:pPr>
            <w:r w:rsidRPr="004A3B37">
              <w:rPr>
                <w:rFonts w:ascii="Times New Roman" w:hAnsi="Times New Roman" w:cs="Times New Roman"/>
                <w:sz w:val="16"/>
                <w:szCs w:val="16"/>
              </w:rPr>
              <w:t>Not</w:t>
            </w:r>
            <w:r w:rsidR="00AD6811" w:rsidRPr="004A3B37">
              <w:rPr>
                <w:rFonts w:ascii="Times New Roman" w:hAnsi="Times New Roman" w:cs="Times New Roman"/>
                <w:sz w:val="16"/>
                <w:szCs w:val="16"/>
              </w:rPr>
              <w:t xml:space="preserve"> Serious</w:t>
            </w:r>
          </w:p>
        </w:tc>
        <w:tc>
          <w:tcPr>
            <w:tcW w:w="1962" w:type="dxa"/>
            <w:shd w:val="clear" w:color="auto" w:fill="A8D08D" w:themeFill="accent6" w:themeFillTint="99"/>
          </w:tcPr>
          <w:p w14:paraId="69380CCF" w14:textId="07B20687" w:rsidR="00AD6811" w:rsidRPr="004A3B37" w:rsidRDefault="00AD6811" w:rsidP="004A3B37">
            <w:pPr>
              <w:rPr>
                <w:rFonts w:ascii="Times New Roman" w:hAnsi="Times New Roman" w:cs="Times New Roman"/>
                <w:sz w:val="16"/>
                <w:szCs w:val="16"/>
              </w:rPr>
            </w:pPr>
            <w:r w:rsidRPr="004A3B37">
              <w:rPr>
                <w:rFonts w:ascii="Times New Roman" w:hAnsi="Times New Roman" w:cs="Times New Roman"/>
                <w:sz w:val="16"/>
                <w:szCs w:val="16"/>
              </w:rPr>
              <w:t>Not Serious</w:t>
            </w:r>
          </w:p>
        </w:tc>
        <w:tc>
          <w:tcPr>
            <w:tcW w:w="1922" w:type="dxa"/>
            <w:shd w:val="clear" w:color="auto" w:fill="A8D08D" w:themeFill="accent6" w:themeFillTint="99"/>
          </w:tcPr>
          <w:p w14:paraId="26504501" w14:textId="1613DDB7" w:rsidR="00AD6811" w:rsidRPr="004A3B37" w:rsidRDefault="00AD6811" w:rsidP="004A3B37">
            <w:pPr>
              <w:rPr>
                <w:rFonts w:ascii="Times New Roman" w:hAnsi="Times New Roman" w:cs="Times New Roman"/>
                <w:sz w:val="16"/>
                <w:szCs w:val="16"/>
              </w:rPr>
            </w:pPr>
            <w:r w:rsidRPr="004A3B37">
              <w:rPr>
                <w:rFonts w:ascii="Times New Roman" w:hAnsi="Times New Roman" w:cs="Times New Roman"/>
                <w:sz w:val="16"/>
                <w:szCs w:val="16"/>
              </w:rPr>
              <w:t>Not Serious</w:t>
            </w:r>
          </w:p>
        </w:tc>
        <w:tc>
          <w:tcPr>
            <w:tcW w:w="1920" w:type="dxa"/>
            <w:shd w:val="clear" w:color="auto" w:fill="A8D08D" w:themeFill="accent6" w:themeFillTint="99"/>
          </w:tcPr>
          <w:p w14:paraId="70740F1A" w14:textId="68DA8C6B" w:rsidR="00AD6811" w:rsidRPr="004A3B37" w:rsidRDefault="00AD6811" w:rsidP="004A3B37">
            <w:pPr>
              <w:rPr>
                <w:rFonts w:ascii="Times New Roman" w:hAnsi="Times New Roman" w:cs="Times New Roman"/>
                <w:sz w:val="16"/>
                <w:szCs w:val="16"/>
              </w:rPr>
            </w:pPr>
            <w:r w:rsidRPr="004A3B37">
              <w:rPr>
                <w:rFonts w:ascii="Times New Roman" w:hAnsi="Times New Roman" w:cs="Times New Roman"/>
                <w:sz w:val="16"/>
                <w:szCs w:val="16"/>
              </w:rPr>
              <w:t>Not Serious</w:t>
            </w:r>
          </w:p>
        </w:tc>
        <w:tc>
          <w:tcPr>
            <w:tcW w:w="1791" w:type="dxa"/>
            <w:shd w:val="clear" w:color="auto" w:fill="A8D08D" w:themeFill="accent6" w:themeFillTint="99"/>
          </w:tcPr>
          <w:p w14:paraId="2F744D2F" w14:textId="561D91C1" w:rsidR="00AD6811" w:rsidRPr="004A3B37" w:rsidRDefault="00AD6811" w:rsidP="004A3B37">
            <w:pPr>
              <w:rPr>
                <w:rFonts w:ascii="Times New Roman" w:hAnsi="Times New Roman" w:cs="Times New Roman"/>
                <w:sz w:val="16"/>
                <w:szCs w:val="16"/>
              </w:rPr>
            </w:pPr>
            <w:r w:rsidRPr="004A3B37">
              <w:rPr>
                <w:rFonts w:ascii="Times New Roman" w:hAnsi="Times New Roman" w:cs="Times New Roman"/>
                <w:sz w:val="16"/>
                <w:szCs w:val="16"/>
              </w:rPr>
              <w:t>Not Serious</w:t>
            </w:r>
          </w:p>
        </w:tc>
        <w:tc>
          <w:tcPr>
            <w:tcW w:w="1756" w:type="dxa"/>
            <w:shd w:val="clear" w:color="auto" w:fill="A8D08D" w:themeFill="accent6" w:themeFillTint="99"/>
          </w:tcPr>
          <w:p w14:paraId="1BAC48E4" w14:textId="1F5DE2EF" w:rsidR="00AD6811" w:rsidRPr="004A3B37" w:rsidRDefault="008E1462" w:rsidP="004A3B37">
            <w:pPr>
              <w:rPr>
                <w:rFonts w:ascii="Times New Roman" w:hAnsi="Times New Roman" w:cs="Times New Roman"/>
                <w:sz w:val="16"/>
                <w:szCs w:val="16"/>
              </w:rPr>
            </w:pPr>
            <w:r>
              <w:rPr>
                <w:rFonts w:ascii="Times New Roman" w:hAnsi="Times New Roman" w:cs="Times New Roman"/>
                <w:sz w:val="16"/>
                <w:szCs w:val="16"/>
              </w:rPr>
              <w:t>High</w:t>
            </w:r>
          </w:p>
        </w:tc>
      </w:tr>
      <w:tr w:rsidR="002F207E" w:rsidRPr="004A3B37" w14:paraId="4B339A92" w14:textId="77777777" w:rsidTr="00441795">
        <w:tc>
          <w:tcPr>
            <w:tcW w:w="1853" w:type="dxa"/>
          </w:tcPr>
          <w:p w14:paraId="20622175" w14:textId="3EEED18F" w:rsidR="002F207E" w:rsidRPr="004A3B37" w:rsidRDefault="002F207E" w:rsidP="004A3B37">
            <w:pPr>
              <w:rPr>
                <w:rFonts w:ascii="Times New Roman" w:hAnsi="Times New Roman" w:cs="Times New Roman"/>
                <w:sz w:val="16"/>
                <w:szCs w:val="16"/>
              </w:rPr>
            </w:pPr>
            <w:r w:rsidRPr="004A3B37">
              <w:rPr>
                <w:rFonts w:ascii="Times New Roman" w:hAnsi="Times New Roman" w:cs="Times New Roman"/>
                <w:sz w:val="16"/>
                <w:szCs w:val="16"/>
              </w:rPr>
              <w:t>Waiting time on postoperative joint-specific functional scores.</w:t>
            </w:r>
          </w:p>
        </w:tc>
        <w:tc>
          <w:tcPr>
            <w:tcW w:w="1746" w:type="dxa"/>
            <w:shd w:val="clear" w:color="auto" w:fill="FFE599" w:themeFill="accent4" w:themeFillTint="66"/>
          </w:tcPr>
          <w:p w14:paraId="6FAA4D6F" w14:textId="6AEA1E9B" w:rsidR="002F207E" w:rsidRPr="004A3B37" w:rsidRDefault="002F207E" w:rsidP="004A3B37">
            <w:pPr>
              <w:rPr>
                <w:rFonts w:ascii="Times New Roman" w:hAnsi="Times New Roman" w:cs="Times New Roman"/>
                <w:sz w:val="16"/>
                <w:szCs w:val="16"/>
              </w:rPr>
            </w:pPr>
            <w:r w:rsidRPr="004A3B37">
              <w:rPr>
                <w:rFonts w:ascii="Times New Roman" w:hAnsi="Times New Roman" w:cs="Times New Roman"/>
                <w:sz w:val="16"/>
                <w:szCs w:val="16"/>
              </w:rPr>
              <w:t>Serious</w:t>
            </w:r>
          </w:p>
        </w:tc>
        <w:tc>
          <w:tcPr>
            <w:tcW w:w="1962" w:type="dxa"/>
            <w:shd w:val="clear" w:color="auto" w:fill="FFE599" w:themeFill="accent4" w:themeFillTint="66"/>
          </w:tcPr>
          <w:p w14:paraId="7369838C" w14:textId="31E25789" w:rsidR="002F207E" w:rsidRPr="004A3B37" w:rsidRDefault="002F207E" w:rsidP="004A3B37">
            <w:pPr>
              <w:rPr>
                <w:rFonts w:ascii="Times New Roman" w:hAnsi="Times New Roman" w:cs="Times New Roman"/>
                <w:sz w:val="16"/>
                <w:szCs w:val="16"/>
              </w:rPr>
            </w:pPr>
            <w:r w:rsidRPr="004A3B37">
              <w:rPr>
                <w:rFonts w:ascii="Times New Roman" w:hAnsi="Times New Roman" w:cs="Times New Roman"/>
                <w:sz w:val="16"/>
                <w:szCs w:val="16"/>
              </w:rPr>
              <w:t>Serious</w:t>
            </w:r>
          </w:p>
        </w:tc>
        <w:tc>
          <w:tcPr>
            <w:tcW w:w="1922" w:type="dxa"/>
            <w:shd w:val="clear" w:color="auto" w:fill="A8D08D" w:themeFill="accent6" w:themeFillTint="99"/>
          </w:tcPr>
          <w:p w14:paraId="31E8852D" w14:textId="03FCB1FE" w:rsidR="002F207E" w:rsidRPr="004A3B37" w:rsidRDefault="002F207E" w:rsidP="004A3B37">
            <w:pPr>
              <w:rPr>
                <w:rFonts w:ascii="Times New Roman" w:hAnsi="Times New Roman" w:cs="Times New Roman"/>
                <w:sz w:val="16"/>
                <w:szCs w:val="16"/>
              </w:rPr>
            </w:pPr>
            <w:r w:rsidRPr="004A3B37">
              <w:rPr>
                <w:rFonts w:ascii="Times New Roman" w:hAnsi="Times New Roman" w:cs="Times New Roman"/>
                <w:sz w:val="16"/>
                <w:szCs w:val="16"/>
              </w:rPr>
              <w:t>Not Serious</w:t>
            </w:r>
          </w:p>
        </w:tc>
        <w:tc>
          <w:tcPr>
            <w:tcW w:w="1920" w:type="dxa"/>
            <w:shd w:val="clear" w:color="auto" w:fill="FFE599" w:themeFill="accent4" w:themeFillTint="66"/>
          </w:tcPr>
          <w:p w14:paraId="4049D7CE" w14:textId="152E9B0C" w:rsidR="002F207E" w:rsidRPr="004A3B37" w:rsidRDefault="008D321D" w:rsidP="004A3B37">
            <w:pPr>
              <w:rPr>
                <w:rFonts w:ascii="Times New Roman" w:hAnsi="Times New Roman" w:cs="Times New Roman"/>
                <w:sz w:val="16"/>
                <w:szCs w:val="16"/>
              </w:rPr>
            </w:pPr>
            <w:r>
              <w:rPr>
                <w:rFonts w:ascii="Times New Roman" w:hAnsi="Times New Roman" w:cs="Times New Roman"/>
                <w:sz w:val="16"/>
                <w:szCs w:val="16"/>
              </w:rPr>
              <w:t xml:space="preserve"> </w:t>
            </w:r>
            <w:r w:rsidR="001B64CB">
              <w:rPr>
                <w:rFonts w:ascii="Times New Roman" w:hAnsi="Times New Roman" w:cs="Times New Roman"/>
                <w:sz w:val="16"/>
                <w:szCs w:val="16"/>
              </w:rPr>
              <w:t>Serious</w:t>
            </w:r>
          </w:p>
        </w:tc>
        <w:tc>
          <w:tcPr>
            <w:tcW w:w="1791" w:type="dxa"/>
            <w:shd w:val="clear" w:color="auto" w:fill="A8D08D" w:themeFill="accent6" w:themeFillTint="99"/>
          </w:tcPr>
          <w:p w14:paraId="6BE8C61C" w14:textId="459A7C2C" w:rsidR="002F207E" w:rsidRPr="004A3B37" w:rsidRDefault="002F207E" w:rsidP="004A3B37">
            <w:pPr>
              <w:rPr>
                <w:rFonts w:ascii="Times New Roman" w:hAnsi="Times New Roman" w:cs="Times New Roman"/>
                <w:sz w:val="16"/>
                <w:szCs w:val="16"/>
              </w:rPr>
            </w:pPr>
            <w:r w:rsidRPr="004A3B37">
              <w:rPr>
                <w:rFonts w:ascii="Times New Roman" w:hAnsi="Times New Roman" w:cs="Times New Roman"/>
                <w:sz w:val="16"/>
                <w:szCs w:val="16"/>
              </w:rPr>
              <w:t>Not Serious</w:t>
            </w:r>
          </w:p>
        </w:tc>
        <w:tc>
          <w:tcPr>
            <w:tcW w:w="1756" w:type="dxa"/>
            <w:shd w:val="clear" w:color="auto" w:fill="FFE599" w:themeFill="accent4" w:themeFillTint="66"/>
          </w:tcPr>
          <w:p w14:paraId="5C051CED" w14:textId="1051ED4C" w:rsidR="002F207E" w:rsidRPr="004A3B37" w:rsidRDefault="008E1462" w:rsidP="004A3B37">
            <w:pPr>
              <w:rPr>
                <w:rFonts w:ascii="Times New Roman" w:hAnsi="Times New Roman" w:cs="Times New Roman"/>
                <w:sz w:val="16"/>
                <w:szCs w:val="16"/>
              </w:rPr>
            </w:pPr>
            <w:r>
              <w:rPr>
                <w:rFonts w:ascii="Times New Roman" w:hAnsi="Times New Roman" w:cs="Times New Roman"/>
                <w:sz w:val="16"/>
                <w:szCs w:val="16"/>
              </w:rPr>
              <w:t>Moderate</w:t>
            </w:r>
          </w:p>
        </w:tc>
      </w:tr>
      <w:tr w:rsidR="00E71D59" w:rsidRPr="004A3B37" w14:paraId="71F97835" w14:textId="77777777" w:rsidTr="00441795">
        <w:tc>
          <w:tcPr>
            <w:tcW w:w="1853" w:type="dxa"/>
          </w:tcPr>
          <w:p w14:paraId="1BC1BD60" w14:textId="38468B12" w:rsidR="00E71D59" w:rsidRPr="004A3B37" w:rsidRDefault="00E71D59" w:rsidP="004A3B37">
            <w:pPr>
              <w:rPr>
                <w:rFonts w:ascii="Times New Roman" w:hAnsi="Times New Roman" w:cs="Times New Roman"/>
                <w:sz w:val="16"/>
                <w:szCs w:val="16"/>
              </w:rPr>
            </w:pPr>
            <w:r w:rsidRPr="004A3B37">
              <w:rPr>
                <w:rFonts w:ascii="Times New Roman" w:hAnsi="Times New Roman" w:cs="Times New Roman"/>
                <w:sz w:val="16"/>
                <w:szCs w:val="16"/>
              </w:rPr>
              <w:t>Waiting time on preoperative health-related quality of life indices.</w:t>
            </w:r>
          </w:p>
        </w:tc>
        <w:tc>
          <w:tcPr>
            <w:tcW w:w="1746" w:type="dxa"/>
            <w:shd w:val="clear" w:color="auto" w:fill="FFE599" w:themeFill="accent4" w:themeFillTint="66"/>
          </w:tcPr>
          <w:p w14:paraId="728ACDBC" w14:textId="5C2275A1" w:rsidR="00E71D59" w:rsidRPr="004A3B37" w:rsidRDefault="00E71D59" w:rsidP="004A3B37">
            <w:pPr>
              <w:rPr>
                <w:rFonts w:ascii="Times New Roman" w:hAnsi="Times New Roman" w:cs="Times New Roman"/>
                <w:sz w:val="16"/>
                <w:szCs w:val="16"/>
              </w:rPr>
            </w:pPr>
            <w:r w:rsidRPr="004A3B37">
              <w:rPr>
                <w:rFonts w:ascii="Times New Roman" w:hAnsi="Times New Roman" w:cs="Times New Roman"/>
                <w:sz w:val="16"/>
                <w:szCs w:val="16"/>
              </w:rPr>
              <w:t>Serious</w:t>
            </w:r>
          </w:p>
        </w:tc>
        <w:tc>
          <w:tcPr>
            <w:tcW w:w="1962" w:type="dxa"/>
            <w:shd w:val="clear" w:color="auto" w:fill="A8D08D" w:themeFill="accent6" w:themeFillTint="99"/>
          </w:tcPr>
          <w:p w14:paraId="52039889" w14:textId="333E5DD5" w:rsidR="00E71D59" w:rsidRPr="004A3B37" w:rsidRDefault="00733492" w:rsidP="004A3B37">
            <w:pPr>
              <w:rPr>
                <w:rFonts w:ascii="Times New Roman" w:hAnsi="Times New Roman" w:cs="Times New Roman"/>
                <w:sz w:val="16"/>
                <w:szCs w:val="16"/>
              </w:rPr>
            </w:pPr>
            <w:r>
              <w:rPr>
                <w:rFonts w:ascii="Times New Roman" w:hAnsi="Times New Roman" w:cs="Times New Roman"/>
                <w:sz w:val="16"/>
                <w:szCs w:val="16"/>
              </w:rPr>
              <w:t>Not Serious</w:t>
            </w:r>
          </w:p>
        </w:tc>
        <w:tc>
          <w:tcPr>
            <w:tcW w:w="1922" w:type="dxa"/>
            <w:shd w:val="clear" w:color="auto" w:fill="A8D08D" w:themeFill="accent6" w:themeFillTint="99"/>
          </w:tcPr>
          <w:p w14:paraId="6EFFA7B1" w14:textId="4F121CD5" w:rsidR="00E71D59" w:rsidRPr="004A3B37" w:rsidRDefault="00E71D59" w:rsidP="004A3B37">
            <w:pPr>
              <w:rPr>
                <w:rFonts w:ascii="Times New Roman" w:hAnsi="Times New Roman" w:cs="Times New Roman"/>
                <w:sz w:val="16"/>
                <w:szCs w:val="16"/>
              </w:rPr>
            </w:pPr>
            <w:r w:rsidRPr="004A3B37">
              <w:rPr>
                <w:rFonts w:ascii="Times New Roman" w:hAnsi="Times New Roman" w:cs="Times New Roman"/>
                <w:sz w:val="16"/>
                <w:szCs w:val="16"/>
              </w:rPr>
              <w:t>Not Serious</w:t>
            </w:r>
          </w:p>
        </w:tc>
        <w:tc>
          <w:tcPr>
            <w:tcW w:w="1920" w:type="dxa"/>
            <w:shd w:val="clear" w:color="auto" w:fill="A8D08D" w:themeFill="accent6" w:themeFillTint="99"/>
          </w:tcPr>
          <w:p w14:paraId="60D12F07" w14:textId="43AB392C" w:rsidR="00E71D59" w:rsidRPr="004A3B37" w:rsidRDefault="001B64CB" w:rsidP="004A3B37">
            <w:pPr>
              <w:rPr>
                <w:rFonts w:ascii="Times New Roman" w:hAnsi="Times New Roman" w:cs="Times New Roman"/>
                <w:sz w:val="16"/>
                <w:szCs w:val="16"/>
              </w:rPr>
            </w:pPr>
            <w:r>
              <w:rPr>
                <w:rFonts w:ascii="Times New Roman" w:hAnsi="Times New Roman" w:cs="Times New Roman"/>
                <w:sz w:val="16"/>
                <w:szCs w:val="16"/>
              </w:rPr>
              <w:t>Not Serious</w:t>
            </w:r>
          </w:p>
        </w:tc>
        <w:tc>
          <w:tcPr>
            <w:tcW w:w="1791" w:type="dxa"/>
            <w:shd w:val="clear" w:color="auto" w:fill="A8D08D" w:themeFill="accent6" w:themeFillTint="99"/>
          </w:tcPr>
          <w:p w14:paraId="540617F4" w14:textId="2404C93C" w:rsidR="00E71D59" w:rsidRPr="004A3B37" w:rsidRDefault="00E71D59" w:rsidP="004A3B37">
            <w:pPr>
              <w:rPr>
                <w:rFonts w:ascii="Times New Roman" w:hAnsi="Times New Roman" w:cs="Times New Roman"/>
                <w:sz w:val="16"/>
                <w:szCs w:val="16"/>
              </w:rPr>
            </w:pPr>
            <w:r w:rsidRPr="004A3B37">
              <w:rPr>
                <w:rFonts w:ascii="Times New Roman" w:hAnsi="Times New Roman" w:cs="Times New Roman"/>
                <w:sz w:val="16"/>
                <w:szCs w:val="16"/>
              </w:rPr>
              <w:t>Not Serious</w:t>
            </w:r>
          </w:p>
        </w:tc>
        <w:tc>
          <w:tcPr>
            <w:tcW w:w="1756" w:type="dxa"/>
            <w:shd w:val="clear" w:color="auto" w:fill="FFE599" w:themeFill="accent4" w:themeFillTint="66"/>
          </w:tcPr>
          <w:p w14:paraId="08D1C183" w14:textId="0C2B176C" w:rsidR="00E71D59" w:rsidRPr="004A3B37" w:rsidRDefault="00441795" w:rsidP="004A3B37">
            <w:pPr>
              <w:rPr>
                <w:rFonts w:ascii="Times New Roman" w:hAnsi="Times New Roman" w:cs="Times New Roman"/>
                <w:sz w:val="16"/>
                <w:szCs w:val="16"/>
              </w:rPr>
            </w:pPr>
            <w:r>
              <w:rPr>
                <w:rFonts w:ascii="Times New Roman" w:hAnsi="Times New Roman" w:cs="Times New Roman"/>
                <w:sz w:val="16"/>
                <w:szCs w:val="16"/>
              </w:rPr>
              <w:t>Moderate</w:t>
            </w:r>
          </w:p>
        </w:tc>
      </w:tr>
      <w:tr w:rsidR="00AD6811" w:rsidRPr="004A3B37" w14:paraId="54C6FF9D" w14:textId="77777777" w:rsidTr="00DE64D5">
        <w:tc>
          <w:tcPr>
            <w:tcW w:w="1853" w:type="dxa"/>
          </w:tcPr>
          <w:p w14:paraId="4BD87D96" w14:textId="6755DD83" w:rsidR="00AD6811" w:rsidRPr="004A3B37" w:rsidRDefault="00AD6811" w:rsidP="004A3B37">
            <w:pPr>
              <w:rPr>
                <w:rFonts w:ascii="Times New Roman" w:hAnsi="Times New Roman" w:cs="Times New Roman"/>
                <w:sz w:val="16"/>
                <w:szCs w:val="16"/>
              </w:rPr>
            </w:pPr>
            <w:r w:rsidRPr="004A3B37">
              <w:rPr>
                <w:rFonts w:ascii="Times New Roman" w:hAnsi="Times New Roman" w:cs="Times New Roman"/>
                <w:sz w:val="16"/>
                <w:szCs w:val="16"/>
              </w:rPr>
              <w:t>Waiting time on postoperative health-related quality of life indices.</w:t>
            </w:r>
          </w:p>
        </w:tc>
        <w:tc>
          <w:tcPr>
            <w:tcW w:w="1746" w:type="dxa"/>
            <w:shd w:val="clear" w:color="auto" w:fill="FFE599" w:themeFill="accent4" w:themeFillTint="66"/>
          </w:tcPr>
          <w:p w14:paraId="4B56B2B1" w14:textId="191FF30C" w:rsidR="00AD6811" w:rsidRPr="004A3B37" w:rsidRDefault="00A66F94" w:rsidP="004A3B37">
            <w:pPr>
              <w:rPr>
                <w:rFonts w:ascii="Times New Roman" w:hAnsi="Times New Roman" w:cs="Times New Roman"/>
                <w:sz w:val="16"/>
                <w:szCs w:val="16"/>
              </w:rPr>
            </w:pPr>
            <w:r w:rsidRPr="004A3B37">
              <w:rPr>
                <w:rFonts w:ascii="Times New Roman" w:hAnsi="Times New Roman" w:cs="Times New Roman"/>
                <w:sz w:val="16"/>
                <w:szCs w:val="16"/>
              </w:rPr>
              <w:t>Serious</w:t>
            </w:r>
          </w:p>
        </w:tc>
        <w:tc>
          <w:tcPr>
            <w:tcW w:w="1962" w:type="dxa"/>
            <w:shd w:val="clear" w:color="auto" w:fill="FB7670"/>
          </w:tcPr>
          <w:p w14:paraId="581209EA" w14:textId="3CE0117F" w:rsidR="00AD6811" w:rsidRPr="004A3B37" w:rsidRDefault="00413B3B" w:rsidP="004A3B37">
            <w:pPr>
              <w:rPr>
                <w:rFonts w:ascii="Times New Roman" w:hAnsi="Times New Roman" w:cs="Times New Roman"/>
                <w:sz w:val="16"/>
                <w:szCs w:val="16"/>
              </w:rPr>
            </w:pPr>
            <w:r w:rsidRPr="004A3B37">
              <w:rPr>
                <w:rFonts w:ascii="Times New Roman" w:hAnsi="Times New Roman" w:cs="Times New Roman"/>
                <w:sz w:val="16"/>
                <w:szCs w:val="16"/>
              </w:rPr>
              <w:t>Very Serious</w:t>
            </w:r>
          </w:p>
        </w:tc>
        <w:tc>
          <w:tcPr>
            <w:tcW w:w="1922" w:type="dxa"/>
            <w:shd w:val="clear" w:color="auto" w:fill="A8D08D" w:themeFill="accent6" w:themeFillTint="99"/>
          </w:tcPr>
          <w:p w14:paraId="47133923" w14:textId="6D737AB0" w:rsidR="00AD6811" w:rsidRPr="004A3B37" w:rsidRDefault="00AD6811" w:rsidP="004A3B37">
            <w:pPr>
              <w:rPr>
                <w:rFonts w:ascii="Times New Roman" w:hAnsi="Times New Roman" w:cs="Times New Roman"/>
                <w:sz w:val="16"/>
                <w:szCs w:val="16"/>
              </w:rPr>
            </w:pPr>
            <w:r w:rsidRPr="004A3B37">
              <w:rPr>
                <w:rFonts w:ascii="Times New Roman" w:hAnsi="Times New Roman" w:cs="Times New Roman"/>
                <w:sz w:val="16"/>
                <w:szCs w:val="16"/>
              </w:rPr>
              <w:t>Not Serious</w:t>
            </w:r>
          </w:p>
        </w:tc>
        <w:tc>
          <w:tcPr>
            <w:tcW w:w="1920" w:type="dxa"/>
            <w:shd w:val="clear" w:color="auto" w:fill="FFE599" w:themeFill="accent4" w:themeFillTint="66"/>
          </w:tcPr>
          <w:p w14:paraId="4783D978" w14:textId="538DD0CE" w:rsidR="00AD6811" w:rsidRPr="004A3B37" w:rsidRDefault="00A66F94" w:rsidP="004A3B37">
            <w:pPr>
              <w:rPr>
                <w:rFonts w:ascii="Times New Roman" w:hAnsi="Times New Roman" w:cs="Times New Roman"/>
                <w:sz w:val="16"/>
                <w:szCs w:val="16"/>
              </w:rPr>
            </w:pPr>
            <w:r w:rsidRPr="004A3B37">
              <w:rPr>
                <w:rFonts w:ascii="Times New Roman" w:hAnsi="Times New Roman" w:cs="Times New Roman"/>
                <w:sz w:val="16"/>
                <w:szCs w:val="16"/>
              </w:rPr>
              <w:t>S</w:t>
            </w:r>
            <w:r w:rsidR="00AD6811" w:rsidRPr="004A3B37">
              <w:rPr>
                <w:rFonts w:ascii="Times New Roman" w:hAnsi="Times New Roman" w:cs="Times New Roman"/>
                <w:sz w:val="16"/>
                <w:szCs w:val="16"/>
              </w:rPr>
              <w:t>erious</w:t>
            </w:r>
          </w:p>
        </w:tc>
        <w:tc>
          <w:tcPr>
            <w:tcW w:w="1791" w:type="dxa"/>
            <w:shd w:val="clear" w:color="auto" w:fill="A8D08D" w:themeFill="accent6" w:themeFillTint="99"/>
          </w:tcPr>
          <w:p w14:paraId="283A9DB2" w14:textId="22173A98" w:rsidR="00AD6811" w:rsidRPr="004A3B37" w:rsidRDefault="00FA5466" w:rsidP="004A3B37">
            <w:pPr>
              <w:rPr>
                <w:rFonts w:ascii="Times New Roman" w:hAnsi="Times New Roman" w:cs="Times New Roman"/>
                <w:sz w:val="16"/>
                <w:szCs w:val="16"/>
              </w:rPr>
            </w:pPr>
            <w:r w:rsidRPr="004A3B37">
              <w:rPr>
                <w:rFonts w:ascii="Times New Roman" w:hAnsi="Times New Roman" w:cs="Times New Roman"/>
                <w:sz w:val="16"/>
                <w:szCs w:val="16"/>
              </w:rPr>
              <w:t>Not Serious</w:t>
            </w:r>
          </w:p>
        </w:tc>
        <w:tc>
          <w:tcPr>
            <w:tcW w:w="1756" w:type="dxa"/>
            <w:shd w:val="clear" w:color="auto" w:fill="ED7D31" w:themeFill="accent2"/>
          </w:tcPr>
          <w:p w14:paraId="6BC08BFB" w14:textId="029057E4" w:rsidR="00AD6811" w:rsidRPr="004A3B37" w:rsidRDefault="00AD6811" w:rsidP="004A3B37">
            <w:pPr>
              <w:rPr>
                <w:rFonts w:ascii="Times New Roman" w:hAnsi="Times New Roman" w:cs="Times New Roman"/>
                <w:sz w:val="16"/>
                <w:szCs w:val="16"/>
              </w:rPr>
            </w:pPr>
            <w:r w:rsidRPr="004A3B37">
              <w:rPr>
                <w:rFonts w:ascii="Times New Roman" w:hAnsi="Times New Roman" w:cs="Times New Roman"/>
                <w:sz w:val="16"/>
                <w:szCs w:val="16"/>
              </w:rPr>
              <w:t>Low</w:t>
            </w:r>
          </w:p>
        </w:tc>
      </w:tr>
      <w:tr w:rsidR="001E68A8" w:rsidRPr="004A3B37" w14:paraId="7D52DD3A" w14:textId="77777777" w:rsidTr="007F1D97">
        <w:tc>
          <w:tcPr>
            <w:tcW w:w="1853" w:type="dxa"/>
          </w:tcPr>
          <w:p w14:paraId="6B25A70E" w14:textId="78607E03" w:rsidR="001E68A8" w:rsidRPr="004A3B37" w:rsidRDefault="001E68A8" w:rsidP="004A3B37">
            <w:pPr>
              <w:rPr>
                <w:rFonts w:ascii="Times New Roman" w:hAnsi="Times New Roman" w:cs="Times New Roman"/>
                <w:sz w:val="16"/>
                <w:szCs w:val="16"/>
              </w:rPr>
            </w:pPr>
            <w:r w:rsidRPr="004A3B37">
              <w:rPr>
                <w:rFonts w:ascii="Times New Roman" w:hAnsi="Times New Roman" w:cs="Times New Roman"/>
                <w:sz w:val="16"/>
                <w:szCs w:val="16"/>
              </w:rPr>
              <w:t>Waiting time on psychosocial dimension of patient experience.</w:t>
            </w:r>
          </w:p>
        </w:tc>
        <w:tc>
          <w:tcPr>
            <w:tcW w:w="1746" w:type="dxa"/>
            <w:shd w:val="clear" w:color="auto" w:fill="FFE599" w:themeFill="accent4" w:themeFillTint="66"/>
          </w:tcPr>
          <w:p w14:paraId="1E86A891" w14:textId="70B4A421" w:rsidR="001E68A8" w:rsidRPr="004A3B37" w:rsidRDefault="000834CF" w:rsidP="004A3B37">
            <w:pPr>
              <w:rPr>
                <w:rFonts w:ascii="Times New Roman" w:hAnsi="Times New Roman" w:cs="Times New Roman"/>
                <w:sz w:val="16"/>
                <w:szCs w:val="16"/>
              </w:rPr>
            </w:pPr>
            <w:r>
              <w:rPr>
                <w:rFonts w:ascii="Times New Roman" w:hAnsi="Times New Roman" w:cs="Times New Roman"/>
                <w:sz w:val="16"/>
                <w:szCs w:val="16"/>
              </w:rPr>
              <w:t>Serious</w:t>
            </w:r>
          </w:p>
        </w:tc>
        <w:tc>
          <w:tcPr>
            <w:tcW w:w="1962" w:type="dxa"/>
            <w:shd w:val="clear" w:color="auto" w:fill="A8D08D" w:themeFill="accent6" w:themeFillTint="99"/>
          </w:tcPr>
          <w:p w14:paraId="2EFD8C7B" w14:textId="12F20106" w:rsidR="001E68A8" w:rsidRPr="004A3B37" w:rsidRDefault="00C21CD9" w:rsidP="004A3B37">
            <w:pPr>
              <w:rPr>
                <w:rFonts w:ascii="Times New Roman" w:hAnsi="Times New Roman" w:cs="Times New Roman"/>
                <w:sz w:val="16"/>
                <w:szCs w:val="16"/>
              </w:rPr>
            </w:pPr>
            <w:r w:rsidRPr="004A3B37">
              <w:rPr>
                <w:rFonts w:ascii="Times New Roman" w:hAnsi="Times New Roman" w:cs="Times New Roman"/>
                <w:sz w:val="16"/>
                <w:szCs w:val="16"/>
              </w:rPr>
              <w:t>Not Serious</w:t>
            </w:r>
          </w:p>
        </w:tc>
        <w:tc>
          <w:tcPr>
            <w:tcW w:w="1922" w:type="dxa"/>
            <w:shd w:val="clear" w:color="auto" w:fill="FFE599" w:themeFill="accent4" w:themeFillTint="66"/>
          </w:tcPr>
          <w:p w14:paraId="5003214D" w14:textId="6090E3EC" w:rsidR="001E68A8" w:rsidRPr="004A3B37" w:rsidRDefault="001E68A8" w:rsidP="004A3B37">
            <w:pPr>
              <w:rPr>
                <w:rFonts w:ascii="Times New Roman" w:hAnsi="Times New Roman" w:cs="Times New Roman"/>
                <w:sz w:val="16"/>
                <w:szCs w:val="16"/>
              </w:rPr>
            </w:pPr>
            <w:r w:rsidRPr="004A3B37">
              <w:rPr>
                <w:rFonts w:ascii="Times New Roman" w:hAnsi="Times New Roman" w:cs="Times New Roman"/>
                <w:sz w:val="16"/>
                <w:szCs w:val="16"/>
              </w:rPr>
              <w:t>Serious</w:t>
            </w:r>
          </w:p>
        </w:tc>
        <w:tc>
          <w:tcPr>
            <w:tcW w:w="1920" w:type="dxa"/>
            <w:shd w:val="clear" w:color="auto" w:fill="A8D08D" w:themeFill="accent6" w:themeFillTint="99"/>
          </w:tcPr>
          <w:p w14:paraId="23215FEA" w14:textId="0F6F40B2" w:rsidR="001E68A8" w:rsidRPr="004A3B37" w:rsidRDefault="000834CF" w:rsidP="004A3B37">
            <w:pPr>
              <w:rPr>
                <w:rFonts w:ascii="Times New Roman" w:hAnsi="Times New Roman" w:cs="Times New Roman"/>
                <w:sz w:val="16"/>
                <w:szCs w:val="16"/>
              </w:rPr>
            </w:pPr>
            <w:r>
              <w:rPr>
                <w:rFonts w:ascii="Times New Roman" w:hAnsi="Times New Roman" w:cs="Times New Roman"/>
                <w:sz w:val="16"/>
                <w:szCs w:val="16"/>
              </w:rPr>
              <w:t>Not Serious</w:t>
            </w:r>
          </w:p>
        </w:tc>
        <w:tc>
          <w:tcPr>
            <w:tcW w:w="1791" w:type="dxa"/>
          </w:tcPr>
          <w:p w14:paraId="52695EC9" w14:textId="3C0882FF" w:rsidR="001E68A8" w:rsidRPr="004A3B37" w:rsidRDefault="001E68A8" w:rsidP="004A3B37">
            <w:pPr>
              <w:rPr>
                <w:rFonts w:ascii="Times New Roman" w:hAnsi="Times New Roman" w:cs="Times New Roman"/>
                <w:sz w:val="16"/>
                <w:szCs w:val="16"/>
              </w:rPr>
            </w:pPr>
            <w:r w:rsidRPr="004A3B37">
              <w:rPr>
                <w:rFonts w:ascii="Times New Roman" w:hAnsi="Times New Roman" w:cs="Times New Roman"/>
                <w:sz w:val="16"/>
                <w:szCs w:val="16"/>
              </w:rPr>
              <w:t>N/A</w:t>
            </w:r>
            <w:r w:rsidR="000834CF">
              <w:rPr>
                <w:rFonts w:ascii="Times New Roman" w:hAnsi="Times New Roman" w:cs="Times New Roman"/>
                <w:sz w:val="16"/>
                <w:szCs w:val="16"/>
                <w:vertAlign w:val="superscript"/>
              </w:rPr>
              <w:t>A</w:t>
            </w:r>
          </w:p>
        </w:tc>
        <w:tc>
          <w:tcPr>
            <w:tcW w:w="1756" w:type="dxa"/>
            <w:shd w:val="clear" w:color="auto" w:fill="FFE599" w:themeFill="accent4" w:themeFillTint="66"/>
          </w:tcPr>
          <w:p w14:paraId="2F662980" w14:textId="13DEADEA" w:rsidR="001E68A8" w:rsidRPr="004A3B37" w:rsidRDefault="007F1D97" w:rsidP="004A3B37">
            <w:pPr>
              <w:rPr>
                <w:rFonts w:ascii="Times New Roman" w:hAnsi="Times New Roman" w:cs="Times New Roman"/>
                <w:sz w:val="16"/>
                <w:szCs w:val="16"/>
              </w:rPr>
            </w:pPr>
            <w:r>
              <w:rPr>
                <w:rFonts w:ascii="Times New Roman" w:hAnsi="Times New Roman" w:cs="Times New Roman"/>
                <w:sz w:val="16"/>
                <w:szCs w:val="16"/>
              </w:rPr>
              <w:t>Moderate</w:t>
            </w:r>
          </w:p>
        </w:tc>
      </w:tr>
    </w:tbl>
    <w:p w14:paraId="2DA43514" w14:textId="4A4FDC50" w:rsidR="0042729E" w:rsidRPr="004A3B37" w:rsidRDefault="0042729E" w:rsidP="004A3B37">
      <w:pPr>
        <w:rPr>
          <w:rFonts w:ascii="Times New Roman" w:hAnsi="Times New Roman" w:cs="Times New Roman"/>
          <w:sz w:val="16"/>
          <w:szCs w:val="16"/>
        </w:rPr>
      </w:pPr>
    </w:p>
    <w:p w14:paraId="7DA96657" w14:textId="429F0CC0" w:rsidR="00124780" w:rsidRPr="00322094" w:rsidRDefault="001F27AB" w:rsidP="004A3B37">
      <w:pPr>
        <w:rPr>
          <w:rFonts w:ascii="Times New Roman" w:hAnsi="Times New Roman" w:cs="Times New Roman"/>
          <w:i/>
          <w:iCs/>
          <w:sz w:val="20"/>
          <w:szCs w:val="20"/>
        </w:rPr>
        <w:sectPr w:rsidR="00124780" w:rsidRPr="00322094" w:rsidSect="00271103">
          <w:pgSz w:w="15840" w:h="12240" w:orient="landscape"/>
          <w:pgMar w:top="1440" w:right="1440" w:bottom="1440" w:left="1440" w:header="708" w:footer="708" w:gutter="0"/>
          <w:cols w:space="708"/>
          <w:docGrid w:linePitch="360"/>
        </w:sectPr>
      </w:pPr>
      <w:r w:rsidRPr="00322094">
        <w:rPr>
          <w:rFonts w:ascii="Times New Roman" w:hAnsi="Times New Roman" w:cs="Times New Roman"/>
          <w:b/>
          <w:bCs/>
          <w:i/>
          <w:iCs/>
          <w:sz w:val="20"/>
          <w:szCs w:val="20"/>
        </w:rPr>
        <w:t xml:space="preserve">Supplementary Table 6: </w:t>
      </w:r>
      <w:r w:rsidRPr="00322094">
        <w:rPr>
          <w:rFonts w:ascii="Times New Roman" w:hAnsi="Times New Roman" w:cs="Times New Roman"/>
          <w:i/>
          <w:iCs/>
          <w:sz w:val="20"/>
          <w:szCs w:val="20"/>
        </w:rPr>
        <w:t xml:space="preserve">GRADE Quality of Evidence for </w:t>
      </w:r>
      <w:r w:rsidR="00D84678" w:rsidRPr="00322094">
        <w:rPr>
          <w:rFonts w:ascii="Times New Roman" w:hAnsi="Times New Roman" w:cs="Times New Roman"/>
          <w:i/>
          <w:iCs/>
          <w:sz w:val="20"/>
          <w:szCs w:val="20"/>
        </w:rPr>
        <w:t>s</w:t>
      </w:r>
      <w:r w:rsidRPr="00322094">
        <w:rPr>
          <w:rFonts w:ascii="Times New Roman" w:hAnsi="Times New Roman" w:cs="Times New Roman"/>
          <w:i/>
          <w:iCs/>
          <w:sz w:val="20"/>
          <w:szCs w:val="20"/>
        </w:rPr>
        <w:t xml:space="preserve">ynthesised </w:t>
      </w:r>
      <w:r w:rsidR="00D84678" w:rsidRPr="00322094">
        <w:rPr>
          <w:rFonts w:ascii="Times New Roman" w:hAnsi="Times New Roman" w:cs="Times New Roman"/>
          <w:i/>
          <w:iCs/>
          <w:sz w:val="20"/>
          <w:szCs w:val="20"/>
        </w:rPr>
        <w:t>o</w:t>
      </w:r>
      <w:r w:rsidRPr="00322094">
        <w:rPr>
          <w:rFonts w:ascii="Times New Roman" w:hAnsi="Times New Roman" w:cs="Times New Roman"/>
          <w:i/>
          <w:iCs/>
          <w:sz w:val="20"/>
          <w:szCs w:val="20"/>
        </w:rPr>
        <w:t>utcomes</w:t>
      </w:r>
      <w:r w:rsidR="00124780" w:rsidRPr="00322094">
        <w:rPr>
          <w:rFonts w:ascii="Times New Roman" w:hAnsi="Times New Roman" w:cs="Times New Roman"/>
          <w:i/>
          <w:iCs/>
          <w:sz w:val="20"/>
          <w:szCs w:val="20"/>
        </w:rPr>
        <w:fldChar w:fldCharType="begin"/>
      </w:r>
      <w:r w:rsidR="003A04FA" w:rsidRPr="00322094">
        <w:rPr>
          <w:rFonts w:ascii="Times New Roman" w:hAnsi="Times New Roman" w:cs="Times New Roman"/>
          <w:i/>
          <w:iCs/>
          <w:sz w:val="20"/>
          <w:szCs w:val="20"/>
        </w:rPr>
        <w:instrText xml:space="preserve"> ADDIN ZOTERO_ITEM CSL_CITATION {"citationID":"ebo0dXU3","properties":{"formattedCitation":"\\super 37\\nosupersub{}","plainCitation":"37","noteIndex":0},"citationItems":[{"id":807,"uris":["http://zotero.org/users/local/26vZAHNZ/items/M92R3SQA"],"itemData":{"id":807,"type":"article-journal","abstract":"&lt;p&gt;Guidelines are inconsistent in how they rate the quality of evidence and the strength of recommendations. This article explores the advantages of the GRADE system, which is increasingly being adopted by organisations worldwide &lt;/p&gt;","container-title":"BMJ","DOI":"10.1136/bmj.39489.470347.AD","ISSN":"0959-8138, 1756-1833","issue":"7650","journalAbbreviation":"BMJ","language":"en","license":"© BMJ Publishing Group Ltd 2008","note":"publisher: British Medical Journal Publishing Group\nsection: Analysis\nPMID: 18436948","page":"924-926","source":"www.bmj.com","title":"GRADE: an emerging consensus on rating quality of evidence and strength of recommendations","title-short":"GRADE","volume":"336","author":[{"family":"Guyatt","given":"Gordon H."},{"family":"Oxman","given":"Andrew D."},{"family":"Vist","given":"Gunn E."},{"family":"Kunz","given":"Regina"},{"family":"Falck-Ytter","given":"Yngve"},{"family":"Alonso-Coello","given":"Pablo"},{"family":"Schünemann","given":"Holger J."}],"issued":{"date-parts":[["2008",4,24]]}}}],"schema":"https://github.com/citation-style-language/schema/raw/master/csl-citation.json"} </w:instrText>
      </w:r>
      <w:r w:rsidR="00124780" w:rsidRPr="00322094">
        <w:rPr>
          <w:rFonts w:ascii="Times New Roman" w:hAnsi="Times New Roman" w:cs="Times New Roman"/>
          <w:i/>
          <w:iCs/>
          <w:sz w:val="20"/>
          <w:szCs w:val="20"/>
        </w:rPr>
        <w:fldChar w:fldCharType="separate"/>
      </w:r>
      <w:r w:rsidR="003A04FA" w:rsidRPr="00322094">
        <w:rPr>
          <w:rFonts w:ascii="Times New Roman" w:hAnsi="Times New Roman" w:cs="Times New Roman"/>
          <w:sz w:val="20"/>
          <w:szCs w:val="20"/>
          <w:vertAlign w:val="superscript"/>
        </w:rPr>
        <w:t>37</w:t>
      </w:r>
      <w:r w:rsidR="00124780" w:rsidRPr="00322094">
        <w:rPr>
          <w:rFonts w:ascii="Times New Roman" w:hAnsi="Times New Roman" w:cs="Times New Roman"/>
          <w:i/>
          <w:iCs/>
          <w:sz w:val="20"/>
          <w:szCs w:val="20"/>
        </w:rPr>
        <w:fldChar w:fldCharType="end"/>
      </w:r>
      <w:r w:rsidRPr="00322094">
        <w:rPr>
          <w:rFonts w:ascii="Times New Roman" w:hAnsi="Times New Roman" w:cs="Times New Roman"/>
          <w:i/>
          <w:iCs/>
          <w:sz w:val="20"/>
          <w:szCs w:val="20"/>
        </w:rPr>
        <w:t xml:space="preserve">. </w:t>
      </w:r>
      <w:r w:rsidR="008E1462" w:rsidRPr="00322094">
        <w:rPr>
          <w:rFonts w:ascii="Times New Roman" w:hAnsi="Times New Roman" w:cs="Times New Roman"/>
          <w:i/>
          <w:iCs/>
          <w:sz w:val="20"/>
          <w:szCs w:val="20"/>
        </w:rPr>
        <w:t>O</w:t>
      </w:r>
      <w:r w:rsidR="00D84678" w:rsidRPr="00322094">
        <w:rPr>
          <w:rFonts w:ascii="Times New Roman" w:hAnsi="Times New Roman" w:cs="Times New Roman"/>
          <w:i/>
          <w:iCs/>
          <w:sz w:val="20"/>
          <w:szCs w:val="20"/>
        </w:rPr>
        <w:t xml:space="preserve">utcome </w:t>
      </w:r>
      <w:r w:rsidR="00DD52A8" w:rsidRPr="00322094">
        <w:rPr>
          <w:rFonts w:ascii="Times New Roman" w:hAnsi="Times New Roman" w:cs="Times New Roman"/>
          <w:i/>
          <w:iCs/>
          <w:sz w:val="20"/>
          <w:szCs w:val="20"/>
        </w:rPr>
        <w:t xml:space="preserve">certainty </w:t>
      </w:r>
      <w:r w:rsidRPr="00322094">
        <w:rPr>
          <w:rFonts w:ascii="Times New Roman" w:hAnsi="Times New Roman" w:cs="Times New Roman"/>
          <w:i/>
          <w:iCs/>
          <w:sz w:val="20"/>
          <w:szCs w:val="20"/>
        </w:rPr>
        <w:t>started at “</w:t>
      </w:r>
      <w:r w:rsidR="00000EE3" w:rsidRPr="00322094">
        <w:rPr>
          <w:rFonts w:ascii="Times New Roman" w:hAnsi="Times New Roman" w:cs="Times New Roman"/>
          <w:i/>
          <w:iCs/>
          <w:sz w:val="20"/>
          <w:szCs w:val="20"/>
        </w:rPr>
        <w:t>High</w:t>
      </w:r>
      <w:r w:rsidRPr="00322094">
        <w:rPr>
          <w:rFonts w:ascii="Times New Roman" w:hAnsi="Times New Roman" w:cs="Times New Roman"/>
          <w:i/>
          <w:iCs/>
          <w:sz w:val="20"/>
          <w:szCs w:val="20"/>
        </w:rPr>
        <w:t>” overall certainty (</w:t>
      </w:r>
      <w:r w:rsidR="00000EE3" w:rsidRPr="00322094">
        <w:rPr>
          <w:rFonts w:ascii="Times New Roman" w:hAnsi="Times New Roman" w:cs="Times New Roman"/>
          <w:i/>
          <w:iCs/>
          <w:sz w:val="20"/>
          <w:szCs w:val="20"/>
        </w:rPr>
        <w:t>Green</w:t>
      </w:r>
      <w:r w:rsidRPr="00322094">
        <w:rPr>
          <w:rFonts w:ascii="Times New Roman" w:hAnsi="Times New Roman" w:cs="Times New Roman"/>
          <w:i/>
          <w:iCs/>
          <w:sz w:val="20"/>
          <w:szCs w:val="20"/>
        </w:rPr>
        <w:t>) and could be downgraded to</w:t>
      </w:r>
      <w:r w:rsidR="00DD52A8" w:rsidRPr="00322094">
        <w:rPr>
          <w:rFonts w:ascii="Times New Roman" w:hAnsi="Times New Roman" w:cs="Times New Roman"/>
          <w:i/>
          <w:iCs/>
          <w:sz w:val="20"/>
          <w:szCs w:val="20"/>
        </w:rPr>
        <w:t xml:space="preserve"> </w:t>
      </w:r>
      <w:r w:rsidR="007F1D97" w:rsidRPr="00322094">
        <w:rPr>
          <w:rFonts w:ascii="Times New Roman" w:hAnsi="Times New Roman" w:cs="Times New Roman"/>
          <w:i/>
          <w:iCs/>
          <w:sz w:val="20"/>
          <w:szCs w:val="20"/>
        </w:rPr>
        <w:t xml:space="preserve">“Moderate” (Green), </w:t>
      </w:r>
      <w:r w:rsidRPr="00322094">
        <w:rPr>
          <w:rFonts w:ascii="Times New Roman" w:hAnsi="Times New Roman" w:cs="Times New Roman"/>
          <w:i/>
          <w:iCs/>
          <w:sz w:val="20"/>
          <w:szCs w:val="20"/>
        </w:rPr>
        <w:t>“</w:t>
      </w:r>
      <w:r w:rsidR="00D84678" w:rsidRPr="00322094">
        <w:rPr>
          <w:rFonts w:ascii="Times New Roman" w:hAnsi="Times New Roman" w:cs="Times New Roman"/>
          <w:i/>
          <w:iCs/>
          <w:sz w:val="20"/>
          <w:szCs w:val="20"/>
        </w:rPr>
        <w:t>Low</w:t>
      </w:r>
      <w:r w:rsidRPr="00322094">
        <w:rPr>
          <w:rFonts w:ascii="Times New Roman" w:hAnsi="Times New Roman" w:cs="Times New Roman"/>
          <w:i/>
          <w:iCs/>
          <w:sz w:val="20"/>
          <w:szCs w:val="20"/>
        </w:rPr>
        <w:t xml:space="preserve">” (Orange) or “Very </w:t>
      </w:r>
      <w:r w:rsidR="00D84678" w:rsidRPr="00322094">
        <w:rPr>
          <w:rFonts w:ascii="Times New Roman" w:hAnsi="Times New Roman" w:cs="Times New Roman"/>
          <w:i/>
          <w:iCs/>
          <w:sz w:val="20"/>
          <w:szCs w:val="20"/>
        </w:rPr>
        <w:t>Low</w:t>
      </w:r>
      <w:r w:rsidRPr="00322094">
        <w:rPr>
          <w:rFonts w:ascii="Times New Roman" w:hAnsi="Times New Roman" w:cs="Times New Roman"/>
          <w:i/>
          <w:iCs/>
          <w:sz w:val="20"/>
          <w:szCs w:val="20"/>
        </w:rPr>
        <w:t>” (Red) according to the most limited constituent domain: not serious (-0, Green), serious (-1, Yellow) or very serious (-2, Red). There were no grounds to upgrade evidence quality</w:t>
      </w:r>
      <w:r w:rsidR="00DD52A8" w:rsidRPr="00322094">
        <w:rPr>
          <w:rFonts w:ascii="Times New Roman" w:hAnsi="Times New Roman" w:cs="Times New Roman"/>
          <w:i/>
          <w:iCs/>
          <w:sz w:val="20"/>
          <w:szCs w:val="20"/>
        </w:rPr>
        <w:t xml:space="preserve"> to “High” (Green) certainty of evidence;</w:t>
      </w:r>
      <w:r w:rsidR="000834CF" w:rsidRPr="00322094">
        <w:rPr>
          <w:rFonts w:ascii="Times New Roman" w:hAnsi="Times New Roman" w:cs="Times New Roman"/>
          <w:i/>
          <w:iCs/>
          <w:sz w:val="20"/>
          <w:szCs w:val="20"/>
        </w:rPr>
        <w:t xml:space="preserve"> A</w:t>
      </w:r>
      <w:r w:rsidR="00DD52A8" w:rsidRPr="00322094">
        <w:rPr>
          <w:rFonts w:ascii="Times New Roman" w:hAnsi="Times New Roman" w:cs="Times New Roman"/>
          <w:i/>
          <w:iCs/>
          <w:sz w:val="20"/>
          <w:szCs w:val="20"/>
        </w:rPr>
        <w:t>: publication biases could also not be assessed in this outcome.</w:t>
      </w:r>
    </w:p>
    <w:p w14:paraId="74C3CED0" w14:textId="55308A42" w:rsidR="00FE4B84" w:rsidRDefault="00FE4B84" w:rsidP="004A3B37">
      <w:pPr>
        <w:rPr>
          <w:rFonts w:ascii="Times New Roman" w:hAnsi="Times New Roman" w:cs="Times New Roman"/>
          <w:i/>
          <w:iCs/>
          <w:sz w:val="16"/>
          <w:szCs w:val="16"/>
        </w:rPr>
      </w:pPr>
    </w:p>
    <w:p w14:paraId="74161C66" w14:textId="3A028C72" w:rsidR="004A3B37" w:rsidRPr="00322094" w:rsidRDefault="004A3B37" w:rsidP="004A3B37">
      <w:pPr>
        <w:rPr>
          <w:rFonts w:ascii="Times New Roman" w:hAnsi="Times New Roman" w:cs="Times New Roman"/>
          <w:i/>
          <w:iCs/>
        </w:rPr>
      </w:pPr>
      <w:r w:rsidRPr="00322094">
        <w:rPr>
          <w:rFonts w:ascii="Times New Roman" w:hAnsi="Times New Roman" w:cs="Times New Roman"/>
          <w:b/>
          <w:bCs/>
        </w:rPr>
        <w:t>References:</w:t>
      </w:r>
    </w:p>
    <w:p w14:paraId="0C0B6EA7" w14:textId="77777777" w:rsidR="003A04FA" w:rsidRPr="00322094" w:rsidRDefault="00124780" w:rsidP="00322094">
      <w:pPr>
        <w:pStyle w:val="Bibliography"/>
        <w:rPr>
          <w:rFonts w:ascii="Times New Roman" w:hAnsi="Times New Roman" w:cs="Times New Roman"/>
          <w:sz w:val="20"/>
          <w:szCs w:val="20"/>
        </w:rPr>
      </w:pPr>
      <w:r w:rsidRPr="003A04FA">
        <w:rPr>
          <w:rFonts w:ascii="Times New Roman" w:hAnsi="Times New Roman" w:cs="Times New Roman"/>
          <w:b/>
          <w:bCs/>
          <w:sz w:val="22"/>
          <w:szCs w:val="22"/>
        </w:rPr>
        <w:fldChar w:fldCharType="begin"/>
      </w:r>
      <w:r w:rsidR="00C360C4" w:rsidRPr="003A04FA">
        <w:rPr>
          <w:rFonts w:ascii="Times New Roman" w:hAnsi="Times New Roman" w:cs="Times New Roman"/>
          <w:b/>
          <w:bCs/>
          <w:sz w:val="22"/>
          <w:szCs w:val="22"/>
        </w:rPr>
        <w:instrText xml:space="preserve"> ADDIN ZOTERO_BIBL {"uncited":[],"omitted":[],"custom":[]} CSL_BIBLIOGRAPHY </w:instrText>
      </w:r>
      <w:r w:rsidRPr="003A04FA">
        <w:rPr>
          <w:rFonts w:ascii="Times New Roman" w:hAnsi="Times New Roman" w:cs="Times New Roman"/>
          <w:b/>
          <w:bCs/>
          <w:sz w:val="22"/>
          <w:szCs w:val="22"/>
        </w:rPr>
        <w:fldChar w:fldCharType="separate"/>
      </w:r>
      <w:r w:rsidR="003A04FA" w:rsidRPr="003A04FA">
        <w:rPr>
          <w:rFonts w:ascii="Times New Roman" w:hAnsi="Times New Roman" w:cs="Times New Roman"/>
          <w:sz w:val="22"/>
          <w:szCs w:val="22"/>
        </w:rPr>
        <w:t xml:space="preserve">1. </w:t>
      </w:r>
      <w:r w:rsidR="003A04FA" w:rsidRPr="003A04FA">
        <w:rPr>
          <w:rFonts w:ascii="Times New Roman" w:hAnsi="Times New Roman" w:cs="Times New Roman"/>
          <w:sz w:val="22"/>
          <w:szCs w:val="22"/>
        </w:rPr>
        <w:tab/>
      </w:r>
      <w:r w:rsidR="003A04FA" w:rsidRPr="00322094">
        <w:rPr>
          <w:rFonts w:ascii="Times New Roman" w:hAnsi="Times New Roman" w:cs="Times New Roman"/>
          <w:sz w:val="20"/>
          <w:szCs w:val="20"/>
        </w:rPr>
        <w:t xml:space="preserve">Derrett S, Paul C, Morris JM. Waiting for elective surgery: effects on health-related quality of life. Int J Qual Health Care. 1999 Feb;11(1):47–57. </w:t>
      </w:r>
    </w:p>
    <w:p w14:paraId="2DA0B5D7"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2. </w:t>
      </w:r>
      <w:r w:rsidRPr="00322094">
        <w:rPr>
          <w:rFonts w:ascii="Times New Roman" w:hAnsi="Times New Roman" w:cs="Times New Roman"/>
          <w:sz w:val="20"/>
          <w:szCs w:val="20"/>
        </w:rPr>
        <w:tab/>
        <w:t xml:space="preserve">Tuominen U, Sintonen H, Hirvonen J, Seitsalo S, Paavolainen P, Lehto M, et al. The effect of waiting time on health and quality of life outcomes and costs of medication in hip replacement patients: a randomized clinical trial. Osteoarthritis and Cartilage. 2009 Sep 1;17(9):1144–50. </w:t>
      </w:r>
    </w:p>
    <w:p w14:paraId="096CC34A"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3. </w:t>
      </w:r>
      <w:r w:rsidRPr="00322094">
        <w:rPr>
          <w:rFonts w:ascii="Times New Roman" w:hAnsi="Times New Roman" w:cs="Times New Roman"/>
          <w:sz w:val="20"/>
          <w:szCs w:val="20"/>
        </w:rPr>
        <w:tab/>
        <w:t xml:space="preserve">Brown TS, Bedard NA, Rojas EO, Anthony CA, Schwarzkopf R, Barnes CL, et al. The Effect of the COVID-19 Pandemic on Electively Scheduled Hip and Knee Arthroplasty Patients in the United States. J Arthroplasty. 2020 Jul;35(7S):S49–55. </w:t>
      </w:r>
    </w:p>
    <w:p w14:paraId="2C8C9A9E"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4. </w:t>
      </w:r>
      <w:r w:rsidRPr="00322094">
        <w:rPr>
          <w:rFonts w:ascii="Times New Roman" w:hAnsi="Times New Roman" w:cs="Times New Roman"/>
          <w:sz w:val="20"/>
          <w:szCs w:val="20"/>
        </w:rPr>
        <w:tab/>
        <w:t xml:space="preserve">Wilson JM, Schwartz AM, Farley KX, Roberson JR, Bradbury TL, Guild GN. Quantifying the Backlog of Total Hip and Knee Arthroplasty Cases: Predicting the Impact of COVID-19. HSS J. 2020 Nov;16(Suppl 1):85–91. </w:t>
      </w:r>
    </w:p>
    <w:p w14:paraId="291463BC"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5. </w:t>
      </w:r>
      <w:r w:rsidRPr="00322094">
        <w:rPr>
          <w:rFonts w:ascii="Times New Roman" w:hAnsi="Times New Roman" w:cs="Times New Roman"/>
          <w:sz w:val="20"/>
          <w:szCs w:val="20"/>
        </w:rPr>
        <w:tab/>
        <w:t xml:space="preserve">Madanipour S, Al-Obaedi O, Ayub A, Iranpour F, Subramanian P. Resuming elective hip and knee arthroplasty in the COVID-19 era: a unique insight into patient risk aversion and sentiment. Ann R Coll Surg Engl. 2021 Feb;103(2):104–9. </w:t>
      </w:r>
    </w:p>
    <w:p w14:paraId="0E42EFF4"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6. </w:t>
      </w:r>
      <w:r w:rsidRPr="00322094">
        <w:rPr>
          <w:rFonts w:ascii="Times New Roman" w:hAnsi="Times New Roman" w:cs="Times New Roman"/>
          <w:sz w:val="20"/>
          <w:szCs w:val="20"/>
        </w:rPr>
        <w:tab/>
        <w:t xml:space="preserve">Knebel C, Ertl M, Lenze U, Suren C, Dinkel A, Hirschmann MT, et al. COVID-19-related cancellation of elective orthopaedic surgery caused increased pain and psychosocial distress levels. Knee Surg Sports Traumatol Arthrosc. 2021;29(8):2379–85. </w:t>
      </w:r>
    </w:p>
    <w:p w14:paraId="38FC1026"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7. </w:t>
      </w:r>
      <w:r w:rsidRPr="00322094">
        <w:rPr>
          <w:rFonts w:ascii="Times New Roman" w:hAnsi="Times New Roman" w:cs="Times New Roman"/>
          <w:sz w:val="20"/>
          <w:szCs w:val="20"/>
        </w:rPr>
        <w:tab/>
        <w:t xml:space="preserve">Farrow L, Redmore J, Talukdar P, Clement N, Ashcroft GP. Prioritisation of patients awaiting hip and knee arthroplasty: Lower pre-operative EQ-5D is associated with greater improvement in quality of life and joint function. Musculoskeletal Care. 2022;20(4):892–8. </w:t>
      </w:r>
    </w:p>
    <w:p w14:paraId="39045799"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8. </w:t>
      </w:r>
      <w:r w:rsidRPr="00322094">
        <w:rPr>
          <w:rFonts w:ascii="Times New Roman" w:hAnsi="Times New Roman" w:cs="Times New Roman"/>
          <w:sz w:val="20"/>
          <w:szCs w:val="20"/>
        </w:rPr>
        <w:tab/>
        <w:t>Lisa Mandl, Benjamin Swett, Robyn Lipschultz, Myriam Lin, Alison Zhao, Carola Hanreich, Dongmei Sun, Kethy Jules-elysee and Friedrich Boettner. Is SARS-CoV-2 Associated with Worse Outcomes After Total Knee Arthroplasty? In: ACR Meeting Abstracts [Internet]. Philadelphia, PA.; 2022 [cited 2023 Mar 22]. Available from: https://acrabstracts.org/abstract/is-sars-cov-2-associated-with-worse-outcomes-after-total-knee-arthroplasty/</w:t>
      </w:r>
    </w:p>
    <w:p w14:paraId="76A16198"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9. </w:t>
      </w:r>
      <w:r w:rsidRPr="00322094">
        <w:rPr>
          <w:rFonts w:ascii="Times New Roman" w:hAnsi="Times New Roman" w:cs="Times New Roman"/>
          <w:sz w:val="20"/>
          <w:szCs w:val="20"/>
        </w:rPr>
        <w:tab/>
        <w:t xml:space="preserve">Hirvonen J, Blom M, Tuominen U, Seitsalo S, Lehto M, Paavolainen P, et al. Evaluating waiting time effect on health outcomes at admission: a prospective randomized study on patients with osteoarthritis of the knee joint. J Eval Clin Pract. 2007 Oct;13(5):728–33. </w:t>
      </w:r>
    </w:p>
    <w:p w14:paraId="2829FC55"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10. </w:t>
      </w:r>
      <w:r w:rsidRPr="00322094">
        <w:rPr>
          <w:rFonts w:ascii="Times New Roman" w:hAnsi="Times New Roman" w:cs="Times New Roman"/>
          <w:sz w:val="20"/>
          <w:szCs w:val="20"/>
        </w:rPr>
        <w:tab/>
        <w:t xml:space="preserve">Tuominen U, Sintonen H, Hirvonen J, Seitsalo S, Paavolainen P, Lehto M, et al. Is longer waiting time for total knee replacement associated with health outcomes and medication costs? Randomized clinical trial. Value Health. 2010 Dec;13(8):998–1004. </w:t>
      </w:r>
    </w:p>
    <w:p w14:paraId="6DC202F2"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11. </w:t>
      </w:r>
      <w:r w:rsidRPr="00322094">
        <w:rPr>
          <w:rFonts w:ascii="Times New Roman" w:hAnsi="Times New Roman" w:cs="Times New Roman"/>
          <w:sz w:val="20"/>
          <w:szCs w:val="20"/>
        </w:rPr>
        <w:tab/>
        <w:t xml:space="preserve">Skou ST, Roos EM, Laursen MB, Rathleff MS, Arendt-Nielsen L, Simonsen O, et al. A Randomized, Controlled Trial of Total Knee Replacement. N Engl J Med. 2015 Oct 22;373(17):1597–606. </w:t>
      </w:r>
    </w:p>
    <w:p w14:paraId="46F7F55A"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12. </w:t>
      </w:r>
      <w:r w:rsidRPr="00322094">
        <w:rPr>
          <w:rFonts w:ascii="Times New Roman" w:hAnsi="Times New Roman" w:cs="Times New Roman"/>
          <w:sz w:val="20"/>
          <w:szCs w:val="20"/>
        </w:rPr>
        <w:tab/>
        <w:t xml:space="preserve">Sterne JAC, Savović J, Page MJ, Elbers RG, Blencowe NS, Boutron I, et al. RoB 2: a revised tool for assessing risk of bias in randomised trials. BMJ. 2019 Aug 28;366:l4898. </w:t>
      </w:r>
    </w:p>
    <w:p w14:paraId="318C45DA"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13. </w:t>
      </w:r>
      <w:r w:rsidRPr="00322094">
        <w:rPr>
          <w:rFonts w:ascii="Times New Roman" w:hAnsi="Times New Roman" w:cs="Times New Roman"/>
          <w:sz w:val="20"/>
          <w:szCs w:val="20"/>
        </w:rPr>
        <w:tab/>
        <w:t xml:space="preserve">Kelly KD, Voaklander DC, Johnston DWC, Newman SC, Suarez-Almazor ME. Change in pain and function while waiting for major joint arthroplasty. The Journal of Arthroplasty. 2001 Apr 1;16(3):351–9. </w:t>
      </w:r>
    </w:p>
    <w:p w14:paraId="6D6092F6"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14. </w:t>
      </w:r>
      <w:r w:rsidRPr="00322094">
        <w:rPr>
          <w:rFonts w:ascii="Times New Roman" w:hAnsi="Times New Roman" w:cs="Times New Roman"/>
          <w:sz w:val="20"/>
          <w:szCs w:val="20"/>
        </w:rPr>
        <w:tab/>
        <w:t xml:space="preserve">Hajat S, Fitzpatrick R, Morris R, Reeves B, Rigge M, Williams O, et al. Does waiting for total hip replacement matter? Prospective cohort study. J Health Serv Res Policy. 2002 Jan;7(1):19–25. </w:t>
      </w:r>
    </w:p>
    <w:p w14:paraId="2CF2CE3F"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lastRenderedPageBreak/>
        <w:t xml:space="preserve">15. </w:t>
      </w:r>
      <w:r w:rsidRPr="00322094">
        <w:rPr>
          <w:rFonts w:ascii="Times New Roman" w:hAnsi="Times New Roman" w:cs="Times New Roman"/>
          <w:sz w:val="20"/>
          <w:szCs w:val="20"/>
        </w:rPr>
        <w:tab/>
        <w:t xml:space="preserve">Mahon JL, Bourne RB, Rorabeck CH, Feeny DH, Stitt L, Webster-Bogaert S. Health-related quality of life and mobility of patients awaiting elective total hip arthroplasty: a prospective study. CMAJ. 2002 Nov 12;167(10):1115–21. </w:t>
      </w:r>
    </w:p>
    <w:p w14:paraId="79DF097F"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16. </w:t>
      </w:r>
      <w:r w:rsidRPr="00322094">
        <w:rPr>
          <w:rFonts w:ascii="Times New Roman" w:hAnsi="Times New Roman" w:cs="Times New Roman"/>
          <w:sz w:val="20"/>
          <w:szCs w:val="20"/>
        </w:rPr>
        <w:tab/>
        <w:t xml:space="preserve">Nilsdotter A ‐K., Lohmander LS. Age and waiting time as predictors of outcome after total hip replacement for osteoarthritis. Rheumatology. 2002 Nov 1;41(11):1261–7. </w:t>
      </w:r>
    </w:p>
    <w:p w14:paraId="7C7C3954"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17. </w:t>
      </w:r>
      <w:r w:rsidRPr="00322094">
        <w:rPr>
          <w:rFonts w:ascii="Times New Roman" w:hAnsi="Times New Roman" w:cs="Times New Roman"/>
          <w:sz w:val="20"/>
          <w:szCs w:val="20"/>
        </w:rPr>
        <w:tab/>
        <w:t xml:space="preserve">Ostendorf M, Buskens E, van Stel H, Schrijvers A, Marting L, Dhert W, et al. Waiting for total hip arthroplasty: avoidable loss in quality time and preventable deterioration. J Arthroplasty. 2004 Apr;19(3):302–9. </w:t>
      </w:r>
    </w:p>
    <w:p w14:paraId="44B056CF"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18. </w:t>
      </w:r>
      <w:r w:rsidRPr="00322094">
        <w:rPr>
          <w:rFonts w:ascii="Times New Roman" w:hAnsi="Times New Roman" w:cs="Times New Roman"/>
          <w:sz w:val="20"/>
          <w:szCs w:val="20"/>
        </w:rPr>
        <w:tab/>
        <w:t xml:space="preserve">Fielden JM, Cumming JM, Horne JG, Devane PA, Slack A, Gallagher LM. Waiting for hip arthroplasty: economic costs and health outcomes. J Arthroplasty. 2005 Dec;20(8):990–7. </w:t>
      </w:r>
    </w:p>
    <w:p w14:paraId="3BFF1073"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19. </w:t>
      </w:r>
      <w:r w:rsidRPr="00322094">
        <w:rPr>
          <w:rFonts w:ascii="Times New Roman" w:hAnsi="Times New Roman" w:cs="Times New Roman"/>
          <w:sz w:val="20"/>
          <w:szCs w:val="20"/>
        </w:rPr>
        <w:tab/>
        <w:t xml:space="preserve">Garbuz DS, Xu M, Duncan CP, Masri BA, Sobolev B. Delays worsen quality of life outcome of primary total hip arthroplasty. Clin Orthop Relat Res. 2006 Jun;447:79–84. </w:t>
      </w:r>
    </w:p>
    <w:p w14:paraId="4326F008"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20. </w:t>
      </w:r>
      <w:r w:rsidRPr="00322094">
        <w:rPr>
          <w:rFonts w:ascii="Times New Roman" w:hAnsi="Times New Roman" w:cs="Times New Roman"/>
          <w:sz w:val="20"/>
          <w:szCs w:val="20"/>
        </w:rPr>
        <w:tab/>
        <w:t xml:space="preserve">Ahmad I, Konduru S. Change in functional status of patients whilst awaiting prinmary total knee arthroplasty. Surgeon. 2007 Oct;5(5):266–7. </w:t>
      </w:r>
    </w:p>
    <w:p w14:paraId="47D33E18"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21. </w:t>
      </w:r>
      <w:r w:rsidRPr="00322094">
        <w:rPr>
          <w:rFonts w:ascii="Times New Roman" w:hAnsi="Times New Roman" w:cs="Times New Roman"/>
          <w:sz w:val="20"/>
          <w:szCs w:val="20"/>
        </w:rPr>
        <w:tab/>
        <w:t xml:space="preserve">Kapstad H, Rustøen T, Hanestad BR, Moum T, Langeland N, Stavem K. Changes in pain, stiffness and physical function in patients with osteoarthritis waiting for hip or knee joint replacement surgery. Osteoarthritis and Cartilage. 2007 Jul 1;15(7):837–43. </w:t>
      </w:r>
    </w:p>
    <w:p w14:paraId="0E01FABC"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22. </w:t>
      </w:r>
      <w:r w:rsidRPr="00322094">
        <w:rPr>
          <w:rFonts w:ascii="Times New Roman" w:hAnsi="Times New Roman" w:cs="Times New Roman"/>
          <w:sz w:val="20"/>
          <w:szCs w:val="20"/>
        </w:rPr>
        <w:tab/>
        <w:t xml:space="preserve">McHugh GA, Luker KA, Campbell M, Kay PR, Silman AJ. Pain, physical functioning and quality of life of individuals awaiting total joint replacement: a longitudinal study. J Eval Clin Pract. 2008 Feb;14(1):19–26. </w:t>
      </w:r>
    </w:p>
    <w:p w14:paraId="7CFCB3DE"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23. </w:t>
      </w:r>
      <w:r w:rsidRPr="00322094">
        <w:rPr>
          <w:rFonts w:ascii="Times New Roman" w:hAnsi="Times New Roman" w:cs="Times New Roman"/>
          <w:sz w:val="20"/>
          <w:szCs w:val="20"/>
        </w:rPr>
        <w:tab/>
        <w:t xml:space="preserve">Escobar A, Quintana JM, González M, Bilbao A, Ibañez B. Waiting list management: priority criteria or first-in first-out? A case for total joint replacement. J Eval Clin Pract. 2009 Aug;15(4):595–601. </w:t>
      </w:r>
    </w:p>
    <w:p w14:paraId="058D46FC"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24. </w:t>
      </w:r>
      <w:r w:rsidRPr="00322094">
        <w:rPr>
          <w:rFonts w:ascii="Times New Roman" w:hAnsi="Times New Roman" w:cs="Times New Roman"/>
          <w:sz w:val="20"/>
          <w:szCs w:val="20"/>
        </w:rPr>
        <w:tab/>
        <w:t xml:space="preserve">Desmeules F, Dionne CE, Belzile E, Bourbonnais R, Frémont P. The burden of wait for knee replacement surgery: effects on pain, function and health-related quality of life at the time of surgery. Rheumatology (Oxford). 2010 May;49(5):945–54. </w:t>
      </w:r>
    </w:p>
    <w:p w14:paraId="17E8E46D"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25. </w:t>
      </w:r>
      <w:r w:rsidRPr="00322094">
        <w:rPr>
          <w:rFonts w:ascii="Times New Roman" w:hAnsi="Times New Roman" w:cs="Times New Roman"/>
          <w:sz w:val="20"/>
          <w:szCs w:val="20"/>
        </w:rPr>
        <w:tab/>
        <w:t xml:space="preserve">Desmeules F, Dionne CE, Belzile ÉL, Bourbonnais R, Frémont P. The impacts of pre-surgery wait for total knee replacement on pain, function and health-related quality of life six months after surgery. J Eval Clin Pract. 2012 Feb;18(1):111–20. </w:t>
      </w:r>
    </w:p>
    <w:p w14:paraId="5C8FE9E2"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26. </w:t>
      </w:r>
      <w:r w:rsidRPr="00322094">
        <w:rPr>
          <w:rFonts w:ascii="Times New Roman" w:hAnsi="Times New Roman" w:cs="Times New Roman"/>
          <w:sz w:val="20"/>
          <w:szCs w:val="20"/>
        </w:rPr>
        <w:tab/>
        <w:t xml:space="preserve">Nikolova S, Harrison M, Sutton M. The Impact of Waiting Time on Health Gains from Surgery: Evidence from a National Patient-reported Outcome Dataset. Health Econ. 2016 Aug;25(8):955–68. </w:t>
      </w:r>
    </w:p>
    <w:p w14:paraId="180C7D76"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27. </w:t>
      </w:r>
      <w:r w:rsidRPr="00322094">
        <w:rPr>
          <w:rFonts w:ascii="Times New Roman" w:hAnsi="Times New Roman" w:cs="Times New Roman"/>
          <w:sz w:val="20"/>
          <w:szCs w:val="20"/>
        </w:rPr>
        <w:tab/>
        <w:t xml:space="preserve">Clement ND, Scott CEH, Murray JRD, Howie CR, Deehan DJ. The number of patients “worse than death” while waiting for a hip or knee arthroplasty has nearly doubled during the COVID-19 pandemic. The Bone &amp; Joint Journal. 2021 Apr;103-B(4):672–80. </w:t>
      </w:r>
    </w:p>
    <w:p w14:paraId="3235E319"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28. </w:t>
      </w:r>
      <w:r w:rsidRPr="00322094">
        <w:rPr>
          <w:rFonts w:ascii="Times New Roman" w:hAnsi="Times New Roman" w:cs="Times New Roman"/>
          <w:sz w:val="20"/>
          <w:szCs w:val="20"/>
        </w:rPr>
        <w:tab/>
        <w:t>Farrow L, Gardner WT, Tang CC, Low R, Forget P, Ashcroft GP. Impact of COVID-19 on opioid use in those awaiting hip and knee arthroplasty: a retrospective cohort study. BMJ Qual Saf [Internet]. 2021 Sep 12 [cited 2022 Sep 12]; Available from: https://qualitysafety.bmj.com/content/early/2022/06/30/bmjqs-2021-013450</w:t>
      </w:r>
    </w:p>
    <w:p w14:paraId="5855F7A5"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29. </w:t>
      </w:r>
      <w:r w:rsidRPr="00322094">
        <w:rPr>
          <w:rFonts w:ascii="Times New Roman" w:hAnsi="Times New Roman" w:cs="Times New Roman"/>
          <w:sz w:val="20"/>
          <w:szCs w:val="20"/>
        </w:rPr>
        <w:tab/>
        <w:t xml:space="preserve">Holzapfel DE, Meyer M, Thieme M, Pagano S, von Kunow F, Weber M. Delay of total joint replacement is associated with a higher 90-day revision rate and increased postoperative complications. Arch Orthop Trauma Surg. 2022 Nov 4;1–8. </w:t>
      </w:r>
    </w:p>
    <w:p w14:paraId="750A4C4E"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30. </w:t>
      </w:r>
      <w:r w:rsidRPr="00322094">
        <w:rPr>
          <w:rFonts w:ascii="Times New Roman" w:hAnsi="Times New Roman" w:cs="Times New Roman"/>
          <w:sz w:val="20"/>
          <w:szCs w:val="20"/>
        </w:rPr>
        <w:tab/>
        <w:t xml:space="preserve">Morri M, Ruisi R, Peccerillo V, Franchini N, Magli AO, Forni C. The impact of the pandemic on functional outcomes for joint replacement patients: An observational study. Medicine. 2022 Sep 9;101(36):e30395. </w:t>
      </w:r>
    </w:p>
    <w:p w14:paraId="271E4499"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lastRenderedPageBreak/>
        <w:t xml:space="preserve">31. </w:t>
      </w:r>
      <w:r w:rsidRPr="00322094">
        <w:rPr>
          <w:rFonts w:ascii="Times New Roman" w:hAnsi="Times New Roman" w:cs="Times New Roman"/>
          <w:sz w:val="20"/>
          <w:szCs w:val="20"/>
        </w:rPr>
        <w:tab/>
        <w:t>Sterne JA, Hernán MA, Reeves BC, Savović J, Berkman ND, Viswanathan M, et al. ROBINS-I: a tool for assessing risk of bias in non-randomised studies of interventions. BMJ [Internet]. 2016 Oct 12 [cited 2020 Nov 23];355. Available from: https://www.bmj.com/content/355/bmj.i4919</w:t>
      </w:r>
    </w:p>
    <w:p w14:paraId="4F3A6996"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32. </w:t>
      </w:r>
      <w:r w:rsidRPr="00322094">
        <w:rPr>
          <w:rFonts w:ascii="Times New Roman" w:hAnsi="Times New Roman" w:cs="Times New Roman"/>
          <w:sz w:val="20"/>
          <w:szCs w:val="20"/>
        </w:rPr>
        <w:tab/>
        <w:t xml:space="preserve">Brown TS, Bedard NA, Rojas EO, Anthony CA, Schwarzkopf R, Stambough JB, et al. The Effect of the COVID-19 Pandemic on Hip and Knee Arthroplasty Patients in the United States: A Multicenter Update to the Previous Survey. Arthroplast Today. 2021 Feb;7:268–72. </w:t>
      </w:r>
    </w:p>
    <w:p w14:paraId="0EF18EB0"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33. </w:t>
      </w:r>
      <w:r w:rsidRPr="00322094">
        <w:rPr>
          <w:rFonts w:ascii="Times New Roman" w:hAnsi="Times New Roman" w:cs="Times New Roman"/>
          <w:sz w:val="20"/>
          <w:szCs w:val="20"/>
        </w:rPr>
        <w:tab/>
        <w:t xml:space="preserve">Johnson NR, Odum S, Lastra JD, Fehring KA, Springer BD, Otero JE. Pain and Anxiety due to the COVID-19 Pandemic: A Survey of Patients With Delayed Elective Hip and Knee Arthroplasty. Arthroplast Today. 2021 Aug;10:27–34. </w:t>
      </w:r>
    </w:p>
    <w:p w14:paraId="63FBBEB1"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34. </w:t>
      </w:r>
      <w:r w:rsidRPr="00322094">
        <w:rPr>
          <w:rFonts w:ascii="Times New Roman" w:hAnsi="Times New Roman" w:cs="Times New Roman"/>
          <w:sz w:val="20"/>
          <w:szCs w:val="20"/>
        </w:rPr>
        <w:tab/>
        <w:t xml:space="preserve">Clement ND, Wickramasinghe NR, Bayram JM, Hughes K, Oag E, Heinz N, et al. Significant deterioration in quality of life and increased frailty in patients waiting more than six months for total hip or knee arthroplasty : a cross-sectional multicentre study. Bone Joint J. 2022 Nov;104-B(11):1215–24. </w:t>
      </w:r>
    </w:p>
    <w:p w14:paraId="4BCF7473"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35. </w:t>
      </w:r>
      <w:r w:rsidRPr="00322094">
        <w:rPr>
          <w:rFonts w:ascii="Times New Roman" w:hAnsi="Times New Roman" w:cs="Times New Roman"/>
          <w:sz w:val="20"/>
          <w:szCs w:val="20"/>
        </w:rPr>
        <w:tab/>
        <w:t xml:space="preserve">Grace TR, Eralp I, Khan IA, Goh GS, Siqueira MB, Austin MS. Are Patients With End-Stage Arthritis Willing to Delay Arthroplasty for Payer-Mandated Physical Therapy? The Journal of Arthroplasty. 2022 Jun 1;37(6, Supplement):S27–31. </w:t>
      </w:r>
    </w:p>
    <w:p w14:paraId="70B34C0C"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36. </w:t>
      </w:r>
      <w:r w:rsidRPr="00322094">
        <w:rPr>
          <w:rFonts w:ascii="Times New Roman" w:hAnsi="Times New Roman" w:cs="Times New Roman"/>
          <w:sz w:val="20"/>
          <w:szCs w:val="20"/>
        </w:rPr>
        <w:tab/>
        <w:t>Sandeep Moola, Zachary Munn, Catalin Tufanaru, Edoardo Aromataris, Kim Sears, Raluca Sfetc, Marian Currie, Karolina Lisy, Rubab Qureshi, Patrick Mattis, Pei-Fan Mu. Chapter 7: Systematic reviews of etiology and risk - JBI Manual for Evidence Synthesis. In: JBI Manual for Evidence Synthesis [Internet]. JBI; 2020 [cited 2022 Jun 19]. Available from: https://doi.org/10.46658/JBIMES-20-08</w:t>
      </w:r>
    </w:p>
    <w:p w14:paraId="29795442" w14:textId="77777777" w:rsidR="003A04FA" w:rsidRPr="00322094" w:rsidRDefault="003A04FA" w:rsidP="00322094">
      <w:pPr>
        <w:pStyle w:val="Bibliography"/>
        <w:rPr>
          <w:rFonts w:ascii="Times New Roman" w:hAnsi="Times New Roman" w:cs="Times New Roman"/>
          <w:sz w:val="20"/>
          <w:szCs w:val="20"/>
        </w:rPr>
      </w:pPr>
      <w:r w:rsidRPr="00322094">
        <w:rPr>
          <w:rFonts w:ascii="Times New Roman" w:hAnsi="Times New Roman" w:cs="Times New Roman"/>
          <w:sz w:val="20"/>
          <w:szCs w:val="20"/>
        </w:rPr>
        <w:t xml:space="preserve">37. </w:t>
      </w:r>
      <w:r w:rsidRPr="00322094">
        <w:rPr>
          <w:rFonts w:ascii="Times New Roman" w:hAnsi="Times New Roman" w:cs="Times New Roman"/>
          <w:sz w:val="20"/>
          <w:szCs w:val="20"/>
        </w:rPr>
        <w:tab/>
        <w:t xml:space="preserve">Guyatt GH, Oxman AD, Vist GE, Kunz R, Falck-Ytter Y, Alonso-Coello P, et al. GRADE: an emerging consensus on rating quality of evidence and strength of recommendations. BMJ. 2008 Apr 24;336(7650):924–6. </w:t>
      </w:r>
    </w:p>
    <w:p w14:paraId="7EF6E7DD" w14:textId="407CC4F3" w:rsidR="004A3B37" w:rsidRPr="004A3B37" w:rsidRDefault="00124780" w:rsidP="004A3B37">
      <w:pPr>
        <w:rPr>
          <w:rFonts w:ascii="Times New Roman" w:hAnsi="Times New Roman" w:cs="Times New Roman"/>
          <w:b/>
          <w:bCs/>
        </w:rPr>
      </w:pPr>
      <w:r w:rsidRPr="003A04FA">
        <w:rPr>
          <w:rFonts w:ascii="Times New Roman" w:hAnsi="Times New Roman" w:cs="Times New Roman"/>
          <w:b/>
          <w:bCs/>
          <w:sz w:val="22"/>
          <w:szCs w:val="22"/>
        </w:rPr>
        <w:fldChar w:fldCharType="end"/>
      </w:r>
    </w:p>
    <w:sectPr w:rsidR="004A3B37" w:rsidRPr="004A3B37" w:rsidSect="001247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4D97"/>
    <w:multiLevelType w:val="hybridMultilevel"/>
    <w:tmpl w:val="B43AB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D3757"/>
    <w:multiLevelType w:val="hybridMultilevel"/>
    <w:tmpl w:val="844AAA64"/>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 w15:restartNumberingAfterBreak="0">
    <w:nsid w:val="65D453A5"/>
    <w:multiLevelType w:val="hybridMultilevel"/>
    <w:tmpl w:val="4B428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3692505">
    <w:abstractNumId w:val="0"/>
  </w:num>
  <w:num w:numId="2" w16cid:durableId="1127773998">
    <w:abstractNumId w:val="1"/>
  </w:num>
  <w:num w:numId="3" w16cid:durableId="323045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mirrorMargins/>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8F"/>
    <w:rsid w:val="00000EE3"/>
    <w:rsid w:val="00002E5C"/>
    <w:rsid w:val="00003691"/>
    <w:rsid w:val="000050DC"/>
    <w:rsid w:val="00005D4E"/>
    <w:rsid w:val="00006A6C"/>
    <w:rsid w:val="00010268"/>
    <w:rsid w:val="000118CA"/>
    <w:rsid w:val="000160BE"/>
    <w:rsid w:val="00020045"/>
    <w:rsid w:val="00021706"/>
    <w:rsid w:val="000222FE"/>
    <w:rsid w:val="000228F8"/>
    <w:rsid w:val="00022E16"/>
    <w:rsid w:val="000237DD"/>
    <w:rsid w:val="00023B24"/>
    <w:rsid w:val="000275F9"/>
    <w:rsid w:val="00033389"/>
    <w:rsid w:val="00033C99"/>
    <w:rsid w:val="000360DA"/>
    <w:rsid w:val="00036443"/>
    <w:rsid w:val="00037195"/>
    <w:rsid w:val="00037A24"/>
    <w:rsid w:val="00041A14"/>
    <w:rsid w:val="00044AC9"/>
    <w:rsid w:val="00044BC8"/>
    <w:rsid w:val="00044F54"/>
    <w:rsid w:val="000458D7"/>
    <w:rsid w:val="000459E5"/>
    <w:rsid w:val="00046321"/>
    <w:rsid w:val="00046960"/>
    <w:rsid w:val="0005068E"/>
    <w:rsid w:val="000537D4"/>
    <w:rsid w:val="00054148"/>
    <w:rsid w:val="00054908"/>
    <w:rsid w:val="00054A4C"/>
    <w:rsid w:val="00055966"/>
    <w:rsid w:val="00055A42"/>
    <w:rsid w:val="00061CBC"/>
    <w:rsid w:val="00064D44"/>
    <w:rsid w:val="0006651B"/>
    <w:rsid w:val="0007013F"/>
    <w:rsid w:val="00071E03"/>
    <w:rsid w:val="0007699C"/>
    <w:rsid w:val="00080423"/>
    <w:rsid w:val="000816E1"/>
    <w:rsid w:val="000834CF"/>
    <w:rsid w:val="00083630"/>
    <w:rsid w:val="000837D8"/>
    <w:rsid w:val="000856C2"/>
    <w:rsid w:val="00086EF9"/>
    <w:rsid w:val="000877EC"/>
    <w:rsid w:val="00087801"/>
    <w:rsid w:val="0009119B"/>
    <w:rsid w:val="00092403"/>
    <w:rsid w:val="00092A05"/>
    <w:rsid w:val="00097C4C"/>
    <w:rsid w:val="000A34A7"/>
    <w:rsid w:val="000A3F5A"/>
    <w:rsid w:val="000B06B6"/>
    <w:rsid w:val="000B15A1"/>
    <w:rsid w:val="000B1C85"/>
    <w:rsid w:val="000B2750"/>
    <w:rsid w:val="000B490E"/>
    <w:rsid w:val="000B6E8A"/>
    <w:rsid w:val="000C07E1"/>
    <w:rsid w:val="000C0A2E"/>
    <w:rsid w:val="000C2791"/>
    <w:rsid w:val="000C2B8A"/>
    <w:rsid w:val="000C6C6D"/>
    <w:rsid w:val="000C79CA"/>
    <w:rsid w:val="000D1389"/>
    <w:rsid w:val="000D13F8"/>
    <w:rsid w:val="000D63B5"/>
    <w:rsid w:val="000D67A4"/>
    <w:rsid w:val="000D7C24"/>
    <w:rsid w:val="000E197D"/>
    <w:rsid w:val="000E3432"/>
    <w:rsid w:val="000E4CEA"/>
    <w:rsid w:val="000E62E9"/>
    <w:rsid w:val="000E74B4"/>
    <w:rsid w:val="000E790A"/>
    <w:rsid w:val="000F1C6B"/>
    <w:rsid w:val="000F41F1"/>
    <w:rsid w:val="000F47F1"/>
    <w:rsid w:val="000F50B0"/>
    <w:rsid w:val="000F6DA1"/>
    <w:rsid w:val="000F6EA4"/>
    <w:rsid w:val="00101954"/>
    <w:rsid w:val="0011285C"/>
    <w:rsid w:val="001144D9"/>
    <w:rsid w:val="00114CA6"/>
    <w:rsid w:val="00115C6D"/>
    <w:rsid w:val="00115DF6"/>
    <w:rsid w:val="00117A24"/>
    <w:rsid w:val="001201AE"/>
    <w:rsid w:val="001213CB"/>
    <w:rsid w:val="00122531"/>
    <w:rsid w:val="00124112"/>
    <w:rsid w:val="00124780"/>
    <w:rsid w:val="00125AD8"/>
    <w:rsid w:val="0013063C"/>
    <w:rsid w:val="00130D44"/>
    <w:rsid w:val="001331DA"/>
    <w:rsid w:val="00134628"/>
    <w:rsid w:val="001349EE"/>
    <w:rsid w:val="00134A4A"/>
    <w:rsid w:val="00136599"/>
    <w:rsid w:val="0013688E"/>
    <w:rsid w:val="00144B26"/>
    <w:rsid w:val="00146C1E"/>
    <w:rsid w:val="00147A7A"/>
    <w:rsid w:val="00147E80"/>
    <w:rsid w:val="00150BFD"/>
    <w:rsid w:val="00151461"/>
    <w:rsid w:val="001516AD"/>
    <w:rsid w:val="00152CC1"/>
    <w:rsid w:val="0015310E"/>
    <w:rsid w:val="00156053"/>
    <w:rsid w:val="00162066"/>
    <w:rsid w:val="001631B0"/>
    <w:rsid w:val="00163E5E"/>
    <w:rsid w:val="001676BB"/>
    <w:rsid w:val="0016786A"/>
    <w:rsid w:val="0017137F"/>
    <w:rsid w:val="00174049"/>
    <w:rsid w:val="001743C3"/>
    <w:rsid w:val="00174A62"/>
    <w:rsid w:val="00174CB9"/>
    <w:rsid w:val="00175123"/>
    <w:rsid w:val="00175788"/>
    <w:rsid w:val="001764CE"/>
    <w:rsid w:val="00176985"/>
    <w:rsid w:val="00177C34"/>
    <w:rsid w:val="00181849"/>
    <w:rsid w:val="0018207F"/>
    <w:rsid w:val="001858B9"/>
    <w:rsid w:val="00186015"/>
    <w:rsid w:val="00187B3B"/>
    <w:rsid w:val="00190BC3"/>
    <w:rsid w:val="00194838"/>
    <w:rsid w:val="001975FD"/>
    <w:rsid w:val="001A212D"/>
    <w:rsid w:val="001A250B"/>
    <w:rsid w:val="001A2794"/>
    <w:rsid w:val="001A386D"/>
    <w:rsid w:val="001A39CC"/>
    <w:rsid w:val="001A4BA1"/>
    <w:rsid w:val="001A5C69"/>
    <w:rsid w:val="001A67C6"/>
    <w:rsid w:val="001A74FE"/>
    <w:rsid w:val="001B39A6"/>
    <w:rsid w:val="001B3B7C"/>
    <w:rsid w:val="001B3B93"/>
    <w:rsid w:val="001B467A"/>
    <w:rsid w:val="001B4FD1"/>
    <w:rsid w:val="001B5625"/>
    <w:rsid w:val="001B5F32"/>
    <w:rsid w:val="001B64CB"/>
    <w:rsid w:val="001B6732"/>
    <w:rsid w:val="001B7D7E"/>
    <w:rsid w:val="001C0043"/>
    <w:rsid w:val="001C2A3D"/>
    <w:rsid w:val="001C5781"/>
    <w:rsid w:val="001C5D88"/>
    <w:rsid w:val="001D0456"/>
    <w:rsid w:val="001D12B1"/>
    <w:rsid w:val="001D79DB"/>
    <w:rsid w:val="001D7D7A"/>
    <w:rsid w:val="001E68A8"/>
    <w:rsid w:val="001F1F57"/>
    <w:rsid w:val="001F27AB"/>
    <w:rsid w:val="001F2857"/>
    <w:rsid w:val="001F336E"/>
    <w:rsid w:val="001F478E"/>
    <w:rsid w:val="001F74DD"/>
    <w:rsid w:val="00201A82"/>
    <w:rsid w:val="002021AC"/>
    <w:rsid w:val="002054B8"/>
    <w:rsid w:val="00205A7D"/>
    <w:rsid w:val="002061A0"/>
    <w:rsid w:val="002063F9"/>
    <w:rsid w:val="00206CA8"/>
    <w:rsid w:val="00212329"/>
    <w:rsid w:val="002165D2"/>
    <w:rsid w:val="00217A3A"/>
    <w:rsid w:val="00217AD1"/>
    <w:rsid w:val="00217C4B"/>
    <w:rsid w:val="00223551"/>
    <w:rsid w:val="002300BD"/>
    <w:rsid w:val="00230206"/>
    <w:rsid w:val="00230F6C"/>
    <w:rsid w:val="0023378A"/>
    <w:rsid w:val="002345CB"/>
    <w:rsid w:val="0024061A"/>
    <w:rsid w:val="00241712"/>
    <w:rsid w:val="00244059"/>
    <w:rsid w:val="002476A9"/>
    <w:rsid w:val="002503E6"/>
    <w:rsid w:val="00252DA6"/>
    <w:rsid w:val="0025538F"/>
    <w:rsid w:val="00255BEE"/>
    <w:rsid w:val="00257216"/>
    <w:rsid w:val="00264328"/>
    <w:rsid w:val="0026532B"/>
    <w:rsid w:val="00266AF3"/>
    <w:rsid w:val="00267047"/>
    <w:rsid w:val="002678A3"/>
    <w:rsid w:val="00271103"/>
    <w:rsid w:val="002711F3"/>
    <w:rsid w:val="0027216F"/>
    <w:rsid w:val="00274C6F"/>
    <w:rsid w:val="002756C2"/>
    <w:rsid w:val="00280C3A"/>
    <w:rsid w:val="002855EB"/>
    <w:rsid w:val="00285EA8"/>
    <w:rsid w:val="0028670A"/>
    <w:rsid w:val="0028689C"/>
    <w:rsid w:val="00286C26"/>
    <w:rsid w:val="00286C6A"/>
    <w:rsid w:val="00290ABC"/>
    <w:rsid w:val="00290D88"/>
    <w:rsid w:val="0029103F"/>
    <w:rsid w:val="00291334"/>
    <w:rsid w:val="00291518"/>
    <w:rsid w:val="0029676F"/>
    <w:rsid w:val="00296EE9"/>
    <w:rsid w:val="00297C98"/>
    <w:rsid w:val="002A0DAF"/>
    <w:rsid w:val="002A1444"/>
    <w:rsid w:val="002A1E64"/>
    <w:rsid w:val="002A3F0E"/>
    <w:rsid w:val="002A4810"/>
    <w:rsid w:val="002A4A32"/>
    <w:rsid w:val="002A6AC7"/>
    <w:rsid w:val="002B36FF"/>
    <w:rsid w:val="002B5B90"/>
    <w:rsid w:val="002B5EBE"/>
    <w:rsid w:val="002C0B3D"/>
    <w:rsid w:val="002C32A6"/>
    <w:rsid w:val="002C5930"/>
    <w:rsid w:val="002C6572"/>
    <w:rsid w:val="002C698D"/>
    <w:rsid w:val="002C6EE3"/>
    <w:rsid w:val="002D1BDE"/>
    <w:rsid w:val="002D371B"/>
    <w:rsid w:val="002D493D"/>
    <w:rsid w:val="002D59C6"/>
    <w:rsid w:val="002D5C45"/>
    <w:rsid w:val="002D5E57"/>
    <w:rsid w:val="002E07E6"/>
    <w:rsid w:val="002E07E7"/>
    <w:rsid w:val="002E0D95"/>
    <w:rsid w:val="002E54AF"/>
    <w:rsid w:val="002E58E1"/>
    <w:rsid w:val="002E7263"/>
    <w:rsid w:val="002E7BEE"/>
    <w:rsid w:val="002F207E"/>
    <w:rsid w:val="002F4E6D"/>
    <w:rsid w:val="002F5AB3"/>
    <w:rsid w:val="002F7FFD"/>
    <w:rsid w:val="00300621"/>
    <w:rsid w:val="00300BC1"/>
    <w:rsid w:val="00301525"/>
    <w:rsid w:val="00304A46"/>
    <w:rsid w:val="003064A7"/>
    <w:rsid w:val="00307D2A"/>
    <w:rsid w:val="00311482"/>
    <w:rsid w:val="0031272B"/>
    <w:rsid w:val="00313109"/>
    <w:rsid w:val="003141A7"/>
    <w:rsid w:val="00314414"/>
    <w:rsid w:val="003164B7"/>
    <w:rsid w:val="00317533"/>
    <w:rsid w:val="0032039C"/>
    <w:rsid w:val="00322094"/>
    <w:rsid w:val="00326B1A"/>
    <w:rsid w:val="003272F7"/>
    <w:rsid w:val="003320AF"/>
    <w:rsid w:val="0033236A"/>
    <w:rsid w:val="003326F3"/>
    <w:rsid w:val="0033396E"/>
    <w:rsid w:val="003340E9"/>
    <w:rsid w:val="00335356"/>
    <w:rsid w:val="00336114"/>
    <w:rsid w:val="00336842"/>
    <w:rsid w:val="00336E49"/>
    <w:rsid w:val="00337CB6"/>
    <w:rsid w:val="00341000"/>
    <w:rsid w:val="00343AFB"/>
    <w:rsid w:val="00343CE0"/>
    <w:rsid w:val="00345C6C"/>
    <w:rsid w:val="00346C06"/>
    <w:rsid w:val="00347D59"/>
    <w:rsid w:val="00347D86"/>
    <w:rsid w:val="00350992"/>
    <w:rsid w:val="00350ECA"/>
    <w:rsid w:val="003523E0"/>
    <w:rsid w:val="0035441A"/>
    <w:rsid w:val="00355CB3"/>
    <w:rsid w:val="0035664C"/>
    <w:rsid w:val="003573BD"/>
    <w:rsid w:val="00360EF9"/>
    <w:rsid w:val="00361478"/>
    <w:rsid w:val="00361EC5"/>
    <w:rsid w:val="00362017"/>
    <w:rsid w:val="00363897"/>
    <w:rsid w:val="003644EA"/>
    <w:rsid w:val="00365AAC"/>
    <w:rsid w:val="00367FD9"/>
    <w:rsid w:val="003719DC"/>
    <w:rsid w:val="0037310C"/>
    <w:rsid w:val="003740B0"/>
    <w:rsid w:val="00375F22"/>
    <w:rsid w:val="0037601B"/>
    <w:rsid w:val="0038106A"/>
    <w:rsid w:val="0038172A"/>
    <w:rsid w:val="00383917"/>
    <w:rsid w:val="00384B71"/>
    <w:rsid w:val="003851B6"/>
    <w:rsid w:val="00385F01"/>
    <w:rsid w:val="0038754A"/>
    <w:rsid w:val="00390CDE"/>
    <w:rsid w:val="003913DF"/>
    <w:rsid w:val="00391E5C"/>
    <w:rsid w:val="003921E0"/>
    <w:rsid w:val="00393D01"/>
    <w:rsid w:val="003942C5"/>
    <w:rsid w:val="00396D3C"/>
    <w:rsid w:val="003A04FA"/>
    <w:rsid w:val="003A0642"/>
    <w:rsid w:val="003A33F6"/>
    <w:rsid w:val="003A4064"/>
    <w:rsid w:val="003A4BC2"/>
    <w:rsid w:val="003A6413"/>
    <w:rsid w:val="003A6BDF"/>
    <w:rsid w:val="003B041F"/>
    <w:rsid w:val="003B41B3"/>
    <w:rsid w:val="003B6E77"/>
    <w:rsid w:val="003C1317"/>
    <w:rsid w:val="003C13AD"/>
    <w:rsid w:val="003C20DF"/>
    <w:rsid w:val="003C35B7"/>
    <w:rsid w:val="003C52BE"/>
    <w:rsid w:val="003C70EB"/>
    <w:rsid w:val="003D16AF"/>
    <w:rsid w:val="003D235A"/>
    <w:rsid w:val="003D3676"/>
    <w:rsid w:val="003D3739"/>
    <w:rsid w:val="003D5B70"/>
    <w:rsid w:val="003D6BDD"/>
    <w:rsid w:val="003D744D"/>
    <w:rsid w:val="003E2C08"/>
    <w:rsid w:val="003E7CF1"/>
    <w:rsid w:val="003F026E"/>
    <w:rsid w:val="003F05DB"/>
    <w:rsid w:val="003F0E1A"/>
    <w:rsid w:val="003F14F2"/>
    <w:rsid w:val="003F2A5E"/>
    <w:rsid w:val="003F3264"/>
    <w:rsid w:val="003F73A0"/>
    <w:rsid w:val="0040077F"/>
    <w:rsid w:val="00402FC6"/>
    <w:rsid w:val="0040389A"/>
    <w:rsid w:val="00404A67"/>
    <w:rsid w:val="00407D91"/>
    <w:rsid w:val="0041092B"/>
    <w:rsid w:val="004113B5"/>
    <w:rsid w:val="00411F53"/>
    <w:rsid w:val="004122E6"/>
    <w:rsid w:val="00413B3B"/>
    <w:rsid w:val="00414288"/>
    <w:rsid w:val="00420CE2"/>
    <w:rsid w:val="00420E06"/>
    <w:rsid w:val="00422406"/>
    <w:rsid w:val="004224C4"/>
    <w:rsid w:val="004227B1"/>
    <w:rsid w:val="00423861"/>
    <w:rsid w:val="004247C5"/>
    <w:rsid w:val="0042541B"/>
    <w:rsid w:val="00426F03"/>
    <w:rsid w:val="0042729E"/>
    <w:rsid w:val="00430DAA"/>
    <w:rsid w:val="00432FEB"/>
    <w:rsid w:val="004344DA"/>
    <w:rsid w:val="00434EC1"/>
    <w:rsid w:val="004364D1"/>
    <w:rsid w:val="004364F9"/>
    <w:rsid w:val="00437CBF"/>
    <w:rsid w:val="0044124C"/>
    <w:rsid w:val="00441795"/>
    <w:rsid w:val="0044232B"/>
    <w:rsid w:val="00443C68"/>
    <w:rsid w:val="00447F59"/>
    <w:rsid w:val="0045106E"/>
    <w:rsid w:val="00453725"/>
    <w:rsid w:val="0045472B"/>
    <w:rsid w:val="00465D3E"/>
    <w:rsid w:val="004702A2"/>
    <w:rsid w:val="00473A51"/>
    <w:rsid w:val="004746B9"/>
    <w:rsid w:val="0047473F"/>
    <w:rsid w:val="00474B22"/>
    <w:rsid w:val="00474DA4"/>
    <w:rsid w:val="00474DAF"/>
    <w:rsid w:val="00476041"/>
    <w:rsid w:val="00477D08"/>
    <w:rsid w:val="0048314D"/>
    <w:rsid w:val="00483668"/>
    <w:rsid w:val="00484B20"/>
    <w:rsid w:val="00485919"/>
    <w:rsid w:val="0048664E"/>
    <w:rsid w:val="0048741A"/>
    <w:rsid w:val="0049058D"/>
    <w:rsid w:val="0049078E"/>
    <w:rsid w:val="00490E95"/>
    <w:rsid w:val="004926FA"/>
    <w:rsid w:val="00494CF6"/>
    <w:rsid w:val="00495701"/>
    <w:rsid w:val="004973A9"/>
    <w:rsid w:val="00497C83"/>
    <w:rsid w:val="004A1534"/>
    <w:rsid w:val="004A397E"/>
    <w:rsid w:val="004A3B37"/>
    <w:rsid w:val="004A5971"/>
    <w:rsid w:val="004A65A3"/>
    <w:rsid w:val="004A6C19"/>
    <w:rsid w:val="004B2777"/>
    <w:rsid w:val="004B3834"/>
    <w:rsid w:val="004B3DA4"/>
    <w:rsid w:val="004B44EB"/>
    <w:rsid w:val="004B457E"/>
    <w:rsid w:val="004B648D"/>
    <w:rsid w:val="004B7107"/>
    <w:rsid w:val="004C021A"/>
    <w:rsid w:val="004C0BAE"/>
    <w:rsid w:val="004C21A5"/>
    <w:rsid w:val="004C275F"/>
    <w:rsid w:val="004C58F9"/>
    <w:rsid w:val="004C6BBD"/>
    <w:rsid w:val="004C7A15"/>
    <w:rsid w:val="004C7E0A"/>
    <w:rsid w:val="004D1001"/>
    <w:rsid w:val="004D30CC"/>
    <w:rsid w:val="004D433C"/>
    <w:rsid w:val="004D57FF"/>
    <w:rsid w:val="004D6DA3"/>
    <w:rsid w:val="004D702F"/>
    <w:rsid w:val="004D73A5"/>
    <w:rsid w:val="004D7CC4"/>
    <w:rsid w:val="004E0D7F"/>
    <w:rsid w:val="004E233D"/>
    <w:rsid w:val="004E3D8C"/>
    <w:rsid w:val="004E4394"/>
    <w:rsid w:val="004E4CA3"/>
    <w:rsid w:val="004E5A12"/>
    <w:rsid w:val="004E6175"/>
    <w:rsid w:val="004E6994"/>
    <w:rsid w:val="004E754A"/>
    <w:rsid w:val="004E7FB7"/>
    <w:rsid w:val="004E7FC4"/>
    <w:rsid w:val="004F08B4"/>
    <w:rsid w:val="004F1B89"/>
    <w:rsid w:val="004F30CF"/>
    <w:rsid w:val="004F4DF5"/>
    <w:rsid w:val="004F4FFD"/>
    <w:rsid w:val="004F54E2"/>
    <w:rsid w:val="004F6505"/>
    <w:rsid w:val="004F7216"/>
    <w:rsid w:val="004F72A4"/>
    <w:rsid w:val="00502E91"/>
    <w:rsid w:val="00503399"/>
    <w:rsid w:val="0050376D"/>
    <w:rsid w:val="0050463A"/>
    <w:rsid w:val="0050660D"/>
    <w:rsid w:val="0050690B"/>
    <w:rsid w:val="00511162"/>
    <w:rsid w:val="00512A4C"/>
    <w:rsid w:val="0051384E"/>
    <w:rsid w:val="00513C55"/>
    <w:rsid w:val="005141F8"/>
    <w:rsid w:val="00515711"/>
    <w:rsid w:val="005166D2"/>
    <w:rsid w:val="00516A01"/>
    <w:rsid w:val="00517446"/>
    <w:rsid w:val="00520B94"/>
    <w:rsid w:val="005216E5"/>
    <w:rsid w:val="00525437"/>
    <w:rsid w:val="005257DC"/>
    <w:rsid w:val="00526118"/>
    <w:rsid w:val="00526690"/>
    <w:rsid w:val="005339F3"/>
    <w:rsid w:val="00534912"/>
    <w:rsid w:val="005349D6"/>
    <w:rsid w:val="0053509A"/>
    <w:rsid w:val="00536A96"/>
    <w:rsid w:val="00540FD1"/>
    <w:rsid w:val="00541697"/>
    <w:rsid w:val="00541D0E"/>
    <w:rsid w:val="00542611"/>
    <w:rsid w:val="00545E75"/>
    <w:rsid w:val="005474E5"/>
    <w:rsid w:val="00550135"/>
    <w:rsid w:val="005545AA"/>
    <w:rsid w:val="00554C1B"/>
    <w:rsid w:val="0055615E"/>
    <w:rsid w:val="00560B17"/>
    <w:rsid w:val="00565522"/>
    <w:rsid w:val="00565CE3"/>
    <w:rsid w:val="00566789"/>
    <w:rsid w:val="00566B34"/>
    <w:rsid w:val="005709FA"/>
    <w:rsid w:val="0057117F"/>
    <w:rsid w:val="00574545"/>
    <w:rsid w:val="0058016D"/>
    <w:rsid w:val="00584115"/>
    <w:rsid w:val="005845B6"/>
    <w:rsid w:val="005846E6"/>
    <w:rsid w:val="00584720"/>
    <w:rsid w:val="00584D98"/>
    <w:rsid w:val="005852AB"/>
    <w:rsid w:val="0058562C"/>
    <w:rsid w:val="00586E29"/>
    <w:rsid w:val="00587EA0"/>
    <w:rsid w:val="00591749"/>
    <w:rsid w:val="00593239"/>
    <w:rsid w:val="005953A1"/>
    <w:rsid w:val="005A0E42"/>
    <w:rsid w:val="005A31CD"/>
    <w:rsid w:val="005A60DC"/>
    <w:rsid w:val="005A63F7"/>
    <w:rsid w:val="005B4932"/>
    <w:rsid w:val="005B4E49"/>
    <w:rsid w:val="005B6324"/>
    <w:rsid w:val="005B64FA"/>
    <w:rsid w:val="005C2208"/>
    <w:rsid w:val="005C22F0"/>
    <w:rsid w:val="005C290E"/>
    <w:rsid w:val="005C56A2"/>
    <w:rsid w:val="005C5B01"/>
    <w:rsid w:val="005C6000"/>
    <w:rsid w:val="005D38F2"/>
    <w:rsid w:val="005D51EB"/>
    <w:rsid w:val="005D6B3D"/>
    <w:rsid w:val="005D6BF7"/>
    <w:rsid w:val="005D7715"/>
    <w:rsid w:val="005D7AAC"/>
    <w:rsid w:val="005E11C2"/>
    <w:rsid w:val="005E27DB"/>
    <w:rsid w:val="005E42BD"/>
    <w:rsid w:val="005E6E0B"/>
    <w:rsid w:val="005E7BCA"/>
    <w:rsid w:val="005F086E"/>
    <w:rsid w:val="005F1825"/>
    <w:rsid w:val="005F4C41"/>
    <w:rsid w:val="005F5C65"/>
    <w:rsid w:val="005F7B50"/>
    <w:rsid w:val="00601351"/>
    <w:rsid w:val="00601777"/>
    <w:rsid w:val="00601CD9"/>
    <w:rsid w:val="00602040"/>
    <w:rsid w:val="00603263"/>
    <w:rsid w:val="00605AD7"/>
    <w:rsid w:val="00606871"/>
    <w:rsid w:val="00607A32"/>
    <w:rsid w:val="00607E77"/>
    <w:rsid w:val="00612FE8"/>
    <w:rsid w:val="00616120"/>
    <w:rsid w:val="00621EE9"/>
    <w:rsid w:val="00622F9E"/>
    <w:rsid w:val="006231A9"/>
    <w:rsid w:val="006251BE"/>
    <w:rsid w:val="00626838"/>
    <w:rsid w:val="006310DC"/>
    <w:rsid w:val="00631658"/>
    <w:rsid w:val="00632AE7"/>
    <w:rsid w:val="00633D47"/>
    <w:rsid w:val="00635991"/>
    <w:rsid w:val="00636469"/>
    <w:rsid w:val="00637FE0"/>
    <w:rsid w:val="00640E48"/>
    <w:rsid w:val="00642957"/>
    <w:rsid w:val="00642FA2"/>
    <w:rsid w:val="00643C2E"/>
    <w:rsid w:val="00643DC8"/>
    <w:rsid w:val="00645310"/>
    <w:rsid w:val="00645461"/>
    <w:rsid w:val="00651033"/>
    <w:rsid w:val="006518FB"/>
    <w:rsid w:val="00651E8C"/>
    <w:rsid w:val="00653706"/>
    <w:rsid w:val="00655641"/>
    <w:rsid w:val="0065742F"/>
    <w:rsid w:val="00657941"/>
    <w:rsid w:val="00660474"/>
    <w:rsid w:val="00660AA3"/>
    <w:rsid w:val="00665595"/>
    <w:rsid w:val="00666118"/>
    <w:rsid w:val="006702BF"/>
    <w:rsid w:val="006715FA"/>
    <w:rsid w:val="006724A0"/>
    <w:rsid w:val="00676627"/>
    <w:rsid w:val="00677E9B"/>
    <w:rsid w:val="00680A1C"/>
    <w:rsid w:val="00681AD6"/>
    <w:rsid w:val="00681C25"/>
    <w:rsid w:val="00681EBA"/>
    <w:rsid w:val="0068315A"/>
    <w:rsid w:val="00685964"/>
    <w:rsid w:val="00686E74"/>
    <w:rsid w:val="006877FD"/>
    <w:rsid w:val="006935B9"/>
    <w:rsid w:val="006956B3"/>
    <w:rsid w:val="00696E81"/>
    <w:rsid w:val="006972C4"/>
    <w:rsid w:val="006975FB"/>
    <w:rsid w:val="00697F85"/>
    <w:rsid w:val="006A11B5"/>
    <w:rsid w:val="006A2C17"/>
    <w:rsid w:val="006A5387"/>
    <w:rsid w:val="006A5B9D"/>
    <w:rsid w:val="006B07DA"/>
    <w:rsid w:val="006B1833"/>
    <w:rsid w:val="006B1C80"/>
    <w:rsid w:val="006B2CE3"/>
    <w:rsid w:val="006B473D"/>
    <w:rsid w:val="006B5AAB"/>
    <w:rsid w:val="006B669E"/>
    <w:rsid w:val="006C2322"/>
    <w:rsid w:val="006C470C"/>
    <w:rsid w:val="006C7149"/>
    <w:rsid w:val="006D03E7"/>
    <w:rsid w:val="006D2BFB"/>
    <w:rsid w:val="006D4DF8"/>
    <w:rsid w:val="006D686F"/>
    <w:rsid w:val="006D752F"/>
    <w:rsid w:val="006D7972"/>
    <w:rsid w:val="006D7D6A"/>
    <w:rsid w:val="006E0473"/>
    <w:rsid w:val="006E057D"/>
    <w:rsid w:val="006E2CFD"/>
    <w:rsid w:val="006E49C8"/>
    <w:rsid w:val="006E5EE3"/>
    <w:rsid w:val="006E6A46"/>
    <w:rsid w:val="006E71EC"/>
    <w:rsid w:val="006E7CB5"/>
    <w:rsid w:val="006F15FA"/>
    <w:rsid w:val="006F38FF"/>
    <w:rsid w:val="006F6E0E"/>
    <w:rsid w:val="006F71B8"/>
    <w:rsid w:val="00701456"/>
    <w:rsid w:val="00703070"/>
    <w:rsid w:val="00705510"/>
    <w:rsid w:val="007073E8"/>
    <w:rsid w:val="0070781B"/>
    <w:rsid w:val="00711FB0"/>
    <w:rsid w:val="00712C47"/>
    <w:rsid w:val="00717EC2"/>
    <w:rsid w:val="007230B4"/>
    <w:rsid w:val="0072419B"/>
    <w:rsid w:val="00726C4A"/>
    <w:rsid w:val="00727703"/>
    <w:rsid w:val="00732B39"/>
    <w:rsid w:val="00733492"/>
    <w:rsid w:val="00733914"/>
    <w:rsid w:val="00736929"/>
    <w:rsid w:val="00741014"/>
    <w:rsid w:val="00741053"/>
    <w:rsid w:val="007417FC"/>
    <w:rsid w:val="00747718"/>
    <w:rsid w:val="0075318C"/>
    <w:rsid w:val="00753BFD"/>
    <w:rsid w:val="00757335"/>
    <w:rsid w:val="00763B6D"/>
    <w:rsid w:val="00763C06"/>
    <w:rsid w:val="00764997"/>
    <w:rsid w:val="00764DF9"/>
    <w:rsid w:val="00774610"/>
    <w:rsid w:val="00776660"/>
    <w:rsid w:val="0077760A"/>
    <w:rsid w:val="007828DB"/>
    <w:rsid w:val="007852FF"/>
    <w:rsid w:val="00786071"/>
    <w:rsid w:val="00791B3B"/>
    <w:rsid w:val="00791E47"/>
    <w:rsid w:val="007921DD"/>
    <w:rsid w:val="0079271A"/>
    <w:rsid w:val="0079635A"/>
    <w:rsid w:val="00796E30"/>
    <w:rsid w:val="00797590"/>
    <w:rsid w:val="007A0D7F"/>
    <w:rsid w:val="007A6718"/>
    <w:rsid w:val="007A6B7A"/>
    <w:rsid w:val="007B3D34"/>
    <w:rsid w:val="007B7438"/>
    <w:rsid w:val="007B7E8B"/>
    <w:rsid w:val="007C0601"/>
    <w:rsid w:val="007C165C"/>
    <w:rsid w:val="007C3571"/>
    <w:rsid w:val="007C3868"/>
    <w:rsid w:val="007C606E"/>
    <w:rsid w:val="007C7D84"/>
    <w:rsid w:val="007C7F1D"/>
    <w:rsid w:val="007C7FD5"/>
    <w:rsid w:val="007D1E7A"/>
    <w:rsid w:val="007D577B"/>
    <w:rsid w:val="007D62E4"/>
    <w:rsid w:val="007E5363"/>
    <w:rsid w:val="007E6225"/>
    <w:rsid w:val="007E6F80"/>
    <w:rsid w:val="007F0979"/>
    <w:rsid w:val="007F1D6A"/>
    <w:rsid w:val="007F1D97"/>
    <w:rsid w:val="007F2977"/>
    <w:rsid w:val="007F3E56"/>
    <w:rsid w:val="007F6026"/>
    <w:rsid w:val="007F61B1"/>
    <w:rsid w:val="008002C1"/>
    <w:rsid w:val="00802730"/>
    <w:rsid w:val="00803390"/>
    <w:rsid w:val="0080340D"/>
    <w:rsid w:val="008048C2"/>
    <w:rsid w:val="00805DF9"/>
    <w:rsid w:val="00806A95"/>
    <w:rsid w:val="008101A6"/>
    <w:rsid w:val="008109E7"/>
    <w:rsid w:val="00810E82"/>
    <w:rsid w:val="008114E5"/>
    <w:rsid w:val="00811776"/>
    <w:rsid w:val="00812548"/>
    <w:rsid w:val="008168C0"/>
    <w:rsid w:val="00816D3A"/>
    <w:rsid w:val="00817449"/>
    <w:rsid w:val="00817F70"/>
    <w:rsid w:val="008200FE"/>
    <w:rsid w:val="00820593"/>
    <w:rsid w:val="008217F5"/>
    <w:rsid w:val="0082431A"/>
    <w:rsid w:val="00826FDB"/>
    <w:rsid w:val="00831B2F"/>
    <w:rsid w:val="00833728"/>
    <w:rsid w:val="008358F4"/>
    <w:rsid w:val="00835956"/>
    <w:rsid w:val="00840F92"/>
    <w:rsid w:val="00841687"/>
    <w:rsid w:val="00843352"/>
    <w:rsid w:val="0084441C"/>
    <w:rsid w:val="00845A1A"/>
    <w:rsid w:val="00845BE4"/>
    <w:rsid w:val="0085341C"/>
    <w:rsid w:val="008573CD"/>
    <w:rsid w:val="0085788B"/>
    <w:rsid w:val="00861012"/>
    <w:rsid w:val="00861374"/>
    <w:rsid w:val="00861397"/>
    <w:rsid w:val="00861479"/>
    <w:rsid w:val="0086358A"/>
    <w:rsid w:val="00864D40"/>
    <w:rsid w:val="00865EAA"/>
    <w:rsid w:val="00867291"/>
    <w:rsid w:val="00867A04"/>
    <w:rsid w:val="00867B43"/>
    <w:rsid w:val="008736F4"/>
    <w:rsid w:val="00874D16"/>
    <w:rsid w:val="00876784"/>
    <w:rsid w:val="00877631"/>
    <w:rsid w:val="00880688"/>
    <w:rsid w:val="00881158"/>
    <w:rsid w:val="00881174"/>
    <w:rsid w:val="008816CB"/>
    <w:rsid w:val="00882A40"/>
    <w:rsid w:val="00882A84"/>
    <w:rsid w:val="00884D59"/>
    <w:rsid w:val="00885998"/>
    <w:rsid w:val="00885BE8"/>
    <w:rsid w:val="008869E8"/>
    <w:rsid w:val="00886E90"/>
    <w:rsid w:val="00891140"/>
    <w:rsid w:val="00891A1B"/>
    <w:rsid w:val="00895990"/>
    <w:rsid w:val="008967C7"/>
    <w:rsid w:val="0089764E"/>
    <w:rsid w:val="00897B5A"/>
    <w:rsid w:val="00897D8F"/>
    <w:rsid w:val="008A0AFF"/>
    <w:rsid w:val="008A1CFB"/>
    <w:rsid w:val="008A3895"/>
    <w:rsid w:val="008A471B"/>
    <w:rsid w:val="008A511D"/>
    <w:rsid w:val="008A5168"/>
    <w:rsid w:val="008A5557"/>
    <w:rsid w:val="008A7FE4"/>
    <w:rsid w:val="008B03A4"/>
    <w:rsid w:val="008B0495"/>
    <w:rsid w:val="008B0915"/>
    <w:rsid w:val="008B4BA1"/>
    <w:rsid w:val="008B4CA9"/>
    <w:rsid w:val="008B5A88"/>
    <w:rsid w:val="008C0FA3"/>
    <w:rsid w:val="008C33A8"/>
    <w:rsid w:val="008C3E2F"/>
    <w:rsid w:val="008C5C64"/>
    <w:rsid w:val="008C6522"/>
    <w:rsid w:val="008D321D"/>
    <w:rsid w:val="008D40B0"/>
    <w:rsid w:val="008D562C"/>
    <w:rsid w:val="008D636C"/>
    <w:rsid w:val="008D6C53"/>
    <w:rsid w:val="008E1062"/>
    <w:rsid w:val="008E1462"/>
    <w:rsid w:val="008E1CF6"/>
    <w:rsid w:val="008E1D87"/>
    <w:rsid w:val="008E395F"/>
    <w:rsid w:val="008E3B6A"/>
    <w:rsid w:val="008E485F"/>
    <w:rsid w:val="008E6A17"/>
    <w:rsid w:val="008E6F75"/>
    <w:rsid w:val="008E7538"/>
    <w:rsid w:val="008F1076"/>
    <w:rsid w:val="008F257F"/>
    <w:rsid w:val="008F28C2"/>
    <w:rsid w:val="008F3FF9"/>
    <w:rsid w:val="008F4351"/>
    <w:rsid w:val="008F60D4"/>
    <w:rsid w:val="008F68C0"/>
    <w:rsid w:val="008F6B42"/>
    <w:rsid w:val="009013BA"/>
    <w:rsid w:val="009016CD"/>
    <w:rsid w:val="00901D56"/>
    <w:rsid w:val="009028C4"/>
    <w:rsid w:val="009033BE"/>
    <w:rsid w:val="00904038"/>
    <w:rsid w:val="00904239"/>
    <w:rsid w:val="0090547E"/>
    <w:rsid w:val="009073D8"/>
    <w:rsid w:val="00910254"/>
    <w:rsid w:val="00910B5E"/>
    <w:rsid w:val="00910FCF"/>
    <w:rsid w:val="00915934"/>
    <w:rsid w:val="009220F0"/>
    <w:rsid w:val="0092224D"/>
    <w:rsid w:val="009231B1"/>
    <w:rsid w:val="009248F7"/>
    <w:rsid w:val="009264B3"/>
    <w:rsid w:val="00926BA7"/>
    <w:rsid w:val="00927D1B"/>
    <w:rsid w:val="00927F1F"/>
    <w:rsid w:val="00931021"/>
    <w:rsid w:val="00933F9A"/>
    <w:rsid w:val="00937CC0"/>
    <w:rsid w:val="009407B7"/>
    <w:rsid w:val="0094113A"/>
    <w:rsid w:val="0094210E"/>
    <w:rsid w:val="0094421E"/>
    <w:rsid w:val="0094509A"/>
    <w:rsid w:val="00945759"/>
    <w:rsid w:val="00946EFC"/>
    <w:rsid w:val="0094713E"/>
    <w:rsid w:val="00950C87"/>
    <w:rsid w:val="00952E82"/>
    <w:rsid w:val="00952F0C"/>
    <w:rsid w:val="00954A85"/>
    <w:rsid w:val="00956796"/>
    <w:rsid w:val="0095703A"/>
    <w:rsid w:val="00960296"/>
    <w:rsid w:val="00960582"/>
    <w:rsid w:val="00961891"/>
    <w:rsid w:val="0096400F"/>
    <w:rsid w:val="00965F53"/>
    <w:rsid w:val="00975C44"/>
    <w:rsid w:val="00976DD2"/>
    <w:rsid w:val="009807A5"/>
    <w:rsid w:val="0098118F"/>
    <w:rsid w:val="009814B4"/>
    <w:rsid w:val="00981A91"/>
    <w:rsid w:val="00982C12"/>
    <w:rsid w:val="00982FB2"/>
    <w:rsid w:val="009850D0"/>
    <w:rsid w:val="0098539B"/>
    <w:rsid w:val="00985780"/>
    <w:rsid w:val="00985DFD"/>
    <w:rsid w:val="009860BD"/>
    <w:rsid w:val="00986CDD"/>
    <w:rsid w:val="00987E81"/>
    <w:rsid w:val="0099008D"/>
    <w:rsid w:val="009912DE"/>
    <w:rsid w:val="009924B5"/>
    <w:rsid w:val="00992829"/>
    <w:rsid w:val="00994417"/>
    <w:rsid w:val="009958C2"/>
    <w:rsid w:val="009A13E3"/>
    <w:rsid w:val="009A1825"/>
    <w:rsid w:val="009A21A4"/>
    <w:rsid w:val="009A2245"/>
    <w:rsid w:val="009A2E8F"/>
    <w:rsid w:val="009A5934"/>
    <w:rsid w:val="009A6349"/>
    <w:rsid w:val="009B21A8"/>
    <w:rsid w:val="009B3F91"/>
    <w:rsid w:val="009B3FB3"/>
    <w:rsid w:val="009B59FD"/>
    <w:rsid w:val="009B7E4F"/>
    <w:rsid w:val="009C06D3"/>
    <w:rsid w:val="009C29D2"/>
    <w:rsid w:val="009C50ED"/>
    <w:rsid w:val="009C5C79"/>
    <w:rsid w:val="009C61BA"/>
    <w:rsid w:val="009C6F80"/>
    <w:rsid w:val="009D179B"/>
    <w:rsid w:val="009D44EA"/>
    <w:rsid w:val="009D5902"/>
    <w:rsid w:val="009D6561"/>
    <w:rsid w:val="009D6F72"/>
    <w:rsid w:val="009E08E3"/>
    <w:rsid w:val="009E131A"/>
    <w:rsid w:val="009E2486"/>
    <w:rsid w:val="009E2784"/>
    <w:rsid w:val="009F0027"/>
    <w:rsid w:val="009F07CD"/>
    <w:rsid w:val="009F11B7"/>
    <w:rsid w:val="009F14F1"/>
    <w:rsid w:val="009F1D69"/>
    <w:rsid w:val="009F445D"/>
    <w:rsid w:val="009F520B"/>
    <w:rsid w:val="009F794A"/>
    <w:rsid w:val="00A015B0"/>
    <w:rsid w:val="00A02980"/>
    <w:rsid w:val="00A06154"/>
    <w:rsid w:val="00A0650D"/>
    <w:rsid w:val="00A10D11"/>
    <w:rsid w:val="00A11213"/>
    <w:rsid w:val="00A1549E"/>
    <w:rsid w:val="00A15A0D"/>
    <w:rsid w:val="00A16A5E"/>
    <w:rsid w:val="00A16DA3"/>
    <w:rsid w:val="00A17007"/>
    <w:rsid w:val="00A20208"/>
    <w:rsid w:val="00A211CF"/>
    <w:rsid w:val="00A24467"/>
    <w:rsid w:val="00A24CAE"/>
    <w:rsid w:val="00A2595B"/>
    <w:rsid w:val="00A27732"/>
    <w:rsid w:val="00A31876"/>
    <w:rsid w:val="00A338FD"/>
    <w:rsid w:val="00A36540"/>
    <w:rsid w:val="00A409BF"/>
    <w:rsid w:val="00A41943"/>
    <w:rsid w:val="00A4256A"/>
    <w:rsid w:val="00A42F25"/>
    <w:rsid w:val="00A43582"/>
    <w:rsid w:val="00A462F6"/>
    <w:rsid w:val="00A51780"/>
    <w:rsid w:val="00A51A7C"/>
    <w:rsid w:val="00A52E67"/>
    <w:rsid w:val="00A54CE7"/>
    <w:rsid w:val="00A54F89"/>
    <w:rsid w:val="00A56713"/>
    <w:rsid w:val="00A60A4D"/>
    <w:rsid w:val="00A60AE5"/>
    <w:rsid w:val="00A62B75"/>
    <w:rsid w:val="00A63303"/>
    <w:rsid w:val="00A63FF4"/>
    <w:rsid w:val="00A6456D"/>
    <w:rsid w:val="00A65E9D"/>
    <w:rsid w:val="00A66F94"/>
    <w:rsid w:val="00A710C6"/>
    <w:rsid w:val="00A72963"/>
    <w:rsid w:val="00A73092"/>
    <w:rsid w:val="00A759F7"/>
    <w:rsid w:val="00A7799F"/>
    <w:rsid w:val="00A80F7A"/>
    <w:rsid w:val="00A81FD0"/>
    <w:rsid w:val="00A85068"/>
    <w:rsid w:val="00A8590D"/>
    <w:rsid w:val="00A872BF"/>
    <w:rsid w:val="00A87360"/>
    <w:rsid w:val="00A9213F"/>
    <w:rsid w:val="00A92261"/>
    <w:rsid w:val="00A932C2"/>
    <w:rsid w:val="00A93EA1"/>
    <w:rsid w:val="00A94697"/>
    <w:rsid w:val="00A9709F"/>
    <w:rsid w:val="00A971DD"/>
    <w:rsid w:val="00AA2C94"/>
    <w:rsid w:val="00AA45C0"/>
    <w:rsid w:val="00AA46B6"/>
    <w:rsid w:val="00AA536A"/>
    <w:rsid w:val="00AB1834"/>
    <w:rsid w:val="00AB1FBB"/>
    <w:rsid w:val="00AB325B"/>
    <w:rsid w:val="00AB5E86"/>
    <w:rsid w:val="00AC0315"/>
    <w:rsid w:val="00AC1F8A"/>
    <w:rsid w:val="00AC266F"/>
    <w:rsid w:val="00AC26B3"/>
    <w:rsid w:val="00AC31A5"/>
    <w:rsid w:val="00AC51C6"/>
    <w:rsid w:val="00AC5A28"/>
    <w:rsid w:val="00AC5EAC"/>
    <w:rsid w:val="00AD1FE5"/>
    <w:rsid w:val="00AD29B3"/>
    <w:rsid w:val="00AD4782"/>
    <w:rsid w:val="00AD6811"/>
    <w:rsid w:val="00AE0281"/>
    <w:rsid w:val="00AE0C30"/>
    <w:rsid w:val="00AE0CF0"/>
    <w:rsid w:val="00AE202E"/>
    <w:rsid w:val="00AE2E54"/>
    <w:rsid w:val="00AE4569"/>
    <w:rsid w:val="00AF15D4"/>
    <w:rsid w:val="00AF1835"/>
    <w:rsid w:val="00AF3258"/>
    <w:rsid w:val="00AF5987"/>
    <w:rsid w:val="00AF5B38"/>
    <w:rsid w:val="00AF5B3A"/>
    <w:rsid w:val="00B01E45"/>
    <w:rsid w:val="00B02AC2"/>
    <w:rsid w:val="00B02C19"/>
    <w:rsid w:val="00B03748"/>
    <w:rsid w:val="00B04A92"/>
    <w:rsid w:val="00B07F6F"/>
    <w:rsid w:val="00B10E91"/>
    <w:rsid w:val="00B158ED"/>
    <w:rsid w:val="00B15EFD"/>
    <w:rsid w:val="00B20BAF"/>
    <w:rsid w:val="00B21864"/>
    <w:rsid w:val="00B21984"/>
    <w:rsid w:val="00B22C5C"/>
    <w:rsid w:val="00B23488"/>
    <w:rsid w:val="00B23F23"/>
    <w:rsid w:val="00B24C02"/>
    <w:rsid w:val="00B24E51"/>
    <w:rsid w:val="00B27E28"/>
    <w:rsid w:val="00B30010"/>
    <w:rsid w:val="00B30443"/>
    <w:rsid w:val="00B30DC5"/>
    <w:rsid w:val="00B31248"/>
    <w:rsid w:val="00B31388"/>
    <w:rsid w:val="00B31F72"/>
    <w:rsid w:val="00B32157"/>
    <w:rsid w:val="00B34399"/>
    <w:rsid w:val="00B3613C"/>
    <w:rsid w:val="00B37DD6"/>
    <w:rsid w:val="00B41EBE"/>
    <w:rsid w:val="00B42DF8"/>
    <w:rsid w:val="00B439BE"/>
    <w:rsid w:val="00B45B04"/>
    <w:rsid w:val="00B4627D"/>
    <w:rsid w:val="00B46719"/>
    <w:rsid w:val="00B46A6D"/>
    <w:rsid w:val="00B47955"/>
    <w:rsid w:val="00B5094C"/>
    <w:rsid w:val="00B51201"/>
    <w:rsid w:val="00B5773C"/>
    <w:rsid w:val="00B63057"/>
    <w:rsid w:val="00B6331C"/>
    <w:rsid w:val="00B656F5"/>
    <w:rsid w:val="00B65BA3"/>
    <w:rsid w:val="00B73275"/>
    <w:rsid w:val="00B73B8C"/>
    <w:rsid w:val="00B73C46"/>
    <w:rsid w:val="00B73F02"/>
    <w:rsid w:val="00B74F39"/>
    <w:rsid w:val="00B75022"/>
    <w:rsid w:val="00B77326"/>
    <w:rsid w:val="00B7736A"/>
    <w:rsid w:val="00B8019B"/>
    <w:rsid w:val="00B8090E"/>
    <w:rsid w:val="00B813A3"/>
    <w:rsid w:val="00B83544"/>
    <w:rsid w:val="00B85BFF"/>
    <w:rsid w:val="00B90051"/>
    <w:rsid w:val="00B90E33"/>
    <w:rsid w:val="00B938BB"/>
    <w:rsid w:val="00B93EE8"/>
    <w:rsid w:val="00B944C8"/>
    <w:rsid w:val="00B95123"/>
    <w:rsid w:val="00B95265"/>
    <w:rsid w:val="00B97CA7"/>
    <w:rsid w:val="00BA2320"/>
    <w:rsid w:val="00BA3270"/>
    <w:rsid w:val="00BA4989"/>
    <w:rsid w:val="00BA5186"/>
    <w:rsid w:val="00BA66DF"/>
    <w:rsid w:val="00BB2746"/>
    <w:rsid w:val="00BB4D6E"/>
    <w:rsid w:val="00BB522B"/>
    <w:rsid w:val="00BC0494"/>
    <w:rsid w:val="00BC0639"/>
    <w:rsid w:val="00BC0E07"/>
    <w:rsid w:val="00BC223C"/>
    <w:rsid w:val="00BC460C"/>
    <w:rsid w:val="00BD1ACE"/>
    <w:rsid w:val="00BD362D"/>
    <w:rsid w:val="00BD3F0F"/>
    <w:rsid w:val="00BD3F59"/>
    <w:rsid w:val="00BD4A14"/>
    <w:rsid w:val="00BD723B"/>
    <w:rsid w:val="00BD7C93"/>
    <w:rsid w:val="00BE0549"/>
    <w:rsid w:val="00BE1B2A"/>
    <w:rsid w:val="00BE3866"/>
    <w:rsid w:val="00BE4491"/>
    <w:rsid w:val="00BE5C3E"/>
    <w:rsid w:val="00BE6ED5"/>
    <w:rsid w:val="00BE7E84"/>
    <w:rsid w:val="00BF0B66"/>
    <w:rsid w:val="00BF715B"/>
    <w:rsid w:val="00C00F58"/>
    <w:rsid w:val="00C029D7"/>
    <w:rsid w:val="00C03A20"/>
    <w:rsid w:val="00C05A1F"/>
    <w:rsid w:val="00C061E6"/>
    <w:rsid w:val="00C1082D"/>
    <w:rsid w:val="00C11B65"/>
    <w:rsid w:val="00C13E7E"/>
    <w:rsid w:val="00C143CA"/>
    <w:rsid w:val="00C164C0"/>
    <w:rsid w:val="00C17510"/>
    <w:rsid w:val="00C17BBE"/>
    <w:rsid w:val="00C17C21"/>
    <w:rsid w:val="00C201A9"/>
    <w:rsid w:val="00C215F5"/>
    <w:rsid w:val="00C21CD9"/>
    <w:rsid w:val="00C235C7"/>
    <w:rsid w:val="00C33496"/>
    <w:rsid w:val="00C339C5"/>
    <w:rsid w:val="00C34645"/>
    <w:rsid w:val="00C34A4C"/>
    <w:rsid w:val="00C34DDA"/>
    <w:rsid w:val="00C3535B"/>
    <w:rsid w:val="00C35671"/>
    <w:rsid w:val="00C360C4"/>
    <w:rsid w:val="00C40664"/>
    <w:rsid w:val="00C4448C"/>
    <w:rsid w:val="00C44E26"/>
    <w:rsid w:val="00C479F3"/>
    <w:rsid w:val="00C47E96"/>
    <w:rsid w:val="00C504C4"/>
    <w:rsid w:val="00C50DAB"/>
    <w:rsid w:val="00C52F3D"/>
    <w:rsid w:val="00C53B91"/>
    <w:rsid w:val="00C53DDC"/>
    <w:rsid w:val="00C53E9C"/>
    <w:rsid w:val="00C55040"/>
    <w:rsid w:val="00C57771"/>
    <w:rsid w:val="00C60B0C"/>
    <w:rsid w:val="00C624FF"/>
    <w:rsid w:val="00C625A5"/>
    <w:rsid w:val="00C647EF"/>
    <w:rsid w:val="00C65A5F"/>
    <w:rsid w:val="00C65D28"/>
    <w:rsid w:val="00C67324"/>
    <w:rsid w:val="00C70827"/>
    <w:rsid w:val="00C7115F"/>
    <w:rsid w:val="00C721FE"/>
    <w:rsid w:val="00C73EA5"/>
    <w:rsid w:val="00C73FF9"/>
    <w:rsid w:val="00C741B3"/>
    <w:rsid w:val="00C76478"/>
    <w:rsid w:val="00C808B9"/>
    <w:rsid w:val="00C82C8C"/>
    <w:rsid w:val="00C849E3"/>
    <w:rsid w:val="00C85959"/>
    <w:rsid w:val="00C87C76"/>
    <w:rsid w:val="00C9335C"/>
    <w:rsid w:val="00C972D6"/>
    <w:rsid w:val="00CA070B"/>
    <w:rsid w:val="00CA0C03"/>
    <w:rsid w:val="00CA1045"/>
    <w:rsid w:val="00CA4308"/>
    <w:rsid w:val="00CA469E"/>
    <w:rsid w:val="00CA592F"/>
    <w:rsid w:val="00CA6AF2"/>
    <w:rsid w:val="00CA6EF8"/>
    <w:rsid w:val="00CA6FD7"/>
    <w:rsid w:val="00CB1D3B"/>
    <w:rsid w:val="00CB3242"/>
    <w:rsid w:val="00CB531C"/>
    <w:rsid w:val="00CB6439"/>
    <w:rsid w:val="00CB67E5"/>
    <w:rsid w:val="00CB684A"/>
    <w:rsid w:val="00CB71E8"/>
    <w:rsid w:val="00CB727C"/>
    <w:rsid w:val="00CC01C8"/>
    <w:rsid w:val="00CC26E8"/>
    <w:rsid w:val="00CC27D0"/>
    <w:rsid w:val="00CC30BD"/>
    <w:rsid w:val="00CD1B5D"/>
    <w:rsid w:val="00CD1EBF"/>
    <w:rsid w:val="00CD446A"/>
    <w:rsid w:val="00CD4650"/>
    <w:rsid w:val="00CD6339"/>
    <w:rsid w:val="00CE0442"/>
    <w:rsid w:val="00CE0BC2"/>
    <w:rsid w:val="00CE16B9"/>
    <w:rsid w:val="00CE2B9B"/>
    <w:rsid w:val="00CE4746"/>
    <w:rsid w:val="00CE6B09"/>
    <w:rsid w:val="00CF12C5"/>
    <w:rsid w:val="00CF14B2"/>
    <w:rsid w:val="00CF1B2C"/>
    <w:rsid w:val="00CF2AD8"/>
    <w:rsid w:val="00CF3C10"/>
    <w:rsid w:val="00CF6082"/>
    <w:rsid w:val="00CF767E"/>
    <w:rsid w:val="00D0353E"/>
    <w:rsid w:val="00D03DEF"/>
    <w:rsid w:val="00D03FA6"/>
    <w:rsid w:val="00D0458E"/>
    <w:rsid w:val="00D050EB"/>
    <w:rsid w:val="00D0682A"/>
    <w:rsid w:val="00D10148"/>
    <w:rsid w:val="00D1053B"/>
    <w:rsid w:val="00D10BB2"/>
    <w:rsid w:val="00D11793"/>
    <w:rsid w:val="00D12D54"/>
    <w:rsid w:val="00D13D67"/>
    <w:rsid w:val="00D15127"/>
    <w:rsid w:val="00D15813"/>
    <w:rsid w:val="00D20DDD"/>
    <w:rsid w:val="00D21482"/>
    <w:rsid w:val="00D22EF6"/>
    <w:rsid w:val="00D240D0"/>
    <w:rsid w:val="00D27DE8"/>
    <w:rsid w:val="00D34027"/>
    <w:rsid w:val="00D35C27"/>
    <w:rsid w:val="00D409BA"/>
    <w:rsid w:val="00D40B1E"/>
    <w:rsid w:val="00D416D1"/>
    <w:rsid w:val="00D427C3"/>
    <w:rsid w:val="00D46836"/>
    <w:rsid w:val="00D46E58"/>
    <w:rsid w:val="00D472EF"/>
    <w:rsid w:val="00D50B6A"/>
    <w:rsid w:val="00D53E3B"/>
    <w:rsid w:val="00D54F71"/>
    <w:rsid w:val="00D55B7B"/>
    <w:rsid w:val="00D60F7F"/>
    <w:rsid w:val="00D643F3"/>
    <w:rsid w:val="00D6498A"/>
    <w:rsid w:val="00D65CC1"/>
    <w:rsid w:val="00D65D5B"/>
    <w:rsid w:val="00D705F1"/>
    <w:rsid w:val="00D721E6"/>
    <w:rsid w:val="00D727A7"/>
    <w:rsid w:val="00D72BF3"/>
    <w:rsid w:val="00D72D3E"/>
    <w:rsid w:val="00D73D74"/>
    <w:rsid w:val="00D75170"/>
    <w:rsid w:val="00D752E6"/>
    <w:rsid w:val="00D76DEA"/>
    <w:rsid w:val="00D77AB3"/>
    <w:rsid w:val="00D82511"/>
    <w:rsid w:val="00D83B1C"/>
    <w:rsid w:val="00D84678"/>
    <w:rsid w:val="00D84D34"/>
    <w:rsid w:val="00D8622A"/>
    <w:rsid w:val="00D86C6B"/>
    <w:rsid w:val="00D9208F"/>
    <w:rsid w:val="00D9330C"/>
    <w:rsid w:val="00D9578D"/>
    <w:rsid w:val="00D95B30"/>
    <w:rsid w:val="00D967BC"/>
    <w:rsid w:val="00D97647"/>
    <w:rsid w:val="00DA0E19"/>
    <w:rsid w:val="00DA3AB0"/>
    <w:rsid w:val="00DA4588"/>
    <w:rsid w:val="00DA532C"/>
    <w:rsid w:val="00DA5F49"/>
    <w:rsid w:val="00DA667D"/>
    <w:rsid w:val="00DB0093"/>
    <w:rsid w:val="00DB011D"/>
    <w:rsid w:val="00DB3AA2"/>
    <w:rsid w:val="00DB3C0D"/>
    <w:rsid w:val="00DB3C86"/>
    <w:rsid w:val="00DB4797"/>
    <w:rsid w:val="00DC2538"/>
    <w:rsid w:val="00DC6419"/>
    <w:rsid w:val="00DC6A70"/>
    <w:rsid w:val="00DC774A"/>
    <w:rsid w:val="00DC7C48"/>
    <w:rsid w:val="00DC7DF0"/>
    <w:rsid w:val="00DD0DB3"/>
    <w:rsid w:val="00DD11E6"/>
    <w:rsid w:val="00DD3385"/>
    <w:rsid w:val="00DD39B7"/>
    <w:rsid w:val="00DD50B7"/>
    <w:rsid w:val="00DD5175"/>
    <w:rsid w:val="00DD52A8"/>
    <w:rsid w:val="00DD6A2F"/>
    <w:rsid w:val="00DD7171"/>
    <w:rsid w:val="00DD7E9F"/>
    <w:rsid w:val="00DE0E5D"/>
    <w:rsid w:val="00DE2CF3"/>
    <w:rsid w:val="00DE322D"/>
    <w:rsid w:val="00DE394D"/>
    <w:rsid w:val="00DE3F13"/>
    <w:rsid w:val="00DE468D"/>
    <w:rsid w:val="00DE64D5"/>
    <w:rsid w:val="00DF1948"/>
    <w:rsid w:val="00DF30F3"/>
    <w:rsid w:val="00DF3DEB"/>
    <w:rsid w:val="00DF655D"/>
    <w:rsid w:val="00DF7278"/>
    <w:rsid w:val="00E0019F"/>
    <w:rsid w:val="00E011BA"/>
    <w:rsid w:val="00E03A6C"/>
    <w:rsid w:val="00E03D9C"/>
    <w:rsid w:val="00E05596"/>
    <w:rsid w:val="00E10F74"/>
    <w:rsid w:val="00E134CC"/>
    <w:rsid w:val="00E15A9F"/>
    <w:rsid w:val="00E16DD6"/>
    <w:rsid w:val="00E22E59"/>
    <w:rsid w:val="00E23AE5"/>
    <w:rsid w:val="00E24DDE"/>
    <w:rsid w:val="00E26447"/>
    <w:rsid w:val="00E27855"/>
    <w:rsid w:val="00E30778"/>
    <w:rsid w:val="00E30CD9"/>
    <w:rsid w:val="00E31848"/>
    <w:rsid w:val="00E33238"/>
    <w:rsid w:val="00E34DA1"/>
    <w:rsid w:val="00E35089"/>
    <w:rsid w:val="00E35390"/>
    <w:rsid w:val="00E35B7F"/>
    <w:rsid w:val="00E36C5C"/>
    <w:rsid w:val="00E37DE0"/>
    <w:rsid w:val="00E40968"/>
    <w:rsid w:val="00E431E5"/>
    <w:rsid w:val="00E4551C"/>
    <w:rsid w:val="00E53FC9"/>
    <w:rsid w:val="00E540A1"/>
    <w:rsid w:val="00E555E0"/>
    <w:rsid w:val="00E56421"/>
    <w:rsid w:val="00E56C03"/>
    <w:rsid w:val="00E57728"/>
    <w:rsid w:val="00E60A41"/>
    <w:rsid w:val="00E61222"/>
    <w:rsid w:val="00E613C9"/>
    <w:rsid w:val="00E61AF4"/>
    <w:rsid w:val="00E61C3A"/>
    <w:rsid w:val="00E61E34"/>
    <w:rsid w:val="00E63024"/>
    <w:rsid w:val="00E6341E"/>
    <w:rsid w:val="00E638FA"/>
    <w:rsid w:val="00E646D4"/>
    <w:rsid w:val="00E652BC"/>
    <w:rsid w:val="00E65D45"/>
    <w:rsid w:val="00E66A96"/>
    <w:rsid w:val="00E66B89"/>
    <w:rsid w:val="00E7080D"/>
    <w:rsid w:val="00E71037"/>
    <w:rsid w:val="00E71D59"/>
    <w:rsid w:val="00E7257E"/>
    <w:rsid w:val="00E73A90"/>
    <w:rsid w:val="00E76282"/>
    <w:rsid w:val="00E766CE"/>
    <w:rsid w:val="00E77DA6"/>
    <w:rsid w:val="00E821EB"/>
    <w:rsid w:val="00E8546A"/>
    <w:rsid w:val="00E86498"/>
    <w:rsid w:val="00E91365"/>
    <w:rsid w:val="00E91D0A"/>
    <w:rsid w:val="00E92C31"/>
    <w:rsid w:val="00E966E9"/>
    <w:rsid w:val="00E96803"/>
    <w:rsid w:val="00E9724A"/>
    <w:rsid w:val="00EA0A43"/>
    <w:rsid w:val="00EA1AB5"/>
    <w:rsid w:val="00EA4382"/>
    <w:rsid w:val="00EA5C2D"/>
    <w:rsid w:val="00EA5DD8"/>
    <w:rsid w:val="00EB083C"/>
    <w:rsid w:val="00EB190F"/>
    <w:rsid w:val="00EB1F63"/>
    <w:rsid w:val="00EB4D51"/>
    <w:rsid w:val="00EB7EEF"/>
    <w:rsid w:val="00EC1DBF"/>
    <w:rsid w:val="00EC516B"/>
    <w:rsid w:val="00EC64D7"/>
    <w:rsid w:val="00EC6BA1"/>
    <w:rsid w:val="00ED0FB4"/>
    <w:rsid w:val="00ED1533"/>
    <w:rsid w:val="00ED1947"/>
    <w:rsid w:val="00ED34B3"/>
    <w:rsid w:val="00ED4781"/>
    <w:rsid w:val="00ED4F6A"/>
    <w:rsid w:val="00ED7746"/>
    <w:rsid w:val="00EE0176"/>
    <w:rsid w:val="00EE14DD"/>
    <w:rsid w:val="00EE1D83"/>
    <w:rsid w:val="00EE423C"/>
    <w:rsid w:val="00EE4347"/>
    <w:rsid w:val="00EE4943"/>
    <w:rsid w:val="00EE7464"/>
    <w:rsid w:val="00EF0099"/>
    <w:rsid w:val="00EF120D"/>
    <w:rsid w:val="00EF15F4"/>
    <w:rsid w:val="00EF434D"/>
    <w:rsid w:val="00EF4793"/>
    <w:rsid w:val="00EF4D03"/>
    <w:rsid w:val="00EF5D1D"/>
    <w:rsid w:val="00EF6FD5"/>
    <w:rsid w:val="00F004C2"/>
    <w:rsid w:val="00F04444"/>
    <w:rsid w:val="00F05D75"/>
    <w:rsid w:val="00F13253"/>
    <w:rsid w:val="00F14D92"/>
    <w:rsid w:val="00F225C8"/>
    <w:rsid w:val="00F26E75"/>
    <w:rsid w:val="00F27EE6"/>
    <w:rsid w:val="00F3203E"/>
    <w:rsid w:val="00F323FC"/>
    <w:rsid w:val="00F34C28"/>
    <w:rsid w:val="00F35772"/>
    <w:rsid w:val="00F372DD"/>
    <w:rsid w:val="00F4032C"/>
    <w:rsid w:val="00F40E4C"/>
    <w:rsid w:val="00F42C93"/>
    <w:rsid w:val="00F43454"/>
    <w:rsid w:val="00F447EC"/>
    <w:rsid w:val="00F454D0"/>
    <w:rsid w:val="00F458DA"/>
    <w:rsid w:val="00F46303"/>
    <w:rsid w:val="00F46BB6"/>
    <w:rsid w:val="00F47D35"/>
    <w:rsid w:val="00F47DDC"/>
    <w:rsid w:val="00F51CCC"/>
    <w:rsid w:val="00F54A1E"/>
    <w:rsid w:val="00F552E2"/>
    <w:rsid w:val="00F56717"/>
    <w:rsid w:val="00F61984"/>
    <w:rsid w:val="00F62560"/>
    <w:rsid w:val="00F633D8"/>
    <w:rsid w:val="00F640E4"/>
    <w:rsid w:val="00F64C04"/>
    <w:rsid w:val="00F64D89"/>
    <w:rsid w:val="00F651A8"/>
    <w:rsid w:val="00F70682"/>
    <w:rsid w:val="00F717B9"/>
    <w:rsid w:val="00F71D09"/>
    <w:rsid w:val="00F72433"/>
    <w:rsid w:val="00F73266"/>
    <w:rsid w:val="00F74B0C"/>
    <w:rsid w:val="00F7547C"/>
    <w:rsid w:val="00F775B1"/>
    <w:rsid w:val="00F8064B"/>
    <w:rsid w:val="00F80A08"/>
    <w:rsid w:val="00F81198"/>
    <w:rsid w:val="00F863A1"/>
    <w:rsid w:val="00F867EA"/>
    <w:rsid w:val="00F924A3"/>
    <w:rsid w:val="00F92F07"/>
    <w:rsid w:val="00F9503A"/>
    <w:rsid w:val="00F95D04"/>
    <w:rsid w:val="00F96086"/>
    <w:rsid w:val="00FA1254"/>
    <w:rsid w:val="00FA462C"/>
    <w:rsid w:val="00FA5466"/>
    <w:rsid w:val="00FB0019"/>
    <w:rsid w:val="00FB02E8"/>
    <w:rsid w:val="00FB061B"/>
    <w:rsid w:val="00FB283C"/>
    <w:rsid w:val="00FB68F1"/>
    <w:rsid w:val="00FB73B1"/>
    <w:rsid w:val="00FB7473"/>
    <w:rsid w:val="00FC34C4"/>
    <w:rsid w:val="00FC354C"/>
    <w:rsid w:val="00FC420B"/>
    <w:rsid w:val="00FC4A22"/>
    <w:rsid w:val="00FC4D27"/>
    <w:rsid w:val="00FC51F5"/>
    <w:rsid w:val="00FC7558"/>
    <w:rsid w:val="00FC7BDC"/>
    <w:rsid w:val="00FC7CDC"/>
    <w:rsid w:val="00FD08B2"/>
    <w:rsid w:val="00FD09F7"/>
    <w:rsid w:val="00FD18EE"/>
    <w:rsid w:val="00FD2EFE"/>
    <w:rsid w:val="00FD320A"/>
    <w:rsid w:val="00FD3C33"/>
    <w:rsid w:val="00FD5B97"/>
    <w:rsid w:val="00FD69B7"/>
    <w:rsid w:val="00FD6B2B"/>
    <w:rsid w:val="00FE119C"/>
    <w:rsid w:val="00FE27E6"/>
    <w:rsid w:val="00FE4B84"/>
    <w:rsid w:val="00FE4E4B"/>
    <w:rsid w:val="00FE773B"/>
    <w:rsid w:val="00FF108C"/>
    <w:rsid w:val="00FF30E2"/>
    <w:rsid w:val="00FF503F"/>
    <w:rsid w:val="00FF6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400668"/>
  <w15:docId w15:val="{E58E8C2D-C226-D54D-8206-46E111EE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1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4645"/>
    <w:pPr>
      <w:ind w:left="720"/>
      <w:contextualSpacing/>
    </w:pPr>
  </w:style>
  <w:style w:type="character" w:styleId="CommentReference">
    <w:name w:val="annotation reference"/>
    <w:basedOn w:val="DefaultParagraphFont"/>
    <w:uiPriority w:val="99"/>
    <w:semiHidden/>
    <w:unhideWhenUsed/>
    <w:rsid w:val="00CF14B2"/>
    <w:rPr>
      <w:sz w:val="16"/>
      <w:szCs w:val="16"/>
    </w:rPr>
  </w:style>
  <w:style w:type="paragraph" w:styleId="CommentText">
    <w:name w:val="annotation text"/>
    <w:basedOn w:val="Normal"/>
    <w:link w:val="CommentTextChar"/>
    <w:uiPriority w:val="99"/>
    <w:semiHidden/>
    <w:unhideWhenUsed/>
    <w:rsid w:val="00CF14B2"/>
    <w:rPr>
      <w:sz w:val="20"/>
      <w:szCs w:val="20"/>
    </w:rPr>
  </w:style>
  <w:style w:type="character" w:customStyle="1" w:styleId="CommentTextChar">
    <w:name w:val="Comment Text Char"/>
    <w:basedOn w:val="DefaultParagraphFont"/>
    <w:link w:val="CommentText"/>
    <w:uiPriority w:val="99"/>
    <w:semiHidden/>
    <w:rsid w:val="00CF14B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F14B2"/>
    <w:rPr>
      <w:b/>
      <w:bCs/>
    </w:rPr>
  </w:style>
  <w:style w:type="character" w:customStyle="1" w:styleId="CommentSubjectChar">
    <w:name w:val="Comment Subject Char"/>
    <w:basedOn w:val="CommentTextChar"/>
    <w:link w:val="CommentSubject"/>
    <w:uiPriority w:val="99"/>
    <w:semiHidden/>
    <w:rsid w:val="00CF14B2"/>
    <w:rPr>
      <w:rFonts w:eastAsiaTheme="minorEastAsia"/>
      <w:b/>
      <w:bCs/>
      <w:sz w:val="20"/>
      <w:szCs w:val="20"/>
    </w:rPr>
  </w:style>
  <w:style w:type="paragraph" w:styleId="Bibliography">
    <w:name w:val="Bibliography"/>
    <w:basedOn w:val="Normal"/>
    <w:next w:val="Normal"/>
    <w:uiPriority w:val="37"/>
    <w:unhideWhenUsed/>
    <w:rsid w:val="00124780"/>
    <w:pPr>
      <w:tabs>
        <w:tab w:val="left" w:pos="380"/>
        <w:tab w:val="left" w:pos="500"/>
      </w:tabs>
      <w:spacing w:after="240"/>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50733">
      <w:bodyDiv w:val="1"/>
      <w:marLeft w:val="0"/>
      <w:marRight w:val="0"/>
      <w:marTop w:val="0"/>
      <w:marBottom w:val="0"/>
      <w:divBdr>
        <w:top w:val="none" w:sz="0" w:space="0" w:color="auto"/>
        <w:left w:val="none" w:sz="0" w:space="0" w:color="auto"/>
        <w:bottom w:val="none" w:sz="0" w:space="0" w:color="auto"/>
        <w:right w:val="none" w:sz="0" w:space="0" w:color="auto"/>
      </w:divBdr>
    </w:div>
    <w:div w:id="543173382">
      <w:bodyDiv w:val="1"/>
      <w:marLeft w:val="0"/>
      <w:marRight w:val="0"/>
      <w:marTop w:val="0"/>
      <w:marBottom w:val="0"/>
      <w:divBdr>
        <w:top w:val="none" w:sz="0" w:space="0" w:color="auto"/>
        <w:left w:val="none" w:sz="0" w:space="0" w:color="auto"/>
        <w:bottom w:val="none" w:sz="0" w:space="0" w:color="auto"/>
        <w:right w:val="none" w:sz="0" w:space="0" w:color="auto"/>
      </w:divBdr>
    </w:div>
    <w:div w:id="840310809">
      <w:bodyDiv w:val="1"/>
      <w:marLeft w:val="0"/>
      <w:marRight w:val="0"/>
      <w:marTop w:val="0"/>
      <w:marBottom w:val="0"/>
      <w:divBdr>
        <w:top w:val="none" w:sz="0" w:space="0" w:color="auto"/>
        <w:left w:val="none" w:sz="0" w:space="0" w:color="auto"/>
        <w:bottom w:val="none" w:sz="0" w:space="0" w:color="auto"/>
        <w:right w:val="none" w:sz="0" w:space="0" w:color="auto"/>
      </w:divBdr>
    </w:div>
    <w:div w:id="1494832526">
      <w:bodyDiv w:val="1"/>
      <w:marLeft w:val="0"/>
      <w:marRight w:val="0"/>
      <w:marTop w:val="0"/>
      <w:marBottom w:val="0"/>
      <w:divBdr>
        <w:top w:val="none" w:sz="0" w:space="0" w:color="auto"/>
        <w:left w:val="none" w:sz="0" w:space="0" w:color="auto"/>
        <w:bottom w:val="none" w:sz="0" w:space="0" w:color="auto"/>
        <w:right w:val="none" w:sz="0" w:space="0" w:color="auto"/>
      </w:divBdr>
    </w:div>
    <w:div w:id="1615281590">
      <w:bodyDiv w:val="1"/>
      <w:marLeft w:val="0"/>
      <w:marRight w:val="0"/>
      <w:marTop w:val="0"/>
      <w:marBottom w:val="0"/>
      <w:divBdr>
        <w:top w:val="none" w:sz="0" w:space="0" w:color="auto"/>
        <w:left w:val="none" w:sz="0" w:space="0" w:color="auto"/>
        <w:bottom w:val="none" w:sz="0" w:space="0" w:color="auto"/>
        <w:right w:val="none" w:sz="0" w:space="0" w:color="auto"/>
      </w:divBdr>
    </w:div>
    <w:div w:id="1821648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17375</Words>
  <Characters>99038</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George</dc:creator>
  <cp:keywords/>
  <dc:description/>
  <cp:lastModifiedBy>George Cooper</cp:lastModifiedBy>
  <cp:revision>3</cp:revision>
  <dcterms:created xsi:type="dcterms:W3CDTF">2023-06-17T18:56:00Z</dcterms:created>
  <dcterms:modified xsi:type="dcterms:W3CDTF">2023-06-17T18:59:00Z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id="fIrAnjKF"/&gt;&lt;style id="http://www.zotero.org/styles/vancouver-superscript" locale="en-GB" hasBibliography="1" bibliographyStyleHasBeenSet="1"/&gt;&lt;prefs&gt;&lt;pref name="fieldType" value="Field"/&gt;&lt;pref na</vt:lpwstr>
  </property>
  <property fmtid="{D5CDD505-2E9C-101B-9397-08002B2CF9AE}" pid="3" name="ZOTERO_PREF_2">
    <vt:lpwstr>me="dontAskDelayCitationUpdates" value="true"/&gt;&lt;/prefs&gt;&lt;/data&gt;</vt:lpwstr>
  </property>
</Properties>
</file>