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A0586" w14:textId="70DC2E22" w:rsidR="005A7FCB" w:rsidRPr="004A7949" w:rsidRDefault="002E2B11">
      <w:pPr>
        <w:rPr>
          <w:rFonts w:ascii="Times New Roman" w:hAnsi="Times New Roman" w:cs="Times New Roman"/>
          <w:b/>
          <w:bCs/>
          <w:sz w:val="28"/>
          <w:szCs w:val="28"/>
          <w:lang w:val="en-CA"/>
        </w:rPr>
      </w:pPr>
      <w:r w:rsidRPr="004A7949">
        <w:rPr>
          <w:rFonts w:ascii="Times New Roman" w:hAnsi="Times New Roman" w:cs="Times New Roman"/>
          <w:b/>
          <w:bCs/>
          <w:sz w:val="28"/>
          <w:szCs w:val="28"/>
          <w:lang w:val="en-CA"/>
        </w:rPr>
        <w:t>Supplementary Material </w:t>
      </w:r>
    </w:p>
    <w:p w14:paraId="219A1884" w14:textId="11AAD20A" w:rsidR="002E2B11" w:rsidRPr="002E2B11" w:rsidRDefault="002E2B11">
      <w:pPr>
        <w:rPr>
          <w:rFonts w:ascii="Times New Roman" w:hAnsi="Times New Roman" w:cs="Times New Roman"/>
          <w:b/>
          <w:bCs/>
          <w:sz w:val="24"/>
          <w:szCs w:val="24"/>
          <w:lang w:val="en-GB"/>
        </w:rPr>
      </w:pPr>
      <w:r w:rsidRPr="002E2B11">
        <w:rPr>
          <w:rFonts w:ascii="Times New Roman" w:hAnsi="Times New Roman" w:cs="Times New Roman"/>
          <w:b/>
          <w:bCs/>
          <w:sz w:val="24"/>
          <w:szCs w:val="24"/>
          <w:lang w:val="en-GB"/>
        </w:rPr>
        <w:t>Methods</w:t>
      </w:r>
    </w:p>
    <w:p w14:paraId="3B626FA2" w14:textId="1CEEC55D" w:rsidR="002E2B11" w:rsidRDefault="002E2B11" w:rsidP="002E2B11">
      <w:pPr>
        <w:pStyle w:val="NormalWeb"/>
        <w:spacing w:before="0" w:beforeAutospacing="0" w:line="360" w:lineRule="auto"/>
        <w:jc w:val="both"/>
        <w:rPr>
          <w:rFonts w:eastAsia="Calibri"/>
          <w:lang w:val="en-US"/>
        </w:rPr>
      </w:pPr>
      <w:r w:rsidRPr="00A7653C">
        <w:rPr>
          <w:rFonts w:eastAsia="Calibri"/>
          <w:b/>
          <w:lang w:val="en-US"/>
        </w:rPr>
        <w:t>qPCR and tissue expression</w:t>
      </w:r>
      <w:r w:rsidRPr="00A7653C">
        <w:rPr>
          <w:rFonts w:eastAsia="Calibri"/>
          <w:bCs/>
          <w:lang w:val="en-US"/>
        </w:rPr>
        <w:t xml:space="preserve">: </w:t>
      </w:r>
      <w:r w:rsidRPr="00A7653C">
        <w:rPr>
          <w:rFonts w:eastAsia="Calibri"/>
          <w:lang w:val="en-US"/>
        </w:rPr>
        <w:t>For qPCR, total RNA from different tissues (</w:t>
      </w:r>
      <w:r w:rsidRPr="00A7653C">
        <w:rPr>
          <w:rFonts w:eastAsia="Calibri"/>
          <w:i/>
          <w:iCs/>
          <w:lang w:val="en-US"/>
        </w:rPr>
        <w:t>Apis Mellifera</w:t>
      </w:r>
      <w:r w:rsidRPr="00A7653C">
        <w:rPr>
          <w:rFonts w:eastAsia="Calibri"/>
          <w:lang w:val="en-US"/>
        </w:rPr>
        <w:t xml:space="preserve">; </w:t>
      </w:r>
      <w:r w:rsidRPr="00A7653C">
        <w:rPr>
          <w:lang w:val="en-GB"/>
        </w:rPr>
        <w:t>Larvae, Legs, Head, Brain, Ganglia, Guts, Muscle, and Antennae)</w:t>
      </w:r>
      <w:r w:rsidRPr="00A7653C">
        <w:rPr>
          <w:rFonts w:eastAsia="Calibri"/>
          <w:lang w:val="en-US"/>
        </w:rPr>
        <w:t xml:space="preserve"> was obtained using the Trizol reagent protocol </w:t>
      </w:r>
      <w:r w:rsidRPr="00A7653C">
        <w:rPr>
          <w:lang w:val="en-US"/>
        </w:rPr>
        <w:t>(Life Technologies, Trizol)</w:t>
      </w:r>
      <w:r w:rsidRPr="00A7653C">
        <w:rPr>
          <w:rFonts w:eastAsia="Calibri"/>
          <w:lang w:val="en-US"/>
        </w:rPr>
        <w:t xml:space="preserve">. The </w:t>
      </w:r>
      <w:r>
        <w:rPr>
          <w:rFonts w:eastAsia="Calibri"/>
          <w:lang w:val="en-US"/>
        </w:rPr>
        <w:t xml:space="preserve">total </w:t>
      </w:r>
      <w:r w:rsidRPr="00A7653C">
        <w:rPr>
          <w:rFonts w:eastAsia="Calibri"/>
          <w:lang w:val="en-US"/>
        </w:rPr>
        <w:t xml:space="preserve">RNA </w:t>
      </w:r>
      <w:r>
        <w:rPr>
          <w:rFonts w:eastAsia="Calibri"/>
          <w:lang w:val="en-US"/>
        </w:rPr>
        <w:t xml:space="preserve">from different tissues </w:t>
      </w:r>
      <w:r w:rsidRPr="00A7653C">
        <w:rPr>
          <w:rFonts w:eastAsia="Calibri"/>
          <w:lang w:val="en-US"/>
        </w:rPr>
        <w:t>was treated with</w:t>
      </w:r>
      <w:r w:rsidRPr="00A7653C">
        <w:rPr>
          <w:lang w:val="en-US"/>
        </w:rPr>
        <w:t xml:space="preserve"> RNase-free</w:t>
      </w:r>
      <w:r w:rsidRPr="00A7653C">
        <w:rPr>
          <w:rFonts w:eastAsia="Calibri"/>
          <w:lang w:val="en-US"/>
        </w:rPr>
        <w:t xml:space="preserve"> DNAseI </w:t>
      </w:r>
      <w:r w:rsidRPr="00A7653C">
        <w:rPr>
          <w:lang w:val="en-US"/>
        </w:rPr>
        <w:t xml:space="preserve">(New England Biolabs). </w:t>
      </w:r>
      <w:r w:rsidRPr="00A7653C">
        <w:rPr>
          <w:rFonts w:eastAsia="Calibri"/>
          <w:lang w:val="en-US"/>
        </w:rPr>
        <w:t xml:space="preserve">The cDNA was synthesized using </w:t>
      </w:r>
      <w:r w:rsidRPr="00A7653C">
        <w:rPr>
          <w:lang w:val="en-US"/>
        </w:rPr>
        <w:t>ProtoScript</w:t>
      </w:r>
      <w:r w:rsidRPr="00A7653C">
        <w:rPr>
          <w:vertAlign w:val="superscript"/>
          <w:lang w:val="en-US"/>
        </w:rPr>
        <w:t>®</w:t>
      </w:r>
      <w:r w:rsidRPr="00A7653C">
        <w:rPr>
          <w:lang w:val="en-US"/>
        </w:rPr>
        <w:t xml:space="preserve"> II First Strand cDNA Synthesis kits (New England Biolabs)</w:t>
      </w:r>
      <w:r w:rsidRPr="00A7653C">
        <w:rPr>
          <w:rFonts w:eastAsia="Calibri"/>
          <w:lang w:val="en-US"/>
        </w:rPr>
        <w:t xml:space="preserve">. </w:t>
      </w:r>
      <w:r w:rsidRPr="00A7653C">
        <w:rPr>
          <w:lang w:val="en-US"/>
        </w:rPr>
        <w:t>PCR was performed using Roche kits (LighCycler</w:t>
      </w:r>
      <w:r w:rsidRPr="00A7653C">
        <w:rPr>
          <w:vertAlign w:val="superscript"/>
          <w:lang w:val="en-US"/>
        </w:rPr>
        <w:t>®</w:t>
      </w:r>
      <w:r w:rsidRPr="00A7653C">
        <w:rPr>
          <w:lang w:val="en-US"/>
        </w:rPr>
        <w:t xml:space="preserve"> 480 SYBR Green I Master). </w:t>
      </w:r>
      <w:r w:rsidRPr="00A7653C">
        <w:rPr>
          <w:rFonts w:eastAsia="Calibri"/>
          <w:lang w:val="en-US"/>
        </w:rPr>
        <w:t xml:space="preserve">The oligonucleotides used for qPCR are listed in Table 1. </w:t>
      </w:r>
      <w:bookmarkStart w:id="0" w:name="_Hlk155089967"/>
      <w:r w:rsidRPr="00A7653C">
        <w:rPr>
          <w:lang w:val="en-GB"/>
        </w:rPr>
        <w:t xml:space="preserve">Ct values were obtained in triplicate concerning two reference genes, GAPDH and RSP18, and extractions derived from isolated organs. The </w:t>
      </w:r>
      <w:r w:rsidRPr="00A7653C">
        <w:t>Δ</w:t>
      </w:r>
      <w:r w:rsidRPr="00A7653C">
        <w:rPr>
          <w:lang w:val="en-GB"/>
        </w:rPr>
        <w:t>Ct values relative to the organs of interest and reference genes were juxtaposed against the qPCR efficiency values, subsequently normalized to the values obtained for the muscle tissue.</w:t>
      </w:r>
      <w:bookmarkEnd w:id="0"/>
      <w:r w:rsidRPr="00A7653C">
        <w:rPr>
          <w:lang w:val="en-GB"/>
        </w:rPr>
        <w:t xml:space="preserve"> </w:t>
      </w:r>
      <w:r w:rsidRPr="00A7653C">
        <w:rPr>
          <w:rFonts w:eastAsia="Calibri"/>
          <w:lang w:val="en-US"/>
        </w:rPr>
        <w:t>No specific oligonucleotide for AmKir2.2 could be developed to assess quantitative expression of this isoform due to the high sequence similarity between AmKir2.1 and AmKir2.2 (</w:t>
      </w:r>
      <w:r w:rsidRPr="00A7653C">
        <w:rPr>
          <w:rFonts w:eastAsia="Calibri"/>
          <w:b/>
          <w:bCs/>
          <w:lang w:val="en-US"/>
        </w:rPr>
        <w:t>Figure S</w:t>
      </w:r>
      <w:r w:rsidR="004A7949">
        <w:rPr>
          <w:rFonts w:eastAsia="Calibri"/>
          <w:b/>
          <w:bCs/>
          <w:lang w:val="en-US"/>
        </w:rPr>
        <w:t>2</w:t>
      </w:r>
      <w:r w:rsidRPr="00A7653C">
        <w:rPr>
          <w:rFonts w:eastAsia="Calibri"/>
          <w:lang w:val="en-US"/>
        </w:rPr>
        <w:t>).</w:t>
      </w:r>
    </w:p>
    <w:p w14:paraId="4FDD4874" w14:textId="609BF21D" w:rsidR="00566727" w:rsidRPr="009E5D0B" w:rsidRDefault="00566727" w:rsidP="00566727">
      <w:pPr>
        <w:pStyle w:val="NormalWeb"/>
        <w:rPr>
          <w:lang w:val="en-CA"/>
        </w:rPr>
      </w:pPr>
      <w:r w:rsidRPr="00454321">
        <w:rPr>
          <w:b/>
          <w:bCs/>
          <w:color w:val="000000"/>
          <w:lang w:val="en-CA"/>
        </w:rPr>
        <w:t>Table S1</w:t>
      </w:r>
      <w:r w:rsidRPr="009E5D0B">
        <w:rPr>
          <w:color w:val="000000"/>
          <w:lang w:val="en-CA"/>
        </w:rPr>
        <w:t>: Oligonucleotide list used for qPCR experiments</w:t>
      </w:r>
    </w:p>
    <w:tbl>
      <w:tblPr>
        <w:tblW w:w="5143" w:type="pct"/>
        <w:tblLayout w:type="fixed"/>
        <w:tblLook w:val="04A0" w:firstRow="1" w:lastRow="0" w:firstColumn="1" w:lastColumn="0" w:noHBand="0" w:noVBand="1"/>
      </w:tblPr>
      <w:tblGrid>
        <w:gridCol w:w="1151"/>
        <w:gridCol w:w="3503"/>
        <w:gridCol w:w="3111"/>
        <w:gridCol w:w="696"/>
        <w:gridCol w:w="870"/>
      </w:tblGrid>
      <w:tr w:rsidR="006D399C" w14:paraId="125A18BC" w14:textId="77777777" w:rsidTr="006D399C">
        <w:trPr>
          <w:trHeight w:val="24"/>
        </w:trPr>
        <w:tc>
          <w:tcPr>
            <w:tcW w:w="617" w:type="pct"/>
            <w:vMerge w:val="restart"/>
            <w:tcBorders>
              <w:top w:val="single" w:sz="12" w:space="0" w:color="auto"/>
              <w:left w:val="nil"/>
              <w:bottom w:val="single" w:sz="12" w:space="0" w:color="auto"/>
              <w:right w:val="nil"/>
            </w:tcBorders>
            <w:tcMar>
              <w:top w:w="0" w:type="dxa"/>
              <w:left w:w="70" w:type="dxa"/>
              <w:bottom w:w="0" w:type="dxa"/>
              <w:right w:w="70" w:type="dxa"/>
            </w:tcMar>
            <w:vAlign w:val="center"/>
            <w:hideMark/>
          </w:tcPr>
          <w:p w14:paraId="77316BEB" w14:textId="77777777" w:rsidR="00566727" w:rsidRDefault="00566727" w:rsidP="00A82966">
            <w:pPr>
              <w:pStyle w:val="NormalWeb"/>
              <w:spacing w:line="360" w:lineRule="auto"/>
              <w:jc w:val="center"/>
            </w:pPr>
            <w:r>
              <w:rPr>
                <w:b/>
                <w:bCs/>
                <w:color w:val="000000"/>
                <w:sz w:val="22"/>
                <w:szCs w:val="22"/>
              </w:rPr>
              <w:t>Gene</w:t>
            </w:r>
          </w:p>
        </w:tc>
        <w:tc>
          <w:tcPr>
            <w:tcW w:w="3544" w:type="pct"/>
            <w:gridSpan w:val="2"/>
            <w:tcBorders>
              <w:top w:val="single" w:sz="12" w:space="0" w:color="auto"/>
              <w:left w:val="nil"/>
              <w:bottom w:val="single" w:sz="12" w:space="0" w:color="auto"/>
              <w:right w:val="nil"/>
            </w:tcBorders>
            <w:tcMar>
              <w:top w:w="0" w:type="dxa"/>
              <w:left w:w="70" w:type="dxa"/>
              <w:bottom w:w="0" w:type="dxa"/>
              <w:right w:w="70" w:type="dxa"/>
            </w:tcMar>
            <w:hideMark/>
          </w:tcPr>
          <w:p w14:paraId="3E061826" w14:textId="77777777" w:rsidR="00566727" w:rsidRDefault="00566727" w:rsidP="00A82966">
            <w:pPr>
              <w:pStyle w:val="NormalWeb"/>
              <w:spacing w:line="360" w:lineRule="auto"/>
              <w:jc w:val="center"/>
            </w:pPr>
            <w:r>
              <w:rPr>
                <w:b/>
                <w:bCs/>
                <w:color w:val="000000"/>
                <w:sz w:val="22"/>
                <w:szCs w:val="22"/>
              </w:rPr>
              <w:t>Primers (5'-3')</w:t>
            </w:r>
          </w:p>
        </w:tc>
        <w:tc>
          <w:tcPr>
            <w:tcW w:w="373" w:type="pct"/>
            <w:vMerge w:val="restart"/>
            <w:tcBorders>
              <w:top w:val="single" w:sz="12" w:space="0" w:color="auto"/>
              <w:left w:val="nil"/>
              <w:bottom w:val="single" w:sz="12" w:space="0" w:color="auto"/>
              <w:right w:val="nil"/>
            </w:tcBorders>
            <w:tcMar>
              <w:top w:w="0" w:type="dxa"/>
              <w:left w:w="70" w:type="dxa"/>
              <w:bottom w:w="0" w:type="dxa"/>
              <w:right w:w="70" w:type="dxa"/>
            </w:tcMar>
            <w:hideMark/>
          </w:tcPr>
          <w:p w14:paraId="0AD9345D" w14:textId="5D4F4CB1" w:rsidR="00566727" w:rsidRDefault="00566727" w:rsidP="006D399C">
            <w:pPr>
              <w:pStyle w:val="NormalWeb"/>
              <w:spacing w:line="360" w:lineRule="auto"/>
              <w:jc w:val="center"/>
            </w:pPr>
            <w:r>
              <w:rPr>
                <w:b/>
                <w:bCs/>
                <w:color w:val="000000"/>
                <w:sz w:val="22"/>
                <w:szCs w:val="22"/>
              </w:rPr>
              <w:t>Tm</w:t>
            </w:r>
            <w:r w:rsidR="006D399C">
              <w:rPr>
                <w:b/>
                <w:bCs/>
                <w:color w:val="000000"/>
                <w:sz w:val="22"/>
                <w:szCs w:val="22"/>
              </w:rPr>
              <w:br/>
            </w:r>
            <w:r>
              <w:rPr>
                <w:b/>
                <w:bCs/>
                <w:color w:val="000000"/>
                <w:sz w:val="22"/>
                <w:szCs w:val="22"/>
              </w:rPr>
              <w:t>(°C)</w:t>
            </w:r>
          </w:p>
        </w:tc>
        <w:tc>
          <w:tcPr>
            <w:tcW w:w="466" w:type="pct"/>
            <w:tcBorders>
              <w:top w:val="single" w:sz="12" w:space="0" w:color="auto"/>
              <w:left w:val="nil"/>
              <w:bottom w:val="single" w:sz="12" w:space="0" w:color="auto"/>
              <w:right w:val="nil"/>
            </w:tcBorders>
            <w:tcMar>
              <w:top w:w="0" w:type="dxa"/>
              <w:left w:w="70" w:type="dxa"/>
              <w:bottom w:w="0" w:type="dxa"/>
              <w:right w:w="70" w:type="dxa"/>
            </w:tcMar>
            <w:hideMark/>
          </w:tcPr>
          <w:p w14:paraId="49BA7CFF" w14:textId="77777777" w:rsidR="00566727" w:rsidRDefault="00566727" w:rsidP="00A82966">
            <w:pPr>
              <w:pStyle w:val="NormalWeb"/>
              <w:spacing w:line="360" w:lineRule="auto"/>
              <w:jc w:val="center"/>
            </w:pPr>
            <w:r>
              <w:rPr>
                <w:b/>
                <w:bCs/>
                <w:color w:val="000000"/>
                <w:sz w:val="22"/>
                <w:szCs w:val="22"/>
              </w:rPr>
              <w:t>Length</w:t>
            </w:r>
          </w:p>
        </w:tc>
      </w:tr>
      <w:tr w:rsidR="006D399C" w14:paraId="27176870" w14:textId="77777777" w:rsidTr="006D399C">
        <w:trPr>
          <w:trHeight w:val="479"/>
        </w:trPr>
        <w:tc>
          <w:tcPr>
            <w:tcW w:w="617" w:type="pct"/>
            <w:vMerge/>
            <w:tcBorders>
              <w:top w:val="single" w:sz="12" w:space="0" w:color="auto"/>
              <w:left w:val="nil"/>
              <w:bottom w:val="single" w:sz="12" w:space="0" w:color="auto"/>
              <w:right w:val="nil"/>
            </w:tcBorders>
            <w:vAlign w:val="center"/>
            <w:hideMark/>
          </w:tcPr>
          <w:p w14:paraId="25738C76" w14:textId="77777777" w:rsidR="00566727" w:rsidRDefault="00566727" w:rsidP="00A82966"/>
        </w:tc>
        <w:tc>
          <w:tcPr>
            <w:tcW w:w="1877" w:type="pct"/>
            <w:tcBorders>
              <w:top w:val="nil"/>
              <w:left w:val="nil"/>
              <w:bottom w:val="single" w:sz="12" w:space="0" w:color="auto"/>
              <w:right w:val="nil"/>
            </w:tcBorders>
            <w:tcMar>
              <w:top w:w="0" w:type="dxa"/>
              <w:left w:w="70" w:type="dxa"/>
              <w:bottom w:w="0" w:type="dxa"/>
              <w:right w:w="70" w:type="dxa"/>
            </w:tcMar>
            <w:hideMark/>
          </w:tcPr>
          <w:p w14:paraId="5CE04C21" w14:textId="77777777" w:rsidR="00566727" w:rsidRDefault="00566727" w:rsidP="00A82966">
            <w:pPr>
              <w:pStyle w:val="NormalWeb"/>
              <w:spacing w:line="360" w:lineRule="auto"/>
              <w:jc w:val="center"/>
            </w:pPr>
            <w:r>
              <w:rPr>
                <w:b/>
                <w:bCs/>
                <w:color w:val="000000"/>
                <w:sz w:val="22"/>
                <w:szCs w:val="22"/>
              </w:rPr>
              <w:t>Forward</w:t>
            </w:r>
          </w:p>
        </w:tc>
        <w:tc>
          <w:tcPr>
            <w:tcW w:w="1666" w:type="pct"/>
            <w:tcBorders>
              <w:top w:val="nil"/>
              <w:left w:val="nil"/>
              <w:bottom w:val="single" w:sz="12" w:space="0" w:color="auto"/>
              <w:right w:val="nil"/>
            </w:tcBorders>
            <w:tcMar>
              <w:top w:w="0" w:type="dxa"/>
              <w:left w:w="70" w:type="dxa"/>
              <w:bottom w:w="0" w:type="dxa"/>
              <w:right w:w="70" w:type="dxa"/>
            </w:tcMar>
            <w:hideMark/>
          </w:tcPr>
          <w:p w14:paraId="23D56FD9" w14:textId="77777777" w:rsidR="00566727" w:rsidRDefault="00566727" w:rsidP="00A82966">
            <w:pPr>
              <w:pStyle w:val="NormalWeb"/>
              <w:spacing w:line="360" w:lineRule="auto"/>
              <w:jc w:val="center"/>
            </w:pPr>
            <w:r>
              <w:rPr>
                <w:b/>
                <w:bCs/>
                <w:color w:val="000000"/>
                <w:sz w:val="22"/>
                <w:szCs w:val="22"/>
              </w:rPr>
              <w:t>Reverse</w:t>
            </w:r>
          </w:p>
        </w:tc>
        <w:tc>
          <w:tcPr>
            <w:tcW w:w="373" w:type="pct"/>
            <w:vMerge/>
            <w:tcBorders>
              <w:top w:val="nil"/>
              <w:left w:val="nil"/>
              <w:bottom w:val="single" w:sz="12" w:space="0" w:color="auto"/>
              <w:right w:val="nil"/>
            </w:tcBorders>
            <w:vAlign w:val="center"/>
            <w:hideMark/>
          </w:tcPr>
          <w:p w14:paraId="4E3093D9" w14:textId="77777777" w:rsidR="00566727" w:rsidRDefault="00566727" w:rsidP="00A82966"/>
        </w:tc>
        <w:tc>
          <w:tcPr>
            <w:tcW w:w="466" w:type="pct"/>
            <w:tcBorders>
              <w:top w:val="nil"/>
              <w:left w:val="nil"/>
              <w:bottom w:val="single" w:sz="12" w:space="0" w:color="auto"/>
              <w:right w:val="nil"/>
            </w:tcBorders>
            <w:tcMar>
              <w:top w:w="0" w:type="dxa"/>
              <w:left w:w="70" w:type="dxa"/>
              <w:bottom w:w="0" w:type="dxa"/>
              <w:right w:w="70" w:type="dxa"/>
            </w:tcMar>
            <w:hideMark/>
          </w:tcPr>
          <w:p w14:paraId="38A4D8A1" w14:textId="77777777" w:rsidR="00566727" w:rsidRDefault="00566727" w:rsidP="00A82966">
            <w:pPr>
              <w:pStyle w:val="NormalWeb"/>
              <w:spacing w:line="360" w:lineRule="auto"/>
              <w:jc w:val="center"/>
            </w:pPr>
            <w:r>
              <w:rPr>
                <w:b/>
                <w:bCs/>
                <w:color w:val="000000"/>
                <w:sz w:val="22"/>
                <w:szCs w:val="22"/>
              </w:rPr>
              <w:t>(</w:t>
            </w:r>
            <w:proofErr w:type="gramStart"/>
            <w:r>
              <w:rPr>
                <w:b/>
                <w:bCs/>
                <w:color w:val="000000"/>
                <w:sz w:val="22"/>
                <w:szCs w:val="22"/>
              </w:rPr>
              <w:t>pb</w:t>
            </w:r>
            <w:proofErr w:type="gramEnd"/>
            <w:r>
              <w:rPr>
                <w:b/>
                <w:bCs/>
                <w:color w:val="000000"/>
                <w:sz w:val="22"/>
                <w:szCs w:val="22"/>
              </w:rPr>
              <w:t>)</w:t>
            </w:r>
          </w:p>
        </w:tc>
      </w:tr>
      <w:tr w:rsidR="006D399C" w14:paraId="68F25E0F" w14:textId="77777777" w:rsidTr="006D399C">
        <w:trPr>
          <w:trHeight w:val="433"/>
        </w:trPr>
        <w:tc>
          <w:tcPr>
            <w:tcW w:w="617" w:type="pct"/>
            <w:tcBorders>
              <w:top w:val="nil"/>
              <w:left w:val="nil"/>
              <w:bottom w:val="single" w:sz="8" w:space="0" w:color="auto"/>
              <w:right w:val="nil"/>
            </w:tcBorders>
            <w:tcMar>
              <w:top w:w="0" w:type="dxa"/>
              <w:left w:w="70" w:type="dxa"/>
              <w:bottom w:w="0" w:type="dxa"/>
              <w:right w:w="70" w:type="dxa"/>
            </w:tcMar>
            <w:vAlign w:val="center"/>
            <w:hideMark/>
          </w:tcPr>
          <w:p w14:paraId="480E6342" w14:textId="77777777" w:rsidR="00566727" w:rsidRDefault="00566727" w:rsidP="00A82966">
            <w:pPr>
              <w:pStyle w:val="NormalWeb"/>
              <w:spacing w:line="360" w:lineRule="auto"/>
              <w:jc w:val="center"/>
            </w:pPr>
            <w:r>
              <w:rPr>
                <w:i/>
                <w:iCs/>
                <w:color w:val="000000"/>
                <w:sz w:val="22"/>
                <w:szCs w:val="22"/>
              </w:rPr>
              <w:t>AmKir1.1</w:t>
            </w:r>
          </w:p>
        </w:tc>
        <w:tc>
          <w:tcPr>
            <w:tcW w:w="1877" w:type="pct"/>
            <w:tcBorders>
              <w:top w:val="nil"/>
              <w:left w:val="nil"/>
              <w:bottom w:val="single" w:sz="8" w:space="0" w:color="auto"/>
              <w:right w:val="nil"/>
            </w:tcBorders>
            <w:tcMar>
              <w:top w:w="0" w:type="dxa"/>
              <w:left w:w="70" w:type="dxa"/>
              <w:bottom w:w="0" w:type="dxa"/>
              <w:right w:w="70" w:type="dxa"/>
            </w:tcMar>
            <w:vAlign w:val="center"/>
            <w:hideMark/>
          </w:tcPr>
          <w:p w14:paraId="6B02BB42" w14:textId="77777777" w:rsidR="00566727" w:rsidRPr="00566727" w:rsidRDefault="00566727" w:rsidP="00A82966">
            <w:pPr>
              <w:pStyle w:val="NormalWeb"/>
              <w:spacing w:line="360" w:lineRule="auto"/>
              <w:jc w:val="center"/>
              <w:rPr>
                <w:sz w:val="18"/>
                <w:szCs w:val="18"/>
              </w:rPr>
            </w:pPr>
            <w:r w:rsidRPr="00566727">
              <w:rPr>
                <w:color w:val="000000"/>
                <w:sz w:val="18"/>
                <w:szCs w:val="18"/>
              </w:rPr>
              <w:t>TCAGAGACAGCAACAGAGCAG</w:t>
            </w:r>
          </w:p>
        </w:tc>
        <w:tc>
          <w:tcPr>
            <w:tcW w:w="1666" w:type="pct"/>
            <w:tcBorders>
              <w:top w:val="nil"/>
              <w:left w:val="nil"/>
              <w:bottom w:val="single" w:sz="8" w:space="0" w:color="auto"/>
              <w:right w:val="nil"/>
            </w:tcBorders>
            <w:tcMar>
              <w:top w:w="0" w:type="dxa"/>
              <w:left w:w="70" w:type="dxa"/>
              <w:bottom w:w="0" w:type="dxa"/>
              <w:right w:w="70" w:type="dxa"/>
            </w:tcMar>
            <w:vAlign w:val="center"/>
            <w:hideMark/>
          </w:tcPr>
          <w:p w14:paraId="62D6BC79" w14:textId="77777777" w:rsidR="00566727" w:rsidRPr="00566727" w:rsidRDefault="00566727" w:rsidP="00A82966">
            <w:pPr>
              <w:pStyle w:val="NormalWeb"/>
              <w:spacing w:line="360" w:lineRule="auto"/>
              <w:jc w:val="center"/>
              <w:rPr>
                <w:sz w:val="18"/>
                <w:szCs w:val="18"/>
              </w:rPr>
            </w:pPr>
            <w:r w:rsidRPr="00566727">
              <w:rPr>
                <w:color w:val="000000"/>
                <w:sz w:val="18"/>
                <w:szCs w:val="18"/>
              </w:rPr>
              <w:t>GTTGGTCAGGATTCCCCGTT</w:t>
            </w:r>
          </w:p>
        </w:tc>
        <w:tc>
          <w:tcPr>
            <w:tcW w:w="373" w:type="pct"/>
            <w:tcBorders>
              <w:top w:val="nil"/>
              <w:left w:val="nil"/>
              <w:bottom w:val="single" w:sz="8" w:space="0" w:color="auto"/>
              <w:right w:val="nil"/>
            </w:tcBorders>
            <w:tcMar>
              <w:top w:w="0" w:type="dxa"/>
              <w:left w:w="70" w:type="dxa"/>
              <w:bottom w:w="0" w:type="dxa"/>
              <w:right w:w="70" w:type="dxa"/>
            </w:tcMar>
            <w:vAlign w:val="center"/>
            <w:hideMark/>
          </w:tcPr>
          <w:p w14:paraId="63096491" w14:textId="77777777" w:rsidR="00566727" w:rsidRDefault="00566727" w:rsidP="00A82966">
            <w:pPr>
              <w:pStyle w:val="NormalWeb"/>
              <w:spacing w:line="360" w:lineRule="auto"/>
              <w:jc w:val="center"/>
            </w:pPr>
            <w:r>
              <w:rPr>
                <w:color w:val="000000"/>
                <w:sz w:val="22"/>
                <w:szCs w:val="22"/>
              </w:rPr>
              <w:t>58</w:t>
            </w:r>
          </w:p>
        </w:tc>
        <w:tc>
          <w:tcPr>
            <w:tcW w:w="466" w:type="pct"/>
            <w:tcBorders>
              <w:top w:val="nil"/>
              <w:left w:val="nil"/>
              <w:bottom w:val="single" w:sz="8" w:space="0" w:color="auto"/>
              <w:right w:val="nil"/>
            </w:tcBorders>
            <w:tcMar>
              <w:top w:w="0" w:type="dxa"/>
              <w:left w:w="70" w:type="dxa"/>
              <w:bottom w:w="0" w:type="dxa"/>
              <w:right w:w="70" w:type="dxa"/>
            </w:tcMar>
            <w:hideMark/>
          </w:tcPr>
          <w:p w14:paraId="7A63FD1E" w14:textId="77777777" w:rsidR="00566727" w:rsidRDefault="00566727" w:rsidP="00A82966">
            <w:pPr>
              <w:pStyle w:val="NormalWeb"/>
              <w:spacing w:line="360" w:lineRule="auto"/>
              <w:jc w:val="center"/>
            </w:pPr>
            <w:r>
              <w:rPr>
                <w:color w:val="000000"/>
                <w:sz w:val="22"/>
                <w:szCs w:val="22"/>
              </w:rPr>
              <w:t>149</w:t>
            </w:r>
          </w:p>
        </w:tc>
      </w:tr>
      <w:tr w:rsidR="006D399C" w14:paraId="0925C0BD" w14:textId="77777777" w:rsidTr="006D399C">
        <w:trPr>
          <w:trHeight w:val="241"/>
        </w:trPr>
        <w:tc>
          <w:tcPr>
            <w:tcW w:w="617" w:type="pct"/>
            <w:tcBorders>
              <w:top w:val="nil"/>
              <w:left w:val="nil"/>
              <w:bottom w:val="single" w:sz="8" w:space="0" w:color="auto"/>
              <w:right w:val="nil"/>
            </w:tcBorders>
            <w:tcMar>
              <w:top w:w="0" w:type="dxa"/>
              <w:left w:w="70" w:type="dxa"/>
              <w:bottom w:w="0" w:type="dxa"/>
              <w:right w:w="70" w:type="dxa"/>
            </w:tcMar>
            <w:vAlign w:val="center"/>
            <w:hideMark/>
          </w:tcPr>
          <w:p w14:paraId="350F5086" w14:textId="77777777" w:rsidR="00566727" w:rsidRDefault="00566727" w:rsidP="00A82966">
            <w:pPr>
              <w:pStyle w:val="NormalWeb"/>
              <w:spacing w:line="360" w:lineRule="auto"/>
              <w:jc w:val="center"/>
            </w:pPr>
            <w:r>
              <w:rPr>
                <w:i/>
                <w:iCs/>
                <w:color w:val="000000"/>
                <w:sz w:val="22"/>
                <w:szCs w:val="22"/>
              </w:rPr>
              <w:t>AmKir1.2</w:t>
            </w:r>
          </w:p>
        </w:tc>
        <w:tc>
          <w:tcPr>
            <w:tcW w:w="1877" w:type="pct"/>
            <w:tcBorders>
              <w:top w:val="nil"/>
              <w:left w:val="nil"/>
              <w:bottom w:val="single" w:sz="8" w:space="0" w:color="auto"/>
              <w:right w:val="nil"/>
            </w:tcBorders>
            <w:tcMar>
              <w:top w:w="0" w:type="dxa"/>
              <w:left w:w="70" w:type="dxa"/>
              <w:bottom w:w="0" w:type="dxa"/>
              <w:right w:w="70" w:type="dxa"/>
            </w:tcMar>
            <w:vAlign w:val="center"/>
            <w:hideMark/>
          </w:tcPr>
          <w:p w14:paraId="2790EDD0" w14:textId="77777777" w:rsidR="00566727" w:rsidRPr="00566727" w:rsidRDefault="00566727" w:rsidP="00A82966">
            <w:pPr>
              <w:pStyle w:val="NormalWeb"/>
              <w:spacing w:line="360" w:lineRule="auto"/>
              <w:jc w:val="center"/>
              <w:rPr>
                <w:sz w:val="18"/>
                <w:szCs w:val="18"/>
              </w:rPr>
            </w:pPr>
            <w:r w:rsidRPr="00566727">
              <w:rPr>
                <w:color w:val="000000"/>
                <w:sz w:val="18"/>
                <w:szCs w:val="18"/>
              </w:rPr>
              <w:t>AAAGATCCACTTGGGCGAGG</w:t>
            </w:r>
          </w:p>
        </w:tc>
        <w:tc>
          <w:tcPr>
            <w:tcW w:w="1666" w:type="pct"/>
            <w:tcBorders>
              <w:top w:val="nil"/>
              <w:left w:val="nil"/>
              <w:bottom w:val="single" w:sz="8" w:space="0" w:color="auto"/>
              <w:right w:val="nil"/>
            </w:tcBorders>
            <w:tcMar>
              <w:top w:w="0" w:type="dxa"/>
              <w:left w:w="70" w:type="dxa"/>
              <w:bottom w:w="0" w:type="dxa"/>
              <w:right w:w="70" w:type="dxa"/>
            </w:tcMar>
            <w:vAlign w:val="center"/>
            <w:hideMark/>
          </w:tcPr>
          <w:p w14:paraId="7E0002D3" w14:textId="77777777" w:rsidR="00566727" w:rsidRPr="00566727" w:rsidRDefault="00566727" w:rsidP="00A82966">
            <w:pPr>
              <w:pStyle w:val="NormalWeb"/>
              <w:spacing w:line="360" w:lineRule="auto"/>
              <w:jc w:val="center"/>
              <w:rPr>
                <w:sz w:val="18"/>
                <w:szCs w:val="18"/>
              </w:rPr>
            </w:pPr>
            <w:r w:rsidRPr="00566727">
              <w:rPr>
                <w:color w:val="000000"/>
                <w:sz w:val="18"/>
                <w:szCs w:val="18"/>
              </w:rPr>
              <w:t>TCGTCTGCCGGTATTTTTGC</w:t>
            </w:r>
          </w:p>
        </w:tc>
        <w:tc>
          <w:tcPr>
            <w:tcW w:w="373" w:type="pct"/>
            <w:tcBorders>
              <w:top w:val="nil"/>
              <w:left w:val="nil"/>
              <w:bottom w:val="single" w:sz="8" w:space="0" w:color="auto"/>
              <w:right w:val="nil"/>
            </w:tcBorders>
            <w:tcMar>
              <w:top w:w="0" w:type="dxa"/>
              <w:left w:w="70" w:type="dxa"/>
              <w:bottom w:w="0" w:type="dxa"/>
              <w:right w:w="70" w:type="dxa"/>
            </w:tcMar>
            <w:vAlign w:val="center"/>
            <w:hideMark/>
          </w:tcPr>
          <w:p w14:paraId="617956AE" w14:textId="77777777" w:rsidR="00566727" w:rsidRDefault="00566727" w:rsidP="00A82966">
            <w:pPr>
              <w:pStyle w:val="NormalWeb"/>
              <w:spacing w:line="360" w:lineRule="auto"/>
              <w:jc w:val="center"/>
            </w:pPr>
            <w:r>
              <w:rPr>
                <w:color w:val="000000"/>
                <w:sz w:val="22"/>
                <w:szCs w:val="22"/>
              </w:rPr>
              <w:t>63</w:t>
            </w:r>
          </w:p>
        </w:tc>
        <w:tc>
          <w:tcPr>
            <w:tcW w:w="466" w:type="pct"/>
            <w:tcBorders>
              <w:top w:val="nil"/>
              <w:left w:val="nil"/>
              <w:bottom w:val="single" w:sz="8" w:space="0" w:color="auto"/>
              <w:right w:val="nil"/>
            </w:tcBorders>
            <w:tcMar>
              <w:top w:w="0" w:type="dxa"/>
              <w:left w:w="70" w:type="dxa"/>
              <w:bottom w:w="0" w:type="dxa"/>
              <w:right w:w="70" w:type="dxa"/>
            </w:tcMar>
            <w:hideMark/>
          </w:tcPr>
          <w:p w14:paraId="06FF3F22" w14:textId="77777777" w:rsidR="00566727" w:rsidRDefault="00566727" w:rsidP="00A82966">
            <w:pPr>
              <w:pStyle w:val="NormalWeb"/>
              <w:spacing w:line="360" w:lineRule="auto"/>
              <w:jc w:val="center"/>
            </w:pPr>
            <w:r>
              <w:rPr>
                <w:color w:val="000000"/>
                <w:sz w:val="22"/>
                <w:szCs w:val="22"/>
              </w:rPr>
              <w:t>137</w:t>
            </w:r>
          </w:p>
        </w:tc>
      </w:tr>
      <w:tr w:rsidR="006D399C" w14:paraId="5B10BFDD" w14:textId="77777777" w:rsidTr="006D399C">
        <w:trPr>
          <w:trHeight w:val="241"/>
        </w:trPr>
        <w:tc>
          <w:tcPr>
            <w:tcW w:w="617" w:type="pct"/>
            <w:tcBorders>
              <w:top w:val="nil"/>
              <w:left w:val="nil"/>
              <w:bottom w:val="single" w:sz="8" w:space="0" w:color="auto"/>
              <w:right w:val="nil"/>
            </w:tcBorders>
            <w:tcMar>
              <w:top w:w="0" w:type="dxa"/>
              <w:left w:w="70" w:type="dxa"/>
              <w:bottom w:w="0" w:type="dxa"/>
              <w:right w:w="70" w:type="dxa"/>
            </w:tcMar>
            <w:vAlign w:val="center"/>
            <w:hideMark/>
          </w:tcPr>
          <w:p w14:paraId="085FCDC8" w14:textId="77777777" w:rsidR="00566727" w:rsidRDefault="00566727" w:rsidP="00A82966">
            <w:pPr>
              <w:pStyle w:val="NormalWeb"/>
              <w:spacing w:line="360" w:lineRule="auto"/>
              <w:jc w:val="center"/>
            </w:pPr>
            <w:r>
              <w:rPr>
                <w:i/>
                <w:iCs/>
                <w:color w:val="000000"/>
                <w:sz w:val="22"/>
                <w:szCs w:val="22"/>
              </w:rPr>
              <w:t>AmKir2.1</w:t>
            </w:r>
          </w:p>
        </w:tc>
        <w:tc>
          <w:tcPr>
            <w:tcW w:w="1877" w:type="pct"/>
            <w:tcBorders>
              <w:top w:val="nil"/>
              <w:left w:val="nil"/>
              <w:bottom w:val="single" w:sz="8" w:space="0" w:color="auto"/>
              <w:right w:val="nil"/>
            </w:tcBorders>
            <w:tcMar>
              <w:top w:w="0" w:type="dxa"/>
              <w:left w:w="70" w:type="dxa"/>
              <w:bottom w:w="0" w:type="dxa"/>
              <w:right w:w="70" w:type="dxa"/>
            </w:tcMar>
            <w:vAlign w:val="center"/>
            <w:hideMark/>
          </w:tcPr>
          <w:p w14:paraId="5E663132" w14:textId="77777777" w:rsidR="00566727" w:rsidRPr="00566727" w:rsidRDefault="00566727" w:rsidP="00A82966">
            <w:pPr>
              <w:pStyle w:val="NormalWeb"/>
              <w:spacing w:line="360" w:lineRule="auto"/>
              <w:jc w:val="center"/>
              <w:rPr>
                <w:sz w:val="18"/>
                <w:szCs w:val="18"/>
              </w:rPr>
            </w:pPr>
            <w:r w:rsidRPr="00566727">
              <w:rPr>
                <w:color w:val="000000"/>
                <w:sz w:val="18"/>
                <w:szCs w:val="18"/>
              </w:rPr>
              <w:t>AGCTGGAAAACGCGGGAAAA</w:t>
            </w:r>
          </w:p>
        </w:tc>
        <w:tc>
          <w:tcPr>
            <w:tcW w:w="1666" w:type="pct"/>
            <w:tcBorders>
              <w:top w:val="nil"/>
              <w:left w:val="nil"/>
              <w:bottom w:val="single" w:sz="8" w:space="0" w:color="auto"/>
              <w:right w:val="nil"/>
            </w:tcBorders>
            <w:tcMar>
              <w:top w:w="0" w:type="dxa"/>
              <w:left w:w="70" w:type="dxa"/>
              <w:bottom w:w="0" w:type="dxa"/>
              <w:right w:w="70" w:type="dxa"/>
            </w:tcMar>
            <w:vAlign w:val="center"/>
            <w:hideMark/>
          </w:tcPr>
          <w:p w14:paraId="117A2635" w14:textId="77777777" w:rsidR="00566727" w:rsidRPr="00566727" w:rsidRDefault="00566727" w:rsidP="00A82966">
            <w:pPr>
              <w:pStyle w:val="NormalWeb"/>
              <w:spacing w:line="360" w:lineRule="auto"/>
              <w:jc w:val="center"/>
              <w:rPr>
                <w:sz w:val="18"/>
                <w:szCs w:val="18"/>
              </w:rPr>
            </w:pPr>
            <w:r w:rsidRPr="00566727">
              <w:rPr>
                <w:color w:val="000000"/>
                <w:sz w:val="18"/>
                <w:szCs w:val="18"/>
              </w:rPr>
              <w:t>CACCATTCCTCGTCCCCGAA</w:t>
            </w:r>
          </w:p>
        </w:tc>
        <w:tc>
          <w:tcPr>
            <w:tcW w:w="373" w:type="pct"/>
            <w:tcBorders>
              <w:top w:val="nil"/>
              <w:left w:val="nil"/>
              <w:bottom w:val="single" w:sz="8" w:space="0" w:color="auto"/>
              <w:right w:val="nil"/>
            </w:tcBorders>
            <w:tcMar>
              <w:top w:w="0" w:type="dxa"/>
              <w:left w:w="70" w:type="dxa"/>
              <w:bottom w:w="0" w:type="dxa"/>
              <w:right w:w="70" w:type="dxa"/>
            </w:tcMar>
            <w:vAlign w:val="center"/>
            <w:hideMark/>
          </w:tcPr>
          <w:p w14:paraId="161866F8" w14:textId="77777777" w:rsidR="00566727" w:rsidRDefault="00566727" w:rsidP="00A82966">
            <w:pPr>
              <w:pStyle w:val="NormalWeb"/>
              <w:spacing w:line="360" w:lineRule="auto"/>
              <w:jc w:val="center"/>
            </w:pPr>
            <w:r>
              <w:rPr>
                <w:color w:val="000000"/>
                <w:sz w:val="22"/>
                <w:szCs w:val="22"/>
              </w:rPr>
              <w:t>58</w:t>
            </w:r>
          </w:p>
        </w:tc>
        <w:tc>
          <w:tcPr>
            <w:tcW w:w="466" w:type="pct"/>
            <w:tcBorders>
              <w:top w:val="nil"/>
              <w:left w:val="nil"/>
              <w:bottom w:val="single" w:sz="8" w:space="0" w:color="auto"/>
              <w:right w:val="nil"/>
            </w:tcBorders>
            <w:tcMar>
              <w:top w:w="0" w:type="dxa"/>
              <w:left w:w="70" w:type="dxa"/>
              <w:bottom w:w="0" w:type="dxa"/>
              <w:right w:w="70" w:type="dxa"/>
            </w:tcMar>
            <w:hideMark/>
          </w:tcPr>
          <w:p w14:paraId="4132F5E9" w14:textId="77777777" w:rsidR="00566727" w:rsidRDefault="00566727" w:rsidP="00A82966">
            <w:pPr>
              <w:pStyle w:val="NormalWeb"/>
              <w:spacing w:line="360" w:lineRule="auto"/>
              <w:jc w:val="center"/>
            </w:pPr>
            <w:r>
              <w:rPr>
                <w:color w:val="000000"/>
                <w:sz w:val="22"/>
                <w:szCs w:val="22"/>
              </w:rPr>
              <w:t>124</w:t>
            </w:r>
          </w:p>
        </w:tc>
      </w:tr>
      <w:tr w:rsidR="006D399C" w14:paraId="0B42C5C6" w14:textId="77777777" w:rsidTr="006D399C">
        <w:trPr>
          <w:trHeight w:val="141"/>
        </w:trPr>
        <w:tc>
          <w:tcPr>
            <w:tcW w:w="617" w:type="pct"/>
            <w:tcBorders>
              <w:top w:val="nil"/>
              <w:left w:val="nil"/>
              <w:bottom w:val="single" w:sz="8" w:space="0" w:color="auto"/>
              <w:right w:val="nil"/>
            </w:tcBorders>
            <w:tcMar>
              <w:top w:w="0" w:type="dxa"/>
              <w:left w:w="70" w:type="dxa"/>
              <w:bottom w:w="0" w:type="dxa"/>
              <w:right w:w="70" w:type="dxa"/>
            </w:tcMar>
            <w:vAlign w:val="center"/>
            <w:hideMark/>
          </w:tcPr>
          <w:p w14:paraId="2C9D616B" w14:textId="77777777" w:rsidR="00566727" w:rsidRDefault="00566727" w:rsidP="00A82966">
            <w:pPr>
              <w:pStyle w:val="NormalWeb"/>
              <w:spacing w:line="360" w:lineRule="auto"/>
              <w:jc w:val="center"/>
            </w:pPr>
            <w:r>
              <w:rPr>
                <w:i/>
                <w:iCs/>
                <w:color w:val="000000"/>
                <w:sz w:val="22"/>
                <w:szCs w:val="22"/>
              </w:rPr>
              <w:t>AmKir2.3</w:t>
            </w:r>
          </w:p>
        </w:tc>
        <w:tc>
          <w:tcPr>
            <w:tcW w:w="1877" w:type="pct"/>
            <w:tcBorders>
              <w:top w:val="nil"/>
              <w:left w:val="nil"/>
              <w:bottom w:val="single" w:sz="8" w:space="0" w:color="auto"/>
              <w:right w:val="nil"/>
            </w:tcBorders>
            <w:tcMar>
              <w:top w:w="0" w:type="dxa"/>
              <w:left w:w="70" w:type="dxa"/>
              <w:bottom w:w="0" w:type="dxa"/>
              <w:right w:w="70" w:type="dxa"/>
            </w:tcMar>
            <w:vAlign w:val="center"/>
            <w:hideMark/>
          </w:tcPr>
          <w:p w14:paraId="2CAF216F" w14:textId="77777777" w:rsidR="00566727" w:rsidRPr="00566727" w:rsidRDefault="00566727" w:rsidP="00A82966">
            <w:pPr>
              <w:pStyle w:val="NormalWeb"/>
              <w:spacing w:line="360" w:lineRule="auto"/>
              <w:jc w:val="center"/>
              <w:rPr>
                <w:sz w:val="18"/>
                <w:szCs w:val="18"/>
              </w:rPr>
            </w:pPr>
            <w:r w:rsidRPr="00566727">
              <w:rPr>
                <w:color w:val="000000"/>
                <w:sz w:val="18"/>
                <w:szCs w:val="18"/>
              </w:rPr>
              <w:t>CAACCCGCGCCTGTTATAGT</w:t>
            </w:r>
          </w:p>
        </w:tc>
        <w:tc>
          <w:tcPr>
            <w:tcW w:w="1666" w:type="pct"/>
            <w:tcBorders>
              <w:top w:val="nil"/>
              <w:left w:val="nil"/>
              <w:bottom w:val="single" w:sz="8" w:space="0" w:color="auto"/>
              <w:right w:val="nil"/>
            </w:tcBorders>
            <w:tcMar>
              <w:top w:w="0" w:type="dxa"/>
              <w:left w:w="70" w:type="dxa"/>
              <w:bottom w:w="0" w:type="dxa"/>
              <w:right w:w="70" w:type="dxa"/>
            </w:tcMar>
            <w:vAlign w:val="center"/>
            <w:hideMark/>
          </w:tcPr>
          <w:p w14:paraId="55A277D0" w14:textId="77777777" w:rsidR="00566727" w:rsidRPr="00566727" w:rsidRDefault="00566727" w:rsidP="00A82966">
            <w:pPr>
              <w:pStyle w:val="NormalWeb"/>
              <w:spacing w:line="360" w:lineRule="auto"/>
              <w:jc w:val="center"/>
              <w:rPr>
                <w:sz w:val="18"/>
                <w:szCs w:val="18"/>
              </w:rPr>
            </w:pPr>
            <w:r w:rsidRPr="00566727">
              <w:rPr>
                <w:color w:val="000000"/>
                <w:sz w:val="18"/>
                <w:szCs w:val="18"/>
              </w:rPr>
              <w:t>CGGTACCGACTCCTGCTTC</w:t>
            </w:r>
          </w:p>
        </w:tc>
        <w:tc>
          <w:tcPr>
            <w:tcW w:w="373" w:type="pct"/>
            <w:tcBorders>
              <w:top w:val="nil"/>
              <w:left w:val="nil"/>
              <w:bottom w:val="single" w:sz="8" w:space="0" w:color="auto"/>
              <w:right w:val="nil"/>
            </w:tcBorders>
            <w:tcMar>
              <w:top w:w="0" w:type="dxa"/>
              <w:left w:w="70" w:type="dxa"/>
              <w:bottom w:w="0" w:type="dxa"/>
              <w:right w:w="70" w:type="dxa"/>
            </w:tcMar>
            <w:vAlign w:val="center"/>
            <w:hideMark/>
          </w:tcPr>
          <w:p w14:paraId="54DB5442" w14:textId="77777777" w:rsidR="00566727" w:rsidRDefault="00566727" w:rsidP="00A82966">
            <w:pPr>
              <w:pStyle w:val="NormalWeb"/>
              <w:spacing w:line="360" w:lineRule="auto"/>
              <w:jc w:val="center"/>
            </w:pPr>
            <w:r>
              <w:rPr>
                <w:color w:val="000000"/>
                <w:sz w:val="22"/>
                <w:szCs w:val="22"/>
              </w:rPr>
              <w:t>63</w:t>
            </w:r>
          </w:p>
        </w:tc>
        <w:tc>
          <w:tcPr>
            <w:tcW w:w="466" w:type="pct"/>
            <w:tcBorders>
              <w:top w:val="nil"/>
              <w:left w:val="nil"/>
              <w:bottom w:val="single" w:sz="8" w:space="0" w:color="auto"/>
              <w:right w:val="nil"/>
            </w:tcBorders>
            <w:tcMar>
              <w:top w:w="0" w:type="dxa"/>
              <w:left w:w="70" w:type="dxa"/>
              <w:bottom w:w="0" w:type="dxa"/>
              <w:right w:w="70" w:type="dxa"/>
            </w:tcMar>
            <w:hideMark/>
          </w:tcPr>
          <w:p w14:paraId="7D3C3ED1" w14:textId="77777777" w:rsidR="00566727" w:rsidRDefault="00566727" w:rsidP="00A82966">
            <w:pPr>
              <w:pStyle w:val="NormalWeb"/>
              <w:spacing w:line="360" w:lineRule="auto"/>
              <w:jc w:val="center"/>
            </w:pPr>
            <w:r>
              <w:rPr>
                <w:color w:val="000000"/>
                <w:sz w:val="22"/>
                <w:szCs w:val="22"/>
              </w:rPr>
              <w:t>71</w:t>
            </w:r>
          </w:p>
        </w:tc>
      </w:tr>
      <w:tr w:rsidR="006D399C" w14:paraId="700A9370" w14:textId="77777777" w:rsidTr="006D399C">
        <w:trPr>
          <w:trHeight w:val="112"/>
        </w:trPr>
        <w:tc>
          <w:tcPr>
            <w:tcW w:w="617" w:type="pct"/>
            <w:tcBorders>
              <w:top w:val="nil"/>
              <w:left w:val="nil"/>
              <w:bottom w:val="single" w:sz="8" w:space="0" w:color="auto"/>
              <w:right w:val="nil"/>
            </w:tcBorders>
            <w:tcMar>
              <w:top w:w="0" w:type="dxa"/>
              <w:left w:w="70" w:type="dxa"/>
              <w:bottom w:w="0" w:type="dxa"/>
              <w:right w:w="70" w:type="dxa"/>
            </w:tcMar>
            <w:vAlign w:val="center"/>
            <w:hideMark/>
          </w:tcPr>
          <w:p w14:paraId="1BA9FB7F" w14:textId="77777777" w:rsidR="00566727" w:rsidRDefault="00566727" w:rsidP="00A82966">
            <w:pPr>
              <w:pStyle w:val="NormalWeb"/>
              <w:spacing w:line="360" w:lineRule="auto"/>
              <w:jc w:val="center"/>
            </w:pPr>
            <w:r>
              <w:rPr>
                <w:i/>
                <w:iCs/>
                <w:color w:val="000000"/>
                <w:sz w:val="22"/>
                <w:szCs w:val="22"/>
              </w:rPr>
              <w:t>AmKir2.4</w:t>
            </w:r>
          </w:p>
        </w:tc>
        <w:tc>
          <w:tcPr>
            <w:tcW w:w="1877" w:type="pct"/>
            <w:tcBorders>
              <w:top w:val="nil"/>
              <w:left w:val="nil"/>
              <w:bottom w:val="single" w:sz="8" w:space="0" w:color="auto"/>
              <w:right w:val="nil"/>
            </w:tcBorders>
            <w:tcMar>
              <w:top w:w="0" w:type="dxa"/>
              <w:left w:w="70" w:type="dxa"/>
              <w:bottom w:w="0" w:type="dxa"/>
              <w:right w:w="70" w:type="dxa"/>
            </w:tcMar>
            <w:vAlign w:val="center"/>
            <w:hideMark/>
          </w:tcPr>
          <w:p w14:paraId="63220450" w14:textId="77777777" w:rsidR="00566727" w:rsidRPr="00566727" w:rsidRDefault="00566727" w:rsidP="00A82966">
            <w:pPr>
              <w:pStyle w:val="NormalWeb"/>
              <w:spacing w:line="360" w:lineRule="auto"/>
              <w:jc w:val="center"/>
              <w:rPr>
                <w:sz w:val="18"/>
                <w:szCs w:val="18"/>
              </w:rPr>
            </w:pPr>
            <w:r w:rsidRPr="00566727">
              <w:rPr>
                <w:color w:val="000000"/>
                <w:sz w:val="18"/>
                <w:szCs w:val="18"/>
              </w:rPr>
              <w:t>GCGGAGAAATCCATCGAGTC</w:t>
            </w:r>
          </w:p>
        </w:tc>
        <w:tc>
          <w:tcPr>
            <w:tcW w:w="1666" w:type="pct"/>
            <w:tcBorders>
              <w:top w:val="nil"/>
              <w:left w:val="nil"/>
              <w:bottom w:val="single" w:sz="8" w:space="0" w:color="auto"/>
              <w:right w:val="nil"/>
            </w:tcBorders>
            <w:tcMar>
              <w:top w:w="0" w:type="dxa"/>
              <w:left w:w="70" w:type="dxa"/>
              <w:bottom w:w="0" w:type="dxa"/>
              <w:right w:w="70" w:type="dxa"/>
            </w:tcMar>
            <w:vAlign w:val="center"/>
            <w:hideMark/>
          </w:tcPr>
          <w:p w14:paraId="2B0C4E5A" w14:textId="77777777" w:rsidR="00566727" w:rsidRPr="00566727" w:rsidRDefault="00566727" w:rsidP="00A82966">
            <w:pPr>
              <w:pStyle w:val="NormalWeb"/>
              <w:spacing w:line="360" w:lineRule="auto"/>
              <w:jc w:val="center"/>
              <w:rPr>
                <w:sz w:val="18"/>
                <w:szCs w:val="18"/>
              </w:rPr>
            </w:pPr>
            <w:r w:rsidRPr="00566727">
              <w:rPr>
                <w:color w:val="000000"/>
                <w:sz w:val="18"/>
                <w:szCs w:val="18"/>
              </w:rPr>
              <w:t>GAAGCTCAGGCTGAAGCAGA</w:t>
            </w:r>
          </w:p>
        </w:tc>
        <w:tc>
          <w:tcPr>
            <w:tcW w:w="373" w:type="pct"/>
            <w:tcBorders>
              <w:top w:val="nil"/>
              <w:left w:val="nil"/>
              <w:bottom w:val="single" w:sz="8" w:space="0" w:color="auto"/>
              <w:right w:val="nil"/>
            </w:tcBorders>
            <w:tcMar>
              <w:top w:w="0" w:type="dxa"/>
              <w:left w:w="70" w:type="dxa"/>
              <w:bottom w:w="0" w:type="dxa"/>
              <w:right w:w="70" w:type="dxa"/>
            </w:tcMar>
            <w:vAlign w:val="center"/>
            <w:hideMark/>
          </w:tcPr>
          <w:p w14:paraId="12268BA5" w14:textId="77777777" w:rsidR="00566727" w:rsidRDefault="00566727" w:rsidP="00A82966">
            <w:pPr>
              <w:pStyle w:val="NormalWeb"/>
              <w:spacing w:line="360" w:lineRule="auto"/>
              <w:jc w:val="center"/>
            </w:pPr>
            <w:r>
              <w:rPr>
                <w:color w:val="000000"/>
                <w:sz w:val="22"/>
                <w:szCs w:val="22"/>
              </w:rPr>
              <w:t>63</w:t>
            </w:r>
          </w:p>
        </w:tc>
        <w:tc>
          <w:tcPr>
            <w:tcW w:w="466" w:type="pct"/>
            <w:tcBorders>
              <w:top w:val="nil"/>
              <w:left w:val="nil"/>
              <w:bottom w:val="single" w:sz="8" w:space="0" w:color="auto"/>
              <w:right w:val="nil"/>
            </w:tcBorders>
            <w:tcMar>
              <w:top w:w="0" w:type="dxa"/>
              <w:left w:w="70" w:type="dxa"/>
              <w:bottom w:w="0" w:type="dxa"/>
              <w:right w:w="70" w:type="dxa"/>
            </w:tcMar>
            <w:hideMark/>
          </w:tcPr>
          <w:p w14:paraId="6BC7EE37" w14:textId="77777777" w:rsidR="00566727" w:rsidRDefault="00566727" w:rsidP="00A82966">
            <w:pPr>
              <w:pStyle w:val="NormalWeb"/>
              <w:spacing w:line="360" w:lineRule="auto"/>
              <w:jc w:val="center"/>
            </w:pPr>
            <w:r>
              <w:rPr>
                <w:color w:val="000000"/>
                <w:sz w:val="22"/>
                <w:szCs w:val="22"/>
              </w:rPr>
              <w:t>196</w:t>
            </w:r>
          </w:p>
        </w:tc>
      </w:tr>
      <w:tr w:rsidR="006D399C" w14:paraId="5CB12A85" w14:textId="77777777" w:rsidTr="006D399C">
        <w:trPr>
          <w:trHeight w:val="13"/>
        </w:trPr>
        <w:tc>
          <w:tcPr>
            <w:tcW w:w="617" w:type="pct"/>
            <w:tcBorders>
              <w:top w:val="nil"/>
              <w:left w:val="nil"/>
              <w:bottom w:val="single" w:sz="8" w:space="0" w:color="auto"/>
              <w:right w:val="nil"/>
            </w:tcBorders>
            <w:tcMar>
              <w:top w:w="0" w:type="dxa"/>
              <w:left w:w="70" w:type="dxa"/>
              <w:bottom w:w="0" w:type="dxa"/>
              <w:right w:w="70" w:type="dxa"/>
            </w:tcMar>
            <w:vAlign w:val="center"/>
            <w:hideMark/>
          </w:tcPr>
          <w:p w14:paraId="60C71969" w14:textId="77777777" w:rsidR="00566727" w:rsidRDefault="00566727" w:rsidP="00A82966">
            <w:pPr>
              <w:pStyle w:val="NormalWeb"/>
              <w:spacing w:line="360" w:lineRule="auto"/>
              <w:jc w:val="center"/>
            </w:pPr>
            <w:r>
              <w:rPr>
                <w:i/>
                <w:iCs/>
                <w:color w:val="000000"/>
                <w:sz w:val="22"/>
                <w:szCs w:val="22"/>
              </w:rPr>
              <w:t>GAPDH</w:t>
            </w:r>
          </w:p>
        </w:tc>
        <w:tc>
          <w:tcPr>
            <w:tcW w:w="1877" w:type="pct"/>
            <w:tcBorders>
              <w:top w:val="nil"/>
              <w:left w:val="nil"/>
              <w:bottom w:val="single" w:sz="8" w:space="0" w:color="auto"/>
              <w:right w:val="nil"/>
            </w:tcBorders>
            <w:tcMar>
              <w:top w:w="0" w:type="dxa"/>
              <w:left w:w="70" w:type="dxa"/>
              <w:bottom w:w="0" w:type="dxa"/>
              <w:right w:w="70" w:type="dxa"/>
            </w:tcMar>
            <w:vAlign w:val="center"/>
            <w:hideMark/>
          </w:tcPr>
          <w:p w14:paraId="5126B65F" w14:textId="77777777" w:rsidR="00566727" w:rsidRPr="00566727" w:rsidRDefault="00566727" w:rsidP="00A82966">
            <w:pPr>
              <w:pStyle w:val="NormalWeb"/>
              <w:spacing w:line="360" w:lineRule="auto"/>
              <w:jc w:val="center"/>
              <w:rPr>
                <w:sz w:val="18"/>
                <w:szCs w:val="18"/>
              </w:rPr>
            </w:pPr>
            <w:r w:rsidRPr="00566727">
              <w:rPr>
                <w:color w:val="000000"/>
                <w:sz w:val="18"/>
                <w:szCs w:val="18"/>
              </w:rPr>
              <w:t>CACCTTCTGCAAAATTATGGCG</w:t>
            </w:r>
          </w:p>
        </w:tc>
        <w:tc>
          <w:tcPr>
            <w:tcW w:w="1666" w:type="pct"/>
            <w:tcBorders>
              <w:top w:val="nil"/>
              <w:left w:val="nil"/>
              <w:bottom w:val="single" w:sz="8" w:space="0" w:color="auto"/>
              <w:right w:val="nil"/>
            </w:tcBorders>
            <w:tcMar>
              <w:top w:w="0" w:type="dxa"/>
              <w:left w:w="70" w:type="dxa"/>
              <w:bottom w:w="0" w:type="dxa"/>
              <w:right w:w="70" w:type="dxa"/>
            </w:tcMar>
            <w:vAlign w:val="center"/>
            <w:hideMark/>
          </w:tcPr>
          <w:p w14:paraId="552F438F" w14:textId="77777777" w:rsidR="00566727" w:rsidRPr="00566727" w:rsidRDefault="00566727" w:rsidP="00A82966">
            <w:pPr>
              <w:pStyle w:val="NormalWeb"/>
              <w:spacing w:line="360" w:lineRule="auto"/>
              <w:jc w:val="center"/>
              <w:rPr>
                <w:sz w:val="18"/>
                <w:szCs w:val="18"/>
              </w:rPr>
            </w:pPr>
            <w:r w:rsidRPr="00566727">
              <w:rPr>
                <w:color w:val="000000"/>
                <w:sz w:val="18"/>
                <w:szCs w:val="18"/>
              </w:rPr>
              <w:t>ACCTTTGCCAAGTCTAACTGTTAA</w:t>
            </w:r>
          </w:p>
        </w:tc>
        <w:tc>
          <w:tcPr>
            <w:tcW w:w="373" w:type="pct"/>
            <w:tcBorders>
              <w:top w:val="nil"/>
              <w:left w:val="nil"/>
              <w:bottom w:val="single" w:sz="8" w:space="0" w:color="auto"/>
              <w:right w:val="nil"/>
            </w:tcBorders>
            <w:tcMar>
              <w:top w:w="0" w:type="dxa"/>
              <w:left w:w="70" w:type="dxa"/>
              <w:bottom w:w="0" w:type="dxa"/>
              <w:right w:w="70" w:type="dxa"/>
            </w:tcMar>
            <w:vAlign w:val="center"/>
            <w:hideMark/>
          </w:tcPr>
          <w:p w14:paraId="113FB81E" w14:textId="77777777" w:rsidR="00566727" w:rsidRDefault="00566727" w:rsidP="00A82966">
            <w:pPr>
              <w:pStyle w:val="NormalWeb"/>
              <w:spacing w:line="360" w:lineRule="auto"/>
              <w:jc w:val="center"/>
            </w:pPr>
            <w:r>
              <w:rPr>
                <w:color w:val="000000"/>
                <w:sz w:val="22"/>
                <w:szCs w:val="22"/>
              </w:rPr>
              <w:t>58</w:t>
            </w:r>
          </w:p>
        </w:tc>
        <w:tc>
          <w:tcPr>
            <w:tcW w:w="466" w:type="pct"/>
            <w:tcBorders>
              <w:top w:val="nil"/>
              <w:left w:val="nil"/>
              <w:bottom w:val="single" w:sz="8" w:space="0" w:color="auto"/>
              <w:right w:val="nil"/>
            </w:tcBorders>
            <w:tcMar>
              <w:top w:w="0" w:type="dxa"/>
              <w:left w:w="70" w:type="dxa"/>
              <w:bottom w:w="0" w:type="dxa"/>
              <w:right w:w="70" w:type="dxa"/>
            </w:tcMar>
            <w:hideMark/>
          </w:tcPr>
          <w:p w14:paraId="54871157" w14:textId="77777777" w:rsidR="00566727" w:rsidRDefault="00566727" w:rsidP="00A82966">
            <w:pPr>
              <w:pStyle w:val="NormalWeb"/>
              <w:spacing w:line="360" w:lineRule="auto"/>
              <w:jc w:val="center"/>
            </w:pPr>
            <w:r>
              <w:rPr>
                <w:color w:val="000000"/>
                <w:sz w:val="22"/>
                <w:szCs w:val="22"/>
              </w:rPr>
              <w:t>188</w:t>
            </w:r>
          </w:p>
        </w:tc>
      </w:tr>
      <w:tr w:rsidR="006D399C" w14:paraId="49E97921" w14:textId="77777777" w:rsidTr="006D399C">
        <w:trPr>
          <w:trHeight w:val="186"/>
        </w:trPr>
        <w:tc>
          <w:tcPr>
            <w:tcW w:w="617" w:type="pct"/>
            <w:tcBorders>
              <w:top w:val="nil"/>
              <w:left w:val="nil"/>
              <w:bottom w:val="single" w:sz="8" w:space="0" w:color="auto"/>
              <w:right w:val="nil"/>
            </w:tcBorders>
            <w:tcMar>
              <w:top w:w="0" w:type="dxa"/>
              <w:left w:w="70" w:type="dxa"/>
              <w:bottom w:w="0" w:type="dxa"/>
              <w:right w:w="70" w:type="dxa"/>
            </w:tcMar>
            <w:vAlign w:val="center"/>
            <w:hideMark/>
          </w:tcPr>
          <w:p w14:paraId="13B90A15" w14:textId="77777777" w:rsidR="00566727" w:rsidRDefault="00566727" w:rsidP="00A82966">
            <w:pPr>
              <w:pStyle w:val="NormalWeb"/>
              <w:spacing w:line="360" w:lineRule="auto"/>
              <w:jc w:val="center"/>
            </w:pPr>
            <w:r>
              <w:rPr>
                <w:i/>
                <w:iCs/>
                <w:color w:val="000000"/>
                <w:sz w:val="22"/>
                <w:szCs w:val="22"/>
              </w:rPr>
              <w:t>RPS18</w:t>
            </w:r>
          </w:p>
        </w:tc>
        <w:tc>
          <w:tcPr>
            <w:tcW w:w="1877" w:type="pct"/>
            <w:tcBorders>
              <w:top w:val="nil"/>
              <w:left w:val="nil"/>
              <w:bottom w:val="single" w:sz="8" w:space="0" w:color="auto"/>
              <w:right w:val="nil"/>
            </w:tcBorders>
            <w:tcMar>
              <w:top w:w="0" w:type="dxa"/>
              <w:left w:w="70" w:type="dxa"/>
              <w:bottom w:w="0" w:type="dxa"/>
              <w:right w:w="70" w:type="dxa"/>
            </w:tcMar>
            <w:vAlign w:val="center"/>
            <w:hideMark/>
          </w:tcPr>
          <w:p w14:paraId="3CC49255" w14:textId="77777777" w:rsidR="00566727" w:rsidRPr="00566727" w:rsidRDefault="00566727" w:rsidP="00A82966">
            <w:pPr>
              <w:pStyle w:val="NormalWeb"/>
              <w:spacing w:line="360" w:lineRule="auto"/>
              <w:jc w:val="center"/>
              <w:rPr>
                <w:sz w:val="18"/>
                <w:szCs w:val="18"/>
              </w:rPr>
            </w:pPr>
            <w:r w:rsidRPr="00566727">
              <w:rPr>
                <w:color w:val="000000"/>
                <w:sz w:val="18"/>
                <w:szCs w:val="18"/>
              </w:rPr>
              <w:t>GATTCCCGATTGGTTTTTGAATAG</w:t>
            </w:r>
          </w:p>
        </w:tc>
        <w:tc>
          <w:tcPr>
            <w:tcW w:w="1666" w:type="pct"/>
            <w:tcBorders>
              <w:top w:val="nil"/>
              <w:left w:val="nil"/>
              <w:bottom w:val="single" w:sz="8" w:space="0" w:color="auto"/>
              <w:right w:val="nil"/>
            </w:tcBorders>
            <w:tcMar>
              <w:top w:w="0" w:type="dxa"/>
              <w:left w:w="70" w:type="dxa"/>
              <w:bottom w:w="0" w:type="dxa"/>
              <w:right w:w="70" w:type="dxa"/>
            </w:tcMar>
            <w:vAlign w:val="center"/>
            <w:hideMark/>
          </w:tcPr>
          <w:p w14:paraId="5C2EA463" w14:textId="77777777" w:rsidR="00566727" w:rsidRPr="00566727" w:rsidRDefault="00566727" w:rsidP="00A82966">
            <w:pPr>
              <w:pStyle w:val="NormalWeb"/>
              <w:spacing w:line="360" w:lineRule="auto"/>
              <w:jc w:val="center"/>
              <w:rPr>
                <w:sz w:val="18"/>
                <w:szCs w:val="18"/>
              </w:rPr>
            </w:pPr>
            <w:r w:rsidRPr="00566727">
              <w:rPr>
                <w:color w:val="000000"/>
                <w:sz w:val="18"/>
                <w:szCs w:val="18"/>
              </w:rPr>
              <w:t>AACCCCAATAATGACGCAAACC</w:t>
            </w:r>
          </w:p>
        </w:tc>
        <w:tc>
          <w:tcPr>
            <w:tcW w:w="373" w:type="pct"/>
            <w:tcBorders>
              <w:top w:val="nil"/>
              <w:left w:val="nil"/>
              <w:bottom w:val="single" w:sz="8" w:space="0" w:color="auto"/>
              <w:right w:val="nil"/>
            </w:tcBorders>
            <w:tcMar>
              <w:top w:w="0" w:type="dxa"/>
              <w:left w:w="70" w:type="dxa"/>
              <w:bottom w:w="0" w:type="dxa"/>
              <w:right w:w="70" w:type="dxa"/>
            </w:tcMar>
            <w:vAlign w:val="center"/>
            <w:hideMark/>
          </w:tcPr>
          <w:p w14:paraId="04655E2F" w14:textId="77777777" w:rsidR="00566727" w:rsidRDefault="00566727" w:rsidP="00A82966">
            <w:pPr>
              <w:pStyle w:val="NormalWeb"/>
              <w:spacing w:line="360" w:lineRule="auto"/>
              <w:jc w:val="center"/>
            </w:pPr>
            <w:r>
              <w:rPr>
                <w:color w:val="000000"/>
                <w:sz w:val="22"/>
                <w:szCs w:val="22"/>
              </w:rPr>
              <w:t>58</w:t>
            </w:r>
          </w:p>
        </w:tc>
        <w:tc>
          <w:tcPr>
            <w:tcW w:w="466" w:type="pct"/>
            <w:tcBorders>
              <w:top w:val="nil"/>
              <w:left w:val="nil"/>
              <w:bottom w:val="single" w:sz="8" w:space="0" w:color="auto"/>
              <w:right w:val="nil"/>
            </w:tcBorders>
            <w:tcMar>
              <w:top w:w="0" w:type="dxa"/>
              <w:left w:w="70" w:type="dxa"/>
              <w:bottom w:w="0" w:type="dxa"/>
              <w:right w:w="70" w:type="dxa"/>
            </w:tcMar>
            <w:hideMark/>
          </w:tcPr>
          <w:p w14:paraId="3FDAD9FC" w14:textId="77777777" w:rsidR="00566727" w:rsidRDefault="00566727" w:rsidP="00A82966">
            <w:pPr>
              <w:pStyle w:val="NormalWeb"/>
              <w:spacing w:line="360" w:lineRule="auto"/>
              <w:jc w:val="center"/>
            </w:pPr>
            <w:r>
              <w:rPr>
                <w:color w:val="000000"/>
                <w:sz w:val="22"/>
                <w:szCs w:val="22"/>
              </w:rPr>
              <w:t>152</w:t>
            </w:r>
          </w:p>
        </w:tc>
      </w:tr>
    </w:tbl>
    <w:p w14:paraId="0B2EA465" w14:textId="59A42956" w:rsidR="002E2B11" w:rsidRPr="006D399C" w:rsidRDefault="00566727" w:rsidP="00566727">
      <w:pPr>
        <w:pStyle w:val="elementtoproof"/>
        <w:spacing w:line="360" w:lineRule="auto"/>
        <w:jc w:val="both"/>
        <w:rPr>
          <w:color w:val="000000"/>
          <w:sz w:val="22"/>
          <w:szCs w:val="22"/>
          <w:lang w:val="en-GB"/>
        </w:rPr>
      </w:pPr>
      <w:r w:rsidRPr="006D399C">
        <w:rPr>
          <w:color w:val="000000"/>
          <w:sz w:val="22"/>
          <w:szCs w:val="22"/>
          <w:lang w:val="en-GB"/>
        </w:rPr>
        <w:t>Tm: melting temperature.</w:t>
      </w:r>
    </w:p>
    <w:p w14:paraId="71D74355" w14:textId="77777777" w:rsidR="00566727" w:rsidRPr="006D399C" w:rsidRDefault="00566727" w:rsidP="00566727">
      <w:pPr>
        <w:pStyle w:val="elementtoproof"/>
        <w:spacing w:line="360" w:lineRule="auto"/>
        <w:jc w:val="both"/>
        <w:rPr>
          <w:lang w:val="en-GB"/>
        </w:rPr>
      </w:pPr>
    </w:p>
    <w:p w14:paraId="0E5900CA" w14:textId="7A710C16" w:rsidR="004A7949" w:rsidRDefault="002E2B11" w:rsidP="004A7949">
      <w:pPr>
        <w:spacing w:line="360" w:lineRule="auto"/>
        <w:jc w:val="both"/>
        <w:rPr>
          <w:rFonts w:ascii="Times New Roman" w:hAnsi="Times New Roman" w:cs="Times New Roman"/>
          <w:b/>
          <w:bCs/>
          <w:sz w:val="24"/>
          <w:szCs w:val="24"/>
          <w:lang w:val="en-US"/>
        </w:rPr>
      </w:pPr>
      <w:r w:rsidRPr="002E2B11">
        <w:rPr>
          <w:rFonts w:ascii="Times New Roman" w:hAnsi="Times New Roman" w:cs="Times New Roman"/>
          <w:b/>
          <w:bCs/>
          <w:sz w:val="24"/>
          <w:szCs w:val="24"/>
          <w:lang w:val="en-US"/>
        </w:rPr>
        <w:t>Figure legends:</w:t>
      </w:r>
    </w:p>
    <w:p w14:paraId="5F2063F0" w14:textId="5549E167" w:rsidR="004A7949" w:rsidRPr="002E2B11" w:rsidRDefault="004A7949" w:rsidP="004A7949">
      <w:pPr>
        <w:spacing w:line="360" w:lineRule="auto"/>
        <w:jc w:val="both"/>
        <w:rPr>
          <w:rFonts w:ascii="Times New Roman" w:eastAsia="Calibri" w:hAnsi="Times New Roman" w:cs="Times New Roman"/>
          <w:sz w:val="24"/>
          <w:szCs w:val="24"/>
          <w:lang w:val="en-US"/>
        </w:rPr>
      </w:pPr>
      <w:r w:rsidRPr="002E2B11">
        <w:rPr>
          <w:rFonts w:ascii="Times New Roman" w:eastAsia="Calibri" w:hAnsi="Times New Roman" w:cs="Times New Roman"/>
          <w:b/>
          <w:bCs/>
          <w:sz w:val="24"/>
          <w:szCs w:val="24"/>
          <w:lang w:val="en-US"/>
        </w:rPr>
        <w:t>Figure S</w:t>
      </w:r>
      <w:r>
        <w:rPr>
          <w:rFonts w:ascii="Times New Roman" w:eastAsia="Calibri" w:hAnsi="Times New Roman" w:cs="Times New Roman"/>
          <w:b/>
          <w:bCs/>
          <w:sz w:val="24"/>
          <w:szCs w:val="24"/>
          <w:lang w:val="en-US"/>
        </w:rPr>
        <w:t>1</w:t>
      </w:r>
      <w:r w:rsidRPr="002E2B11">
        <w:rPr>
          <w:rFonts w:ascii="Times New Roman" w:eastAsia="Calibri" w:hAnsi="Times New Roman" w:cs="Times New Roman"/>
          <w:b/>
          <w:bCs/>
          <w:sz w:val="24"/>
          <w:szCs w:val="24"/>
          <w:lang w:val="en-US"/>
        </w:rPr>
        <w:t xml:space="preserve">: </w:t>
      </w:r>
      <w:r w:rsidRPr="002E2B11">
        <w:rPr>
          <w:rFonts w:ascii="Times New Roman" w:eastAsia="Calibri" w:hAnsi="Times New Roman" w:cs="Times New Roman"/>
          <w:sz w:val="24"/>
          <w:szCs w:val="24"/>
          <w:lang w:val="en-US"/>
        </w:rPr>
        <w:t>Sequence alignment of the four AmKir2 channel isoforms. Blue: identical sequences shared by all channels. Green and yellow: specific sequences of AmKir2.3 and AmKir2.4, respectively.</w:t>
      </w:r>
    </w:p>
    <w:p w14:paraId="5682FEAD" w14:textId="77777777" w:rsidR="004A7949" w:rsidRDefault="004A7949" w:rsidP="002E2B11">
      <w:pPr>
        <w:spacing w:line="360" w:lineRule="auto"/>
        <w:jc w:val="both"/>
        <w:rPr>
          <w:rFonts w:ascii="Times New Roman" w:eastAsia="Calibri" w:hAnsi="Times New Roman" w:cs="Times New Roman"/>
          <w:b/>
          <w:bCs/>
          <w:sz w:val="24"/>
          <w:szCs w:val="24"/>
          <w:lang w:val="en-US"/>
        </w:rPr>
      </w:pPr>
    </w:p>
    <w:p w14:paraId="221E60A1" w14:textId="07800D18" w:rsidR="002E2B11" w:rsidRPr="002E2B11" w:rsidRDefault="002E2B11" w:rsidP="002E2B11">
      <w:pPr>
        <w:spacing w:line="360" w:lineRule="auto"/>
        <w:jc w:val="both"/>
        <w:rPr>
          <w:rFonts w:ascii="Times New Roman" w:eastAsia="Calibri" w:hAnsi="Times New Roman" w:cs="Times New Roman"/>
          <w:sz w:val="24"/>
          <w:szCs w:val="24"/>
          <w:lang w:val="en-US"/>
        </w:rPr>
      </w:pPr>
      <w:r w:rsidRPr="002E2B11">
        <w:rPr>
          <w:rFonts w:ascii="Times New Roman" w:eastAsia="Calibri" w:hAnsi="Times New Roman" w:cs="Times New Roman"/>
          <w:b/>
          <w:bCs/>
          <w:sz w:val="24"/>
          <w:szCs w:val="24"/>
          <w:lang w:val="en-US"/>
        </w:rPr>
        <w:lastRenderedPageBreak/>
        <w:t>Figure S</w:t>
      </w:r>
      <w:r w:rsidR="004A7949">
        <w:rPr>
          <w:rFonts w:ascii="Times New Roman" w:eastAsia="Calibri" w:hAnsi="Times New Roman" w:cs="Times New Roman"/>
          <w:b/>
          <w:bCs/>
          <w:sz w:val="24"/>
          <w:szCs w:val="24"/>
          <w:lang w:val="en-US"/>
        </w:rPr>
        <w:t>2</w:t>
      </w:r>
      <w:r w:rsidRPr="002E2B11">
        <w:rPr>
          <w:rFonts w:ascii="Times New Roman" w:eastAsia="Calibri" w:hAnsi="Times New Roman" w:cs="Times New Roman"/>
          <w:b/>
          <w:bCs/>
          <w:sz w:val="24"/>
          <w:szCs w:val="24"/>
          <w:lang w:val="en-US"/>
        </w:rPr>
        <w:t xml:space="preserve">: </w:t>
      </w:r>
      <w:r w:rsidR="0051045F" w:rsidRPr="00D73ABE">
        <w:rPr>
          <w:rFonts w:ascii="Times New Roman" w:eastAsia="Calibri" w:hAnsi="Times New Roman" w:cs="Times New Roman"/>
          <w:sz w:val="24"/>
          <w:szCs w:val="24"/>
          <w:lang w:val="en-US"/>
        </w:rPr>
        <w:t xml:space="preserve">Quantitative representation of fold change values of qPCR of AmKir channels in regards of two reference genes, GAPGH and RPS18, and normalized to muscle in different organs and developmental stages of </w:t>
      </w:r>
      <w:r w:rsidR="0051045F" w:rsidRPr="00D73ABE">
        <w:rPr>
          <w:rFonts w:ascii="Times New Roman" w:eastAsia="Calibri" w:hAnsi="Times New Roman" w:cs="Times New Roman"/>
          <w:i/>
          <w:iCs/>
          <w:sz w:val="24"/>
          <w:szCs w:val="24"/>
          <w:lang w:val="en-US"/>
        </w:rPr>
        <w:t>Apis mellifera</w:t>
      </w:r>
      <w:r w:rsidR="0051045F" w:rsidRPr="00D73ABE">
        <w:rPr>
          <w:rFonts w:ascii="Times New Roman" w:eastAsia="Calibri" w:hAnsi="Times New Roman" w:cs="Times New Roman"/>
          <w:sz w:val="24"/>
          <w:szCs w:val="24"/>
          <w:lang w:val="en-US"/>
        </w:rPr>
        <w:t>. Abbreviations: LE: legs, LA: larvae, HE: heads, BR: brains, GAG: ganglia, GU: guts, MU: muscles, ANT: antennae. Data were normalized to MU.</w:t>
      </w:r>
    </w:p>
    <w:p w14:paraId="582687F1" w14:textId="77777777" w:rsidR="002E2B11" w:rsidRPr="002E2B11" w:rsidRDefault="002E2B11" w:rsidP="002E2B11">
      <w:pPr>
        <w:rPr>
          <w:lang w:val="en-US"/>
        </w:rPr>
      </w:pPr>
    </w:p>
    <w:sectPr w:rsidR="002E2B11" w:rsidRPr="002E2B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B11"/>
    <w:rsid w:val="002E2B11"/>
    <w:rsid w:val="00454321"/>
    <w:rsid w:val="004A7949"/>
    <w:rsid w:val="0051045F"/>
    <w:rsid w:val="00566727"/>
    <w:rsid w:val="005A7FCB"/>
    <w:rsid w:val="006D399C"/>
    <w:rsid w:val="00D73ABE"/>
    <w:rsid w:val="00DE4FB1"/>
    <w:rsid w:val="00F83A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7FF07"/>
  <w15:chartTrackingRefBased/>
  <w15:docId w15:val="{D3AE99D4-3F9F-4CCE-B0BC-6452A3FE7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E2B1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customStyle="1" w:styleId="elementtoproof">
    <w:name w:val="elementtoproof"/>
    <w:basedOn w:val="Normal"/>
    <w:uiPriority w:val="99"/>
    <w:semiHidden/>
    <w:rsid w:val="00566727"/>
    <w:pPr>
      <w:spacing w:after="0" w:line="240" w:lineRule="auto"/>
    </w:pPr>
    <w:rPr>
      <w:rFonts w:ascii="Times New Roman" w:hAnsi="Times New Roman" w:cs="Times New Roman"/>
      <w:kern w:val="0"/>
      <w:sz w:val="24"/>
      <w:szCs w:val="24"/>
      <w:lang w:val="fr-CA" w:eastAsia="fr-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345</Words>
  <Characters>1901</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Fabien Sourisseau</dc:creator>
  <cp:keywords/>
  <dc:description/>
  <cp:lastModifiedBy>Mohamed Chahine</cp:lastModifiedBy>
  <cp:revision>3</cp:revision>
  <dcterms:created xsi:type="dcterms:W3CDTF">2024-03-14T16:43:00Z</dcterms:created>
  <dcterms:modified xsi:type="dcterms:W3CDTF">2024-03-14T18:58:00Z</dcterms:modified>
</cp:coreProperties>
</file>