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43018" w14:textId="77777777" w:rsidR="000D4C83" w:rsidRPr="00342377" w:rsidRDefault="000D4C83" w:rsidP="000D4C83">
      <w:pPr>
        <w:spacing w:line="480" w:lineRule="auto"/>
        <w:rPr>
          <w:rFonts w:ascii="Times New Roman" w:hAnsi="Times New Roman" w:cs="Times New Roman"/>
          <w:b/>
          <w:bCs/>
          <w:color w:val="C00000"/>
          <w:szCs w:val="21"/>
          <w:shd w:val="clear" w:color="auto" w:fill="FFFFFF"/>
        </w:rPr>
      </w:pPr>
      <w:r w:rsidRPr="00342377">
        <w:rPr>
          <w:rFonts w:ascii="Times New Roman" w:hAnsi="Times New Roman" w:cs="Times New Roman"/>
          <w:b/>
          <w:bCs/>
          <w:color w:val="C00000"/>
          <w:szCs w:val="21"/>
          <w:shd w:val="clear" w:color="auto" w:fill="FFFFFF"/>
        </w:rPr>
        <w:t>The Link Between Initial Cardiac Rhythm and Survival Outcomes in In-Hospital Cardiac Arrest Using Propensity Score Matching, Adjustment, and Weighting</w:t>
      </w:r>
    </w:p>
    <w:p w14:paraId="2CE480BB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</w:pPr>
      <w:r w:rsidRPr="00462B79"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t xml:space="preserve">Running title: </w:t>
      </w:r>
      <w:r w:rsidRPr="00462B79">
        <w:rPr>
          <w:rFonts w:ascii="Times New Roman" w:hAnsi="Times New Roman" w:cs="Times New Roman"/>
          <w:color w:val="000000" w:themeColor="text1"/>
          <w:szCs w:val="21"/>
        </w:rPr>
        <w:t>shockable rhythm</w:t>
      </w:r>
      <w:r w:rsidRPr="00462B79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and Short-term survival rate</w:t>
      </w:r>
    </w:p>
    <w:p w14:paraId="552B4E3D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</w:rPr>
      </w:pPr>
      <w:bookmarkStart w:id="0" w:name="_Hlk98787947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>Yong Han</w:t>
      </w: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1#</w:t>
      </w: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>,</w:t>
      </w:r>
      <w:bookmarkStart w:id="1" w:name="_Hlk94813467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</w:t>
      </w:r>
      <w:proofErr w:type="spellStart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>Haofei</w:t>
      </w:r>
      <w:proofErr w:type="spellEnd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Hu</w:t>
      </w: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2#</w:t>
      </w: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bookmarkStart w:id="2" w:name="_Hlk88754941"/>
      <w:bookmarkEnd w:id="0"/>
      <w:bookmarkEnd w:id="1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>Yuankai Shao</w:t>
      </w: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1#</w:t>
      </w: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>, Zhe Deng</w:t>
      </w: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1*</w:t>
      </w: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proofErr w:type="spellStart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>Dehong</w:t>
      </w:r>
      <w:proofErr w:type="spellEnd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Liu</w:t>
      </w:r>
      <w:bookmarkEnd w:id="2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1*</w:t>
      </w:r>
    </w:p>
    <w:p w14:paraId="79655EDC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462B79">
        <w:rPr>
          <w:rFonts w:ascii="Times New Roman" w:hAnsi="Times New Roman" w:cs="Times New Roman"/>
          <w:color w:val="000000" w:themeColor="text1"/>
          <w:szCs w:val="21"/>
        </w:rPr>
        <w:t xml:space="preserve"> Department of Emergency, Shenzhen Second People's Hospital, Shenzhen 518035, Guangdong Province, China</w:t>
      </w:r>
    </w:p>
    <w:p w14:paraId="40F522EB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  <w:vertAlign w:val="superscript"/>
        </w:rPr>
        <w:t xml:space="preserve">2 </w:t>
      </w:r>
      <w:r w:rsidRPr="00462B79">
        <w:rPr>
          <w:rFonts w:ascii="Times New Roman" w:hAnsi="Times New Roman" w:cs="Times New Roman"/>
          <w:color w:val="000000" w:themeColor="text1"/>
          <w:szCs w:val="21"/>
        </w:rPr>
        <w:t xml:space="preserve">Department of </w:t>
      </w:r>
      <w:bookmarkStart w:id="3" w:name="_Hlk97800914"/>
      <w:r w:rsidRPr="00462B79">
        <w:rPr>
          <w:rFonts w:ascii="Times New Roman" w:hAnsi="Times New Roman" w:cs="Times New Roman"/>
          <w:color w:val="000000" w:themeColor="text1"/>
          <w:szCs w:val="21"/>
        </w:rPr>
        <w:t>Nephrology</w:t>
      </w:r>
      <w:bookmarkEnd w:id="3"/>
      <w:r w:rsidRPr="00462B79">
        <w:rPr>
          <w:rFonts w:ascii="Times New Roman" w:hAnsi="Times New Roman" w:cs="Times New Roman"/>
          <w:color w:val="000000" w:themeColor="text1"/>
          <w:szCs w:val="21"/>
        </w:rPr>
        <w:t>, Shenzhen Second People's Hospital, Shenzhen 518035, Guangdong Province, China</w:t>
      </w:r>
    </w:p>
    <w:p w14:paraId="17497B19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>Yong Han</w:t>
      </w: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1#</w:t>
      </w: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</w:t>
      </w:r>
      <w:proofErr w:type="spellStart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>Haofei</w:t>
      </w:r>
      <w:proofErr w:type="spellEnd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Hu</w:t>
      </w: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2#</w:t>
      </w: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, and </w:t>
      </w:r>
      <w:bookmarkStart w:id="4" w:name="_Hlk120784317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>Yuankai Shao</w:t>
      </w: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  <w:t>1#</w:t>
      </w:r>
      <w:bookmarkEnd w:id="4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</w:t>
      </w:r>
      <w:r w:rsidRPr="00462B79">
        <w:rPr>
          <w:rFonts w:ascii="Times New Roman" w:hAnsi="Times New Roman" w:cs="Times New Roman"/>
          <w:color w:val="000000" w:themeColor="text1"/>
          <w:szCs w:val="21"/>
        </w:rPr>
        <w:t>have contributed equally to this work.</w:t>
      </w:r>
    </w:p>
    <w:p w14:paraId="79042CDE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t>*Corresponding author</w:t>
      </w:r>
    </w:p>
    <w:p w14:paraId="303A4918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Cs w:val="21"/>
          <w:vertAlign w:val="superscript"/>
        </w:rPr>
      </w:pPr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>Zhe Deng</w:t>
      </w:r>
    </w:p>
    <w:p w14:paraId="4712EEB7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t>Department of Emergency, Shenzhen Second People's Hospital</w:t>
      </w:r>
    </w:p>
    <w:p w14:paraId="3C5CC9E2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t xml:space="preserve">No.3002 </w:t>
      </w:r>
      <w:proofErr w:type="spellStart"/>
      <w:r w:rsidRPr="00462B79">
        <w:rPr>
          <w:rFonts w:ascii="Times New Roman" w:hAnsi="Times New Roman" w:cs="Times New Roman"/>
          <w:color w:val="000000" w:themeColor="text1"/>
          <w:szCs w:val="21"/>
        </w:rPr>
        <w:t>Sungang</w:t>
      </w:r>
      <w:proofErr w:type="spellEnd"/>
      <w:r w:rsidRPr="00462B79">
        <w:rPr>
          <w:rFonts w:ascii="Times New Roman" w:hAnsi="Times New Roman" w:cs="Times New Roman"/>
          <w:color w:val="000000" w:themeColor="text1"/>
          <w:szCs w:val="21"/>
        </w:rPr>
        <w:t xml:space="preserve"> Road, Futian District, </w:t>
      </w:r>
    </w:p>
    <w:p w14:paraId="4EB9B00D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t>Shenzhen 518035,</w:t>
      </w:r>
    </w:p>
    <w:p w14:paraId="44A3D177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t>Guangdong Province,</w:t>
      </w:r>
    </w:p>
    <w:p w14:paraId="5BA7ADE7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t>China.</w:t>
      </w:r>
    </w:p>
    <w:p w14:paraId="4AC7516E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t>zdeng_emergency@126.com</w:t>
      </w:r>
    </w:p>
    <w:p w14:paraId="5B8BD2FC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t>*Corresponding author</w:t>
      </w:r>
    </w:p>
    <w:p w14:paraId="1E29E836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bCs/>
          <w:color w:val="000000" w:themeColor="text1"/>
          <w:szCs w:val="21"/>
        </w:rPr>
      </w:pPr>
      <w:proofErr w:type="spellStart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>Dehong</w:t>
      </w:r>
      <w:proofErr w:type="spellEnd"/>
      <w:r w:rsidRPr="00462B79">
        <w:rPr>
          <w:rFonts w:ascii="Times New Roman" w:hAnsi="Times New Roman" w:cs="Times New Roman"/>
          <w:bCs/>
          <w:iCs/>
          <w:color w:val="000000" w:themeColor="text1"/>
          <w:szCs w:val="21"/>
        </w:rPr>
        <w:t xml:space="preserve"> Liu</w:t>
      </w:r>
      <w:r w:rsidRPr="00462B79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</w:p>
    <w:p w14:paraId="48BE3137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bookmarkStart w:id="5" w:name="_Hlk107179289"/>
      <w:bookmarkStart w:id="6" w:name="_Hlk94813482"/>
      <w:r w:rsidRPr="00462B79">
        <w:rPr>
          <w:rFonts w:ascii="Times New Roman" w:hAnsi="Times New Roman" w:cs="Times New Roman"/>
          <w:color w:val="000000" w:themeColor="text1"/>
          <w:szCs w:val="21"/>
        </w:rPr>
        <w:t>Department of Emergency, Shenzhen Second People's Hospital</w:t>
      </w:r>
    </w:p>
    <w:bookmarkEnd w:id="5"/>
    <w:p w14:paraId="4372DD67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t xml:space="preserve">No.3002 </w:t>
      </w:r>
      <w:proofErr w:type="spellStart"/>
      <w:r w:rsidRPr="00462B79">
        <w:rPr>
          <w:rFonts w:ascii="Times New Roman" w:hAnsi="Times New Roman" w:cs="Times New Roman"/>
          <w:color w:val="000000" w:themeColor="text1"/>
          <w:szCs w:val="21"/>
        </w:rPr>
        <w:t>Sungang</w:t>
      </w:r>
      <w:proofErr w:type="spellEnd"/>
      <w:r w:rsidRPr="00462B79">
        <w:rPr>
          <w:rFonts w:ascii="Times New Roman" w:hAnsi="Times New Roman" w:cs="Times New Roman"/>
          <w:color w:val="000000" w:themeColor="text1"/>
          <w:szCs w:val="21"/>
        </w:rPr>
        <w:t xml:space="preserve"> Road, Futian District, </w:t>
      </w:r>
    </w:p>
    <w:p w14:paraId="28A48AC4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t>Shenzhen 518035,</w:t>
      </w:r>
    </w:p>
    <w:p w14:paraId="4B6C4C95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lastRenderedPageBreak/>
        <w:t>Guangdong Province,</w:t>
      </w:r>
    </w:p>
    <w:p w14:paraId="14C2BFA1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t>China</w:t>
      </w:r>
    </w:p>
    <w:bookmarkEnd w:id="6"/>
    <w:p w14:paraId="0E3E529E" w14:textId="77777777" w:rsidR="004921CC" w:rsidRPr="00462B79" w:rsidRDefault="004921CC" w:rsidP="004921CC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t xml:space="preserve">E-mail: </w:t>
      </w:r>
      <w:r w:rsidRPr="00462B79"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  <w:t>dhliu_emergency@163.com</w:t>
      </w:r>
    </w:p>
    <w:p w14:paraId="4B541534" w14:textId="73BE480D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65DF0498" w14:textId="37C02E62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62C04668" w14:textId="0559F7B3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6780416D" w14:textId="3E5AE3AA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3FDCCE45" w14:textId="14E1FAEB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3C63D8A5" w14:textId="5D7B1286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55827DB0" w14:textId="0A1CAF12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0974E8C2" w14:textId="65121C30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02D042BF" w14:textId="0A9D3CAE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4D2DA7E5" w14:textId="6B8ECE00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6081D467" w14:textId="6FBE5DBD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751F1232" w14:textId="4409EFCA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4C40FA50" w14:textId="73CFB869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02E27CD3" w14:textId="45DB54B0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0A4CB9F6" w14:textId="2EC90649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7102DCC8" w14:textId="77777777" w:rsidR="004F4837" w:rsidRPr="00462B79" w:rsidRDefault="004F4837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1A15D8FF" w14:textId="53326A94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502F9598" w14:textId="4C8ABC4A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01663515" w14:textId="490F2412" w:rsidR="008477A0" w:rsidRPr="00462B79" w:rsidRDefault="008477A0" w:rsidP="008477A0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Cs w:val="21"/>
          <w:shd w:val="clear" w:color="auto" w:fill="FFFFFF"/>
        </w:rPr>
      </w:pPr>
    </w:p>
    <w:p w14:paraId="2931EB3A" w14:textId="26524F0D" w:rsidR="005840B2" w:rsidRPr="00462B79" w:rsidRDefault="00CA14CD" w:rsidP="005840B2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462B7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lastRenderedPageBreak/>
        <w:t xml:space="preserve">Table </w:t>
      </w:r>
      <w:r w:rsidR="00C14020" w:rsidRPr="00462B7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</w:t>
      </w:r>
      <w:r w:rsidRPr="00462B7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1</w:t>
      </w:r>
      <w:r w:rsidR="005840B2" w:rsidRPr="00462B7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According to the percentile of the propensity score of the entire study population, survival rate before hospital discharge in patients with shockable rhythm and non-shockable rhythm.</w:t>
      </w:r>
    </w:p>
    <w:tbl>
      <w:tblPr>
        <w:tblStyle w:val="6"/>
        <w:tblW w:w="9445" w:type="dxa"/>
        <w:tblLayout w:type="fixed"/>
        <w:tblLook w:val="04A0" w:firstRow="1" w:lastRow="0" w:firstColumn="1" w:lastColumn="0" w:noHBand="0" w:noVBand="1"/>
      </w:tblPr>
      <w:tblGrid>
        <w:gridCol w:w="1083"/>
        <w:gridCol w:w="851"/>
        <w:gridCol w:w="691"/>
        <w:gridCol w:w="828"/>
        <w:gridCol w:w="836"/>
        <w:gridCol w:w="413"/>
        <w:gridCol w:w="827"/>
        <w:gridCol w:w="708"/>
        <w:gridCol w:w="1228"/>
        <w:gridCol w:w="836"/>
        <w:gridCol w:w="1144"/>
      </w:tblGrid>
      <w:tr w:rsidR="00462B79" w:rsidRPr="00462B79" w14:paraId="556BA01D" w14:textId="77777777" w:rsidTr="00AD5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hideMark/>
          </w:tcPr>
          <w:p w14:paraId="7B19CD82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206" w:type="dxa"/>
            <w:gridSpan w:val="4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hideMark/>
          </w:tcPr>
          <w:p w14:paraId="27EDF255" w14:textId="77777777" w:rsidR="005840B2" w:rsidRPr="00462B79" w:rsidRDefault="005840B2" w:rsidP="00AD5634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MinionPro-Regular" w:hAnsi="Times New Roman" w:cs="Times New Roman"/>
                <w:kern w:val="0"/>
                <w:sz w:val="16"/>
                <w:szCs w:val="16"/>
              </w:rPr>
              <w:t>Non-shockable</w:t>
            </w:r>
          </w:p>
        </w:tc>
        <w:tc>
          <w:tcPr>
            <w:tcW w:w="413" w:type="dxa"/>
            <w:tcBorders>
              <w:top w:val="single" w:sz="4" w:space="0" w:color="000000" w:themeColor="text1"/>
              <w:bottom w:val="nil"/>
            </w:tcBorders>
            <w:shd w:val="clear" w:color="auto" w:fill="auto"/>
          </w:tcPr>
          <w:p w14:paraId="6E767554" w14:textId="77777777" w:rsidR="005840B2" w:rsidRPr="00462B79" w:rsidRDefault="005840B2" w:rsidP="00AD5634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599" w:type="dxa"/>
            <w:gridSpan w:val="4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517FF82C" w14:textId="77777777" w:rsidR="005840B2" w:rsidRPr="00462B79" w:rsidRDefault="005840B2" w:rsidP="00AD5634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MinionPro-Regular" w:hAnsi="Times New Roman" w:cs="Times New Roman"/>
                <w:kern w:val="0"/>
                <w:sz w:val="16"/>
                <w:szCs w:val="16"/>
              </w:rPr>
              <w:t>shockable</w:t>
            </w:r>
          </w:p>
        </w:tc>
        <w:tc>
          <w:tcPr>
            <w:tcW w:w="1144" w:type="dxa"/>
            <w:tcBorders>
              <w:top w:val="single" w:sz="4" w:space="0" w:color="000000" w:themeColor="text1"/>
              <w:bottom w:val="nil"/>
            </w:tcBorders>
            <w:shd w:val="clear" w:color="auto" w:fill="auto"/>
          </w:tcPr>
          <w:p w14:paraId="3560961D" w14:textId="77777777" w:rsidR="005840B2" w:rsidRPr="00462B79" w:rsidRDefault="005840B2" w:rsidP="00AD5634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Empirical OR*</w:t>
            </w:r>
          </w:p>
        </w:tc>
      </w:tr>
      <w:tr w:rsidR="00462B79" w:rsidRPr="00462B79" w14:paraId="460C4361" w14:textId="77777777" w:rsidTr="00AD5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tcBorders>
              <w:top w:val="nil"/>
              <w:bottom w:val="nil"/>
            </w:tcBorders>
            <w:shd w:val="clear" w:color="auto" w:fill="auto"/>
          </w:tcPr>
          <w:p w14:paraId="1CEA609D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Percentile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8925F9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9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682B17A" w14:textId="77777777" w:rsidR="005840B2" w:rsidRPr="00462B79" w:rsidRDefault="005840B2" w:rsidP="00AD5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  <w:p w14:paraId="4EDF5E00" w14:textId="77777777" w:rsidR="005840B2" w:rsidRPr="00462B79" w:rsidRDefault="005840B2" w:rsidP="00AD56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No.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26072E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Probability of Survival</w:t>
            </w:r>
          </w:p>
        </w:tc>
        <w:tc>
          <w:tcPr>
            <w:tcW w:w="413" w:type="dxa"/>
            <w:tcBorders>
              <w:top w:val="nil"/>
              <w:bottom w:val="nil"/>
            </w:tcBorders>
            <w:shd w:val="clear" w:color="auto" w:fill="auto"/>
          </w:tcPr>
          <w:p w14:paraId="4FEE601A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E9B0F9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36E6AC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3C2063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Probability of Survival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</w:tcPr>
          <w:p w14:paraId="3CB34FE1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462B79" w:rsidRPr="00462B79" w14:paraId="0B8553E4" w14:textId="77777777" w:rsidTr="00AD5634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81B581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1D0AD4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Score</w:t>
            </w: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69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B352F40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6261A0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No.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47F384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</w:t>
            </w:r>
          </w:p>
        </w:tc>
        <w:tc>
          <w:tcPr>
            <w:tcW w:w="4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55F83A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20AAC7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Score</w:t>
            </w: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4468BD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No.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72E956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No.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6E5771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%</w:t>
            </w:r>
          </w:p>
        </w:tc>
        <w:tc>
          <w:tcPr>
            <w:tcW w:w="11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1D63AB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462B79" w:rsidRPr="00462B79" w14:paraId="13246FFF" w14:textId="77777777" w:rsidTr="00AD5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4F01138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0 to 10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8D15E72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0.030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32111BB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145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6B2165D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910C920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4.14</w:t>
            </w:r>
          </w:p>
        </w:tc>
        <w:tc>
          <w:tcPr>
            <w:tcW w:w="413" w:type="dxa"/>
            <w:tcBorders>
              <w:top w:val="single" w:sz="4" w:space="0" w:color="auto"/>
            </w:tcBorders>
            <w:shd w:val="clear" w:color="auto" w:fill="auto"/>
          </w:tcPr>
          <w:p w14:paraId="64009435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  <w:shd w:val="clear" w:color="auto" w:fill="auto"/>
          </w:tcPr>
          <w:p w14:paraId="0542AF51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0.025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6A4C65C7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auto"/>
          </w:tcPr>
          <w:p w14:paraId="0FE97BB5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</w:tcPr>
          <w:p w14:paraId="0B3B7E43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 xml:space="preserve"> 14.286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</w:tcPr>
          <w:p w14:paraId="046789F7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462B79" w:rsidRPr="00462B79" w14:paraId="47CF956B" w14:textId="77777777" w:rsidTr="00AD5634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hideMark/>
          </w:tcPr>
          <w:p w14:paraId="77E94401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10&lt; to &lt;20</w:t>
            </w:r>
          </w:p>
        </w:tc>
        <w:tc>
          <w:tcPr>
            <w:tcW w:w="851" w:type="dxa"/>
            <w:shd w:val="clear" w:color="auto" w:fill="auto"/>
            <w:hideMark/>
          </w:tcPr>
          <w:p w14:paraId="4AE2C74F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0.049</w:t>
            </w:r>
          </w:p>
        </w:tc>
        <w:tc>
          <w:tcPr>
            <w:tcW w:w="691" w:type="dxa"/>
            <w:shd w:val="clear" w:color="auto" w:fill="auto"/>
            <w:hideMark/>
          </w:tcPr>
          <w:p w14:paraId="7904FFBB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143</w:t>
            </w:r>
          </w:p>
        </w:tc>
        <w:tc>
          <w:tcPr>
            <w:tcW w:w="828" w:type="dxa"/>
            <w:shd w:val="clear" w:color="auto" w:fill="auto"/>
            <w:hideMark/>
          </w:tcPr>
          <w:p w14:paraId="4FD3A790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11</w:t>
            </w:r>
          </w:p>
        </w:tc>
        <w:tc>
          <w:tcPr>
            <w:tcW w:w="836" w:type="dxa"/>
            <w:shd w:val="clear" w:color="auto" w:fill="auto"/>
            <w:hideMark/>
          </w:tcPr>
          <w:p w14:paraId="05D01842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7.69</w:t>
            </w:r>
          </w:p>
        </w:tc>
        <w:tc>
          <w:tcPr>
            <w:tcW w:w="413" w:type="dxa"/>
            <w:shd w:val="clear" w:color="auto" w:fill="auto"/>
          </w:tcPr>
          <w:p w14:paraId="1B3F4065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7" w:type="dxa"/>
            <w:shd w:val="clear" w:color="auto" w:fill="auto"/>
          </w:tcPr>
          <w:p w14:paraId="649620CE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0.047</w:t>
            </w:r>
          </w:p>
        </w:tc>
        <w:tc>
          <w:tcPr>
            <w:tcW w:w="708" w:type="dxa"/>
            <w:shd w:val="clear" w:color="auto" w:fill="auto"/>
          </w:tcPr>
          <w:p w14:paraId="6E756EED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228" w:type="dxa"/>
            <w:shd w:val="clear" w:color="auto" w:fill="auto"/>
          </w:tcPr>
          <w:p w14:paraId="2A2D701D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14:paraId="2C32BF4F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4" w:type="dxa"/>
            <w:shd w:val="clear" w:color="auto" w:fill="auto"/>
          </w:tcPr>
          <w:p w14:paraId="31E20B13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462B79" w:rsidRPr="00462B79" w14:paraId="2E468E53" w14:textId="77777777" w:rsidTr="00AD5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hideMark/>
          </w:tcPr>
          <w:p w14:paraId="01A40896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20&lt; to &lt;30</w:t>
            </w:r>
          </w:p>
        </w:tc>
        <w:tc>
          <w:tcPr>
            <w:tcW w:w="851" w:type="dxa"/>
            <w:shd w:val="clear" w:color="auto" w:fill="auto"/>
            <w:hideMark/>
          </w:tcPr>
          <w:p w14:paraId="0CEA0663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0.062</w:t>
            </w:r>
          </w:p>
        </w:tc>
        <w:tc>
          <w:tcPr>
            <w:tcW w:w="691" w:type="dxa"/>
            <w:shd w:val="clear" w:color="auto" w:fill="auto"/>
            <w:hideMark/>
          </w:tcPr>
          <w:p w14:paraId="0903B7AC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148</w:t>
            </w:r>
          </w:p>
        </w:tc>
        <w:tc>
          <w:tcPr>
            <w:tcW w:w="828" w:type="dxa"/>
            <w:shd w:val="clear" w:color="auto" w:fill="auto"/>
            <w:hideMark/>
          </w:tcPr>
          <w:p w14:paraId="6EA9E6D5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836" w:type="dxa"/>
            <w:shd w:val="clear" w:color="auto" w:fill="auto"/>
            <w:hideMark/>
          </w:tcPr>
          <w:p w14:paraId="07097B6C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6.76</w:t>
            </w:r>
          </w:p>
        </w:tc>
        <w:tc>
          <w:tcPr>
            <w:tcW w:w="413" w:type="dxa"/>
            <w:shd w:val="clear" w:color="auto" w:fill="auto"/>
          </w:tcPr>
          <w:p w14:paraId="11D087AC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7" w:type="dxa"/>
            <w:shd w:val="clear" w:color="auto" w:fill="auto"/>
          </w:tcPr>
          <w:p w14:paraId="07F1961F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0.064</w:t>
            </w:r>
          </w:p>
        </w:tc>
        <w:tc>
          <w:tcPr>
            <w:tcW w:w="708" w:type="dxa"/>
            <w:shd w:val="clear" w:color="auto" w:fill="auto"/>
          </w:tcPr>
          <w:p w14:paraId="5A18E56C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228" w:type="dxa"/>
            <w:shd w:val="clear" w:color="auto" w:fill="auto"/>
          </w:tcPr>
          <w:p w14:paraId="082648FD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36" w:type="dxa"/>
            <w:shd w:val="clear" w:color="auto" w:fill="auto"/>
          </w:tcPr>
          <w:p w14:paraId="3FCAC2D7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4" w:type="dxa"/>
            <w:shd w:val="clear" w:color="auto" w:fill="auto"/>
          </w:tcPr>
          <w:p w14:paraId="60A17D08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462B79" w:rsidRPr="00462B79" w14:paraId="6113ED76" w14:textId="77777777" w:rsidTr="00AD5634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hideMark/>
          </w:tcPr>
          <w:p w14:paraId="63CEC7A3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30&lt; to&lt; 40</w:t>
            </w:r>
          </w:p>
        </w:tc>
        <w:tc>
          <w:tcPr>
            <w:tcW w:w="851" w:type="dxa"/>
            <w:shd w:val="clear" w:color="auto" w:fill="auto"/>
            <w:hideMark/>
          </w:tcPr>
          <w:p w14:paraId="0ECDAEFB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0.078</w:t>
            </w:r>
          </w:p>
        </w:tc>
        <w:tc>
          <w:tcPr>
            <w:tcW w:w="691" w:type="dxa"/>
            <w:shd w:val="clear" w:color="auto" w:fill="auto"/>
            <w:hideMark/>
          </w:tcPr>
          <w:p w14:paraId="03BE82D8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139</w:t>
            </w:r>
          </w:p>
        </w:tc>
        <w:tc>
          <w:tcPr>
            <w:tcW w:w="828" w:type="dxa"/>
            <w:shd w:val="clear" w:color="auto" w:fill="auto"/>
            <w:hideMark/>
          </w:tcPr>
          <w:p w14:paraId="3EAE39AA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836" w:type="dxa"/>
            <w:shd w:val="clear" w:color="auto" w:fill="auto"/>
            <w:hideMark/>
          </w:tcPr>
          <w:p w14:paraId="3CE6F424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8.63</w:t>
            </w:r>
          </w:p>
        </w:tc>
        <w:tc>
          <w:tcPr>
            <w:tcW w:w="413" w:type="dxa"/>
            <w:shd w:val="clear" w:color="auto" w:fill="auto"/>
          </w:tcPr>
          <w:p w14:paraId="0330EA90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7" w:type="dxa"/>
            <w:shd w:val="clear" w:color="auto" w:fill="auto"/>
          </w:tcPr>
          <w:p w14:paraId="06A355DB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0.078</w:t>
            </w:r>
          </w:p>
        </w:tc>
        <w:tc>
          <w:tcPr>
            <w:tcW w:w="708" w:type="dxa"/>
            <w:shd w:val="clear" w:color="auto" w:fill="auto"/>
          </w:tcPr>
          <w:p w14:paraId="4321673C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1228" w:type="dxa"/>
            <w:shd w:val="clear" w:color="auto" w:fill="auto"/>
          </w:tcPr>
          <w:p w14:paraId="73824DDD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14:paraId="68F20979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16.67</w:t>
            </w:r>
          </w:p>
        </w:tc>
        <w:tc>
          <w:tcPr>
            <w:tcW w:w="1144" w:type="dxa"/>
            <w:shd w:val="clear" w:color="auto" w:fill="auto"/>
          </w:tcPr>
          <w:p w14:paraId="28626045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2.117</w:t>
            </w:r>
          </w:p>
        </w:tc>
      </w:tr>
      <w:tr w:rsidR="00462B79" w:rsidRPr="00462B79" w14:paraId="32BA1D6B" w14:textId="77777777" w:rsidTr="00AD5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hideMark/>
          </w:tcPr>
          <w:p w14:paraId="5489C320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40&lt; to &lt;50</w:t>
            </w:r>
          </w:p>
        </w:tc>
        <w:tc>
          <w:tcPr>
            <w:tcW w:w="851" w:type="dxa"/>
            <w:shd w:val="clear" w:color="auto" w:fill="auto"/>
            <w:hideMark/>
          </w:tcPr>
          <w:p w14:paraId="440F74BF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 xml:space="preserve">0.093 </w:t>
            </w:r>
          </w:p>
        </w:tc>
        <w:tc>
          <w:tcPr>
            <w:tcW w:w="691" w:type="dxa"/>
            <w:shd w:val="clear" w:color="auto" w:fill="auto"/>
            <w:hideMark/>
          </w:tcPr>
          <w:p w14:paraId="1FFEA03A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141</w:t>
            </w:r>
          </w:p>
        </w:tc>
        <w:tc>
          <w:tcPr>
            <w:tcW w:w="828" w:type="dxa"/>
            <w:shd w:val="clear" w:color="auto" w:fill="auto"/>
            <w:hideMark/>
          </w:tcPr>
          <w:p w14:paraId="06558693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836" w:type="dxa"/>
            <w:shd w:val="clear" w:color="auto" w:fill="auto"/>
            <w:hideMark/>
          </w:tcPr>
          <w:p w14:paraId="1A185D0B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17.02</w:t>
            </w:r>
          </w:p>
        </w:tc>
        <w:tc>
          <w:tcPr>
            <w:tcW w:w="413" w:type="dxa"/>
            <w:shd w:val="clear" w:color="auto" w:fill="auto"/>
          </w:tcPr>
          <w:p w14:paraId="33B625D8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7" w:type="dxa"/>
            <w:shd w:val="clear" w:color="auto" w:fill="auto"/>
          </w:tcPr>
          <w:p w14:paraId="6DD6A7CF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0.091</w:t>
            </w:r>
          </w:p>
        </w:tc>
        <w:tc>
          <w:tcPr>
            <w:tcW w:w="708" w:type="dxa"/>
            <w:shd w:val="clear" w:color="auto" w:fill="auto"/>
          </w:tcPr>
          <w:p w14:paraId="5EF08FF5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1228" w:type="dxa"/>
            <w:shd w:val="clear" w:color="auto" w:fill="auto"/>
          </w:tcPr>
          <w:p w14:paraId="4DCF893D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14:paraId="2DD0BDD5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18.18</w:t>
            </w:r>
          </w:p>
        </w:tc>
        <w:tc>
          <w:tcPr>
            <w:tcW w:w="1144" w:type="dxa"/>
            <w:shd w:val="clear" w:color="auto" w:fill="auto"/>
          </w:tcPr>
          <w:p w14:paraId="3C0F5199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1.083</w:t>
            </w:r>
          </w:p>
        </w:tc>
      </w:tr>
      <w:tr w:rsidR="00462B79" w:rsidRPr="00462B79" w14:paraId="46BF5676" w14:textId="77777777" w:rsidTr="00AD5634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</w:tcPr>
          <w:p w14:paraId="29076C9C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50&lt; to &lt;60</w:t>
            </w:r>
          </w:p>
        </w:tc>
        <w:tc>
          <w:tcPr>
            <w:tcW w:w="851" w:type="dxa"/>
            <w:shd w:val="clear" w:color="auto" w:fill="auto"/>
          </w:tcPr>
          <w:p w14:paraId="1CDE753D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0.113</w:t>
            </w:r>
          </w:p>
        </w:tc>
        <w:tc>
          <w:tcPr>
            <w:tcW w:w="691" w:type="dxa"/>
            <w:shd w:val="clear" w:color="auto" w:fill="auto"/>
          </w:tcPr>
          <w:p w14:paraId="1D447376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133</w:t>
            </w:r>
          </w:p>
        </w:tc>
        <w:tc>
          <w:tcPr>
            <w:tcW w:w="828" w:type="dxa"/>
            <w:shd w:val="clear" w:color="auto" w:fill="auto"/>
          </w:tcPr>
          <w:p w14:paraId="660E4896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836" w:type="dxa"/>
            <w:shd w:val="clear" w:color="auto" w:fill="auto"/>
          </w:tcPr>
          <w:p w14:paraId="4D0390B6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11.28</w:t>
            </w:r>
          </w:p>
        </w:tc>
        <w:tc>
          <w:tcPr>
            <w:tcW w:w="413" w:type="dxa"/>
            <w:shd w:val="clear" w:color="auto" w:fill="auto"/>
          </w:tcPr>
          <w:p w14:paraId="1CD37760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7" w:type="dxa"/>
            <w:shd w:val="clear" w:color="auto" w:fill="auto"/>
          </w:tcPr>
          <w:p w14:paraId="77976EDF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0.112</w:t>
            </w:r>
          </w:p>
        </w:tc>
        <w:tc>
          <w:tcPr>
            <w:tcW w:w="708" w:type="dxa"/>
            <w:shd w:val="clear" w:color="auto" w:fill="auto"/>
          </w:tcPr>
          <w:p w14:paraId="0785486B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1228" w:type="dxa"/>
            <w:shd w:val="clear" w:color="auto" w:fill="auto"/>
          </w:tcPr>
          <w:p w14:paraId="1F37D776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14:paraId="3C519240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22.22</w:t>
            </w:r>
          </w:p>
        </w:tc>
        <w:tc>
          <w:tcPr>
            <w:tcW w:w="1144" w:type="dxa"/>
            <w:shd w:val="clear" w:color="auto" w:fill="auto"/>
          </w:tcPr>
          <w:p w14:paraId="20646690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2.248</w:t>
            </w:r>
          </w:p>
        </w:tc>
      </w:tr>
      <w:tr w:rsidR="00462B79" w:rsidRPr="00462B79" w14:paraId="6B98D9D6" w14:textId="77777777" w:rsidTr="00AD5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</w:tcPr>
          <w:p w14:paraId="3564D6E4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60&lt; to &lt;70</w:t>
            </w:r>
          </w:p>
        </w:tc>
        <w:tc>
          <w:tcPr>
            <w:tcW w:w="851" w:type="dxa"/>
            <w:shd w:val="clear" w:color="auto" w:fill="auto"/>
          </w:tcPr>
          <w:p w14:paraId="7894C37D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0.139</w:t>
            </w:r>
          </w:p>
        </w:tc>
        <w:tc>
          <w:tcPr>
            <w:tcW w:w="691" w:type="dxa"/>
            <w:shd w:val="clear" w:color="auto" w:fill="auto"/>
          </w:tcPr>
          <w:p w14:paraId="7E1C8A5E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133</w:t>
            </w:r>
          </w:p>
        </w:tc>
        <w:tc>
          <w:tcPr>
            <w:tcW w:w="828" w:type="dxa"/>
            <w:shd w:val="clear" w:color="auto" w:fill="auto"/>
          </w:tcPr>
          <w:p w14:paraId="27F53102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836" w:type="dxa"/>
            <w:shd w:val="clear" w:color="auto" w:fill="auto"/>
          </w:tcPr>
          <w:p w14:paraId="0465F31F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15.79</w:t>
            </w:r>
          </w:p>
        </w:tc>
        <w:tc>
          <w:tcPr>
            <w:tcW w:w="413" w:type="dxa"/>
            <w:shd w:val="clear" w:color="auto" w:fill="auto"/>
          </w:tcPr>
          <w:p w14:paraId="562C941F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7" w:type="dxa"/>
            <w:shd w:val="clear" w:color="auto" w:fill="auto"/>
          </w:tcPr>
          <w:p w14:paraId="073B5B62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0.139</w:t>
            </w:r>
          </w:p>
        </w:tc>
        <w:tc>
          <w:tcPr>
            <w:tcW w:w="708" w:type="dxa"/>
            <w:shd w:val="clear" w:color="auto" w:fill="auto"/>
          </w:tcPr>
          <w:p w14:paraId="0B2D6438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1228" w:type="dxa"/>
            <w:shd w:val="clear" w:color="auto" w:fill="auto"/>
          </w:tcPr>
          <w:p w14:paraId="676A72DC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36" w:type="dxa"/>
            <w:shd w:val="clear" w:color="auto" w:fill="auto"/>
          </w:tcPr>
          <w:p w14:paraId="79C55CCD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10.53</w:t>
            </w:r>
          </w:p>
        </w:tc>
        <w:tc>
          <w:tcPr>
            <w:tcW w:w="1144" w:type="dxa"/>
            <w:shd w:val="clear" w:color="auto" w:fill="auto"/>
          </w:tcPr>
          <w:p w14:paraId="2386207B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0.627</w:t>
            </w:r>
          </w:p>
        </w:tc>
      </w:tr>
      <w:tr w:rsidR="00462B79" w:rsidRPr="00462B79" w14:paraId="246BB3D6" w14:textId="77777777" w:rsidTr="00AD5634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</w:tcPr>
          <w:p w14:paraId="61E9C7B3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70&lt; to &lt;80</w:t>
            </w:r>
          </w:p>
        </w:tc>
        <w:tc>
          <w:tcPr>
            <w:tcW w:w="851" w:type="dxa"/>
            <w:shd w:val="clear" w:color="auto" w:fill="auto"/>
          </w:tcPr>
          <w:p w14:paraId="609EF9AA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0.178</w:t>
            </w:r>
          </w:p>
        </w:tc>
        <w:tc>
          <w:tcPr>
            <w:tcW w:w="691" w:type="dxa"/>
            <w:shd w:val="clear" w:color="auto" w:fill="auto"/>
          </w:tcPr>
          <w:p w14:paraId="4DDCCE37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128</w:t>
            </w:r>
          </w:p>
        </w:tc>
        <w:tc>
          <w:tcPr>
            <w:tcW w:w="828" w:type="dxa"/>
            <w:shd w:val="clear" w:color="auto" w:fill="auto"/>
          </w:tcPr>
          <w:p w14:paraId="2ADFFD8E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836" w:type="dxa"/>
            <w:shd w:val="clear" w:color="auto" w:fill="auto"/>
          </w:tcPr>
          <w:p w14:paraId="6E0F07CD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12.50</w:t>
            </w:r>
          </w:p>
        </w:tc>
        <w:tc>
          <w:tcPr>
            <w:tcW w:w="413" w:type="dxa"/>
            <w:shd w:val="clear" w:color="auto" w:fill="auto"/>
          </w:tcPr>
          <w:p w14:paraId="51AB2DCC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7" w:type="dxa"/>
            <w:shd w:val="clear" w:color="auto" w:fill="auto"/>
          </w:tcPr>
          <w:p w14:paraId="2F08BB5C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0.179</w:t>
            </w:r>
          </w:p>
        </w:tc>
        <w:tc>
          <w:tcPr>
            <w:tcW w:w="708" w:type="dxa"/>
            <w:shd w:val="clear" w:color="auto" w:fill="auto"/>
          </w:tcPr>
          <w:p w14:paraId="7D088080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1228" w:type="dxa"/>
            <w:shd w:val="clear" w:color="auto" w:fill="auto"/>
          </w:tcPr>
          <w:p w14:paraId="4A36A4A9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836" w:type="dxa"/>
            <w:shd w:val="clear" w:color="auto" w:fill="auto"/>
          </w:tcPr>
          <w:p w14:paraId="2D57D278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17.39</w:t>
            </w:r>
          </w:p>
        </w:tc>
        <w:tc>
          <w:tcPr>
            <w:tcW w:w="1144" w:type="dxa"/>
            <w:shd w:val="clear" w:color="auto" w:fill="auto"/>
          </w:tcPr>
          <w:p w14:paraId="1D320EBA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1.474</w:t>
            </w:r>
          </w:p>
        </w:tc>
      </w:tr>
      <w:tr w:rsidR="00462B79" w:rsidRPr="00462B79" w14:paraId="1B0C2BB0" w14:textId="77777777" w:rsidTr="00AD5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</w:tcPr>
          <w:p w14:paraId="52DEF068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80&lt; to &lt;90</w:t>
            </w:r>
          </w:p>
        </w:tc>
        <w:tc>
          <w:tcPr>
            <w:tcW w:w="851" w:type="dxa"/>
            <w:shd w:val="clear" w:color="auto" w:fill="auto"/>
          </w:tcPr>
          <w:p w14:paraId="4DB9B38D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0.245</w:t>
            </w:r>
          </w:p>
        </w:tc>
        <w:tc>
          <w:tcPr>
            <w:tcW w:w="691" w:type="dxa"/>
            <w:shd w:val="clear" w:color="auto" w:fill="auto"/>
          </w:tcPr>
          <w:p w14:paraId="682A0608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107</w:t>
            </w:r>
          </w:p>
        </w:tc>
        <w:tc>
          <w:tcPr>
            <w:tcW w:w="828" w:type="dxa"/>
            <w:shd w:val="clear" w:color="auto" w:fill="auto"/>
          </w:tcPr>
          <w:p w14:paraId="2F364AA2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836" w:type="dxa"/>
            <w:shd w:val="clear" w:color="auto" w:fill="auto"/>
          </w:tcPr>
          <w:p w14:paraId="50D9E7A4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15.89</w:t>
            </w:r>
          </w:p>
        </w:tc>
        <w:tc>
          <w:tcPr>
            <w:tcW w:w="413" w:type="dxa"/>
            <w:shd w:val="clear" w:color="auto" w:fill="auto"/>
          </w:tcPr>
          <w:p w14:paraId="529860A9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7" w:type="dxa"/>
            <w:shd w:val="clear" w:color="auto" w:fill="auto"/>
          </w:tcPr>
          <w:p w14:paraId="3AC10451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0.243</w:t>
            </w:r>
          </w:p>
        </w:tc>
        <w:tc>
          <w:tcPr>
            <w:tcW w:w="708" w:type="dxa"/>
            <w:shd w:val="clear" w:color="auto" w:fill="auto"/>
          </w:tcPr>
          <w:p w14:paraId="19CF77DC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</w:p>
        </w:tc>
        <w:tc>
          <w:tcPr>
            <w:tcW w:w="1228" w:type="dxa"/>
            <w:shd w:val="clear" w:color="auto" w:fill="auto"/>
          </w:tcPr>
          <w:p w14:paraId="473603FF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 xml:space="preserve">16 </w:t>
            </w:r>
          </w:p>
        </w:tc>
        <w:tc>
          <w:tcPr>
            <w:tcW w:w="836" w:type="dxa"/>
            <w:shd w:val="clear" w:color="auto" w:fill="auto"/>
          </w:tcPr>
          <w:p w14:paraId="7E4415A4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35.56</w:t>
            </w:r>
          </w:p>
        </w:tc>
        <w:tc>
          <w:tcPr>
            <w:tcW w:w="1144" w:type="dxa"/>
            <w:shd w:val="clear" w:color="auto" w:fill="auto"/>
          </w:tcPr>
          <w:p w14:paraId="14FF23C6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2.921</w:t>
            </w:r>
          </w:p>
        </w:tc>
      </w:tr>
      <w:tr w:rsidR="00462B79" w:rsidRPr="00462B79" w14:paraId="433F9679" w14:textId="77777777" w:rsidTr="00AD5634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</w:tcPr>
          <w:p w14:paraId="3CF4C0BA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90&lt; to&lt; 95</w:t>
            </w:r>
          </w:p>
        </w:tc>
        <w:tc>
          <w:tcPr>
            <w:tcW w:w="851" w:type="dxa"/>
            <w:shd w:val="clear" w:color="auto" w:fill="auto"/>
          </w:tcPr>
          <w:p w14:paraId="1492657B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0.346</w:t>
            </w:r>
          </w:p>
        </w:tc>
        <w:tc>
          <w:tcPr>
            <w:tcW w:w="691" w:type="dxa"/>
            <w:shd w:val="clear" w:color="auto" w:fill="auto"/>
          </w:tcPr>
          <w:p w14:paraId="4F4BE537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44</w:t>
            </w:r>
          </w:p>
        </w:tc>
        <w:tc>
          <w:tcPr>
            <w:tcW w:w="828" w:type="dxa"/>
            <w:shd w:val="clear" w:color="auto" w:fill="auto"/>
          </w:tcPr>
          <w:p w14:paraId="2DA55E66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14:paraId="3C234CB7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18.18</w:t>
            </w:r>
          </w:p>
        </w:tc>
        <w:tc>
          <w:tcPr>
            <w:tcW w:w="413" w:type="dxa"/>
            <w:shd w:val="clear" w:color="auto" w:fill="auto"/>
          </w:tcPr>
          <w:p w14:paraId="3142E445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7" w:type="dxa"/>
            <w:shd w:val="clear" w:color="auto" w:fill="auto"/>
          </w:tcPr>
          <w:p w14:paraId="6E3BF219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0.331</w:t>
            </w:r>
          </w:p>
        </w:tc>
        <w:tc>
          <w:tcPr>
            <w:tcW w:w="708" w:type="dxa"/>
            <w:shd w:val="clear" w:color="auto" w:fill="auto"/>
          </w:tcPr>
          <w:p w14:paraId="0CC38A6B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1228" w:type="dxa"/>
            <w:shd w:val="clear" w:color="auto" w:fill="auto"/>
          </w:tcPr>
          <w:p w14:paraId="44A1DC8C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 xml:space="preserve">10 </w:t>
            </w:r>
          </w:p>
        </w:tc>
        <w:tc>
          <w:tcPr>
            <w:tcW w:w="836" w:type="dxa"/>
            <w:shd w:val="clear" w:color="auto" w:fill="auto"/>
          </w:tcPr>
          <w:p w14:paraId="1096D11C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31.25</w:t>
            </w:r>
          </w:p>
        </w:tc>
        <w:tc>
          <w:tcPr>
            <w:tcW w:w="1144" w:type="dxa"/>
            <w:shd w:val="clear" w:color="auto" w:fill="auto"/>
          </w:tcPr>
          <w:p w14:paraId="04E0E861" w14:textId="77777777" w:rsidR="005840B2" w:rsidRPr="00462B79" w:rsidRDefault="005840B2" w:rsidP="00AD563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2.045</w:t>
            </w:r>
          </w:p>
        </w:tc>
      </w:tr>
      <w:tr w:rsidR="00462B79" w:rsidRPr="00462B79" w14:paraId="4AC1BC23" w14:textId="77777777" w:rsidTr="00AD5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</w:tcPr>
          <w:p w14:paraId="797C7380" w14:textId="77777777" w:rsidR="005840B2" w:rsidRPr="00462B79" w:rsidRDefault="005840B2" w:rsidP="00AD5634">
            <w:pPr>
              <w:widowControl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95&lt; to 100</w:t>
            </w:r>
          </w:p>
        </w:tc>
        <w:tc>
          <w:tcPr>
            <w:tcW w:w="851" w:type="dxa"/>
            <w:shd w:val="clear" w:color="auto" w:fill="auto"/>
          </w:tcPr>
          <w:p w14:paraId="3667E3A5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0.509</w:t>
            </w:r>
          </w:p>
        </w:tc>
        <w:tc>
          <w:tcPr>
            <w:tcW w:w="691" w:type="dxa"/>
            <w:shd w:val="clear" w:color="auto" w:fill="auto"/>
          </w:tcPr>
          <w:p w14:paraId="4A950B61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</w:p>
        </w:tc>
        <w:tc>
          <w:tcPr>
            <w:tcW w:w="828" w:type="dxa"/>
            <w:shd w:val="clear" w:color="auto" w:fill="auto"/>
          </w:tcPr>
          <w:p w14:paraId="52E26B4B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836" w:type="dxa"/>
            <w:shd w:val="clear" w:color="auto" w:fill="auto"/>
          </w:tcPr>
          <w:p w14:paraId="533AFB08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21.62</w:t>
            </w:r>
          </w:p>
        </w:tc>
        <w:tc>
          <w:tcPr>
            <w:tcW w:w="413" w:type="dxa"/>
            <w:shd w:val="clear" w:color="auto" w:fill="auto"/>
          </w:tcPr>
          <w:p w14:paraId="18BD3322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7" w:type="dxa"/>
            <w:shd w:val="clear" w:color="auto" w:fill="auto"/>
          </w:tcPr>
          <w:p w14:paraId="2D5F4EEF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0.611</w:t>
            </w:r>
          </w:p>
        </w:tc>
        <w:tc>
          <w:tcPr>
            <w:tcW w:w="708" w:type="dxa"/>
            <w:shd w:val="clear" w:color="auto" w:fill="auto"/>
          </w:tcPr>
          <w:p w14:paraId="3C63E76A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</w:p>
        </w:tc>
        <w:tc>
          <w:tcPr>
            <w:tcW w:w="1228" w:type="dxa"/>
            <w:shd w:val="clear" w:color="auto" w:fill="auto"/>
          </w:tcPr>
          <w:p w14:paraId="5FB19703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836" w:type="dxa"/>
            <w:shd w:val="clear" w:color="auto" w:fill="auto"/>
          </w:tcPr>
          <w:p w14:paraId="3AFB2F33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76.92</w:t>
            </w:r>
          </w:p>
        </w:tc>
        <w:tc>
          <w:tcPr>
            <w:tcW w:w="1144" w:type="dxa"/>
            <w:shd w:val="clear" w:color="auto" w:fill="auto"/>
          </w:tcPr>
          <w:p w14:paraId="514E7A96" w14:textId="77777777" w:rsidR="005840B2" w:rsidRPr="00462B79" w:rsidRDefault="005840B2" w:rsidP="00AD563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12.083</w:t>
            </w:r>
          </w:p>
        </w:tc>
      </w:tr>
    </w:tbl>
    <w:p w14:paraId="055B56EC" w14:textId="77777777" w:rsidR="005840B2" w:rsidRPr="00462B79" w:rsidRDefault="005840B2" w:rsidP="005840B2">
      <w:pPr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462B79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>Empirical OR:</w:t>
      </w:r>
      <w:r w:rsidRPr="00462B79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Propensity-stratum-speciﬁc-treatment–mortality odds ratio; </w:t>
      </w:r>
      <w:r w:rsidRPr="00462B79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>Score*</w:t>
      </w:r>
      <w:r w:rsidRPr="00462B79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: mean propensity score in percentile.</w:t>
      </w:r>
    </w:p>
    <w:p w14:paraId="5612E89E" w14:textId="1C2244CC" w:rsidR="00AD175F" w:rsidRPr="00462B79" w:rsidRDefault="00AD175F" w:rsidP="005840B2">
      <w:pPr>
        <w:rPr>
          <w:rFonts w:ascii="Times New Roman" w:hAnsi="Times New Roman" w:cs="Times New Roman"/>
          <w:color w:val="000000" w:themeColor="text1"/>
        </w:rPr>
      </w:pPr>
    </w:p>
    <w:p w14:paraId="07FAAC83" w14:textId="36B8E2D3" w:rsidR="00AD175F" w:rsidRPr="00462B79" w:rsidRDefault="00AD175F">
      <w:pPr>
        <w:rPr>
          <w:rFonts w:ascii="Times New Roman" w:hAnsi="Times New Roman" w:cs="Times New Roman"/>
          <w:color w:val="000000" w:themeColor="text1"/>
        </w:rPr>
      </w:pPr>
    </w:p>
    <w:p w14:paraId="6DE28C32" w14:textId="2729484F" w:rsidR="00AD175F" w:rsidRPr="00462B79" w:rsidRDefault="00AD175F">
      <w:pPr>
        <w:rPr>
          <w:rFonts w:ascii="Times New Roman" w:hAnsi="Times New Roman" w:cs="Times New Roman"/>
          <w:color w:val="000000" w:themeColor="text1"/>
        </w:rPr>
      </w:pPr>
    </w:p>
    <w:p w14:paraId="75C7D922" w14:textId="0EE1F6C6" w:rsidR="00AD175F" w:rsidRPr="00462B79" w:rsidRDefault="00AD175F">
      <w:pPr>
        <w:rPr>
          <w:rFonts w:ascii="Times New Roman" w:hAnsi="Times New Roman" w:cs="Times New Roman"/>
          <w:color w:val="000000" w:themeColor="text1"/>
        </w:rPr>
      </w:pPr>
    </w:p>
    <w:p w14:paraId="0DC4C281" w14:textId="506687A9" w:rsidR="00AD175F" w:rsidRPr="00462B79" w:rsidRDefault="00AD175F">
      <w:pPr>
        <w:rPr>
          <w:rFonts w:ascii="Times New Roman" w:hAnsi="Times New Roman" w:cs="Times New Roman"/>
          <w:color w:val="000000" w:themeColor="text1"/>
        </w:rPr>
      </w:pPr>
    </w:p>
    <w:p w14:paraId="086F2C19" w14:textId="6DDCCC71" w:rsidR="00662603" w:rsidRPr="00462B79" w:rsidRDefault="00662603">
      <w:pPr>
        <w:rPr>
          <w:rFonts w:ascii="Times New Roman" w:hAnsi="Times New Roman" w:cs="Times New Roman"/>
          <w:color w:val="000000" w:themeColor="text1"/>
        </w:rPr>
      </w:pPr>
      <w:r w:rsidRPr="00462B79">
        <w:rPr>
          <w:rFonts w:ascii="Times New Roman" w:hAnsi="Times New Roman" w:cs="Times New Roman"/>
          <w:color w:val="000000" w:themeColor="text1"/>
        </w:rPr>
        <w:br w:type="page"/>
      </w:r>
    </w:p>
    <w:p w14:paraId="4A9BFB98" w14:textId="77777777" w:rsidR="00AD175F" w:rsidRPr="00462B79" w:rsidRDefault="00AD175F">
      <w:pPr>
        <w:rPr>
          <w:rFonts w:ascii="Times New Roman" w:hAnsi="Times New Roman" w:cs="Times New Roman"/>
          <w:color w:val="000000" w:themeColor="text1"/>
        </w:rPr>
      </w:pPr>
    </w:p>
    <w:p w14:paraId="69E0FDB2" w14:textId="77777777" w:rsidR="00AD175F" w:rsidRPr="00462B79" w:rsidRDefault="00AD175F">
      <w:pPr>
        <w:rPr>
          <w:rFonts w:ascii="Times New Roman" w:hAnsi="Times New Roman" w:cs="Times New Roman"/>
          <w:color w:val="000000" w:themeColor="text1"/>
        </w:rPr>
      </w:pPr>
    </w:p>
    <w:p w14:paraId="084C7AA6" w14:textId="7909E4BA" w:rsidR="008335D3" w:rsidRPr="00462B79" w:rsidRDefault="008335D3">
      <w:pPr>
        <w:rPr>
          <w:rFonts w:ascii="Times New Roman" w:hAnsi="Times New Roman" w:cs="Times New Roman"/>
          <w:color w:val="000000" w:themeColor="text1"/>
        </w:rPr>
      </w:pPr>
    </w:p>
    <w:p w14:paraId="0B98BD24" w14:textId="71875B21" w:rsidR="008335D3" w:rsidRPr="00462B79" w:rsidRDefault="0071357F">
      <w:pPr>
        <w:rPr>
          <w:rFonts w:ascii="Times New Roman" w:hAnsi="Times New Roman" w:cs="Times New Roman"/>
          <w:color w:val="000000" w:themeColor="text1"/>
        </w:rPr>
      </w:pPr>
      <w:r w:rsidRPr="00462B79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Table S2 </w:t>
      </w:r>
      <w:r w:rsidRPr="00462B79">
        <w:rPr>
          <w:rFonts w:ascii="Times New Roman" w:hAnsi="Times New Roman" w:cs="Times New Roman"/>
          <w:color w:val="000000" w:themeColor="text1"/>
        </w:rPr>
        <w:t>The associations of CPR duration, thrombocytopenia, and metabolic or electrolyte abnormalities with survival to hospital discharge before and after PS matching.</w:t>
      </w:r>
    </w:p>
    <w:tbl>
      <w:tblPr>
        <w:tblStyle w:val="6"/>
        <w:tblW w:w="8596" w:type="dxa"/>
        <w:tblLook w:val="04A0" w:firstRow="1" w:lastRow="0" w:firstColumn="1" w:lastColumn="0" w:noHBand="0" w:noVBand="1"/>
      </w:tblPr>
      <w:tblGrid>
        <w:gridCol w:w="3268"/>
        <w:gridCol w:w="2130"/>
        <w:gridCol w:w="424"/>
        <w:gridCol w:w="2774"/>
      </w:tblGrid>
      <w:tr w:rsidR="00462B79" w:rsidRPr="00462B79" w14:paraId="7855541A" w14:textId="77777777" w:rsidTr="00BB4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8" w:type="dxa"/>
            <w:tcBorders>
              <w:top w:val="single" w:sz="4" w:space="0" w:color="000000" w:themeColor="text1"/>
              <w:bottom w:val="nil"/>
            </w:tcBorders>
            <w:shd w:val="clear" w:color="auto" w:fill="auto"/>
          </w:tcPr>
          <w:p w14:paraId="1EB04770" w14:textId="77777777" w:rsidR="00DC7984" w:rsidRPr="00462B79" w:rsidRDefault="00DC7984" w:rsidP="002911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single" w:sz="4" w:space="0" w:color="000000" w:themeColor="text1"/>
            </w:tcBorders>
            <w:shd w:val="clear" w:color="auto" w:fill="auto"/>
          </w:tcPr>
          <w:p w14:paraId="6BB1582B" w14:textId="4503B3D8" w:rsidR="00DC7984" w:rsidRPr="00462B79" w:rsidRDefault="00DC7984" w:rsidP="0029117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Before matching</w:t>
            </w:r>
          </w:p>
        </w:tc>
        <w:tc>
          <w:tcPr>
            <w:tcW w:w="424" w:type="dxa"/>
            <w:tcBorders>
              <w:top w:val="single" w:sz="4" w:space="0" w:color="000000" w:themeColor="text1"/>
              <w:bottom w:val="nil"/>
            </w:tcBorders>
            <w:shd w:val="clear" w:color="auto" w:fill="auto"/>
          </w:tcPr>
          <w:p w14:paraId="46327B2F" w14:textId="77777777" w:rsidR="00DC7984" w:rsidRPr="00462B79" w:rsidRDefault="00DC7984" w:rsidP="0029117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</w:tcBorders>
            <w:shd w:val="clear" w:color="auto" w:fill="auto"/>
          </w:tcPr>
          <w:p w14:paraId="0D906A93" w14:textId="2FFE348B" w:rsidR="00DC7984" w:rsidRPr="00462B79" w:rsidRDefault="00DC7984" w:rsidP="0029117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After matching</w:t>
            </w:r>
          </w:p>
        </w:tc>
      </w:tr>
      <w:tr w:rsidR="00462B79" w:rsidRPr="00462B79" w14:paraId="45798311" w14:textId="5C31DF54" w:rsidTr="00BB4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4B4CBA" w14:textId="77777777" w:rsidR="00DC7984" w:rsidRPr="00462B79" w:rsidRDefault="00DC7984" w:rsidP="002911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</w:tcPr>
          <w:p w14:paraId="236A70E3" w14:textId="08F7E1EF" w:rsidR="00DC7984" w:rsidRPr="00462B79" w:rsidRDefault="00DC7984" w:rsidP="002911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 xml:space="preserve">(OR.,95%CI) </w:t>
            </w:r>
            <w:r w:rsidR="002D74D9" w:rsidRPr="00462B79">
              <w:rPr>
                <w:rFonts w:ascii="Times New Roman" w:hAnsi="Times New Roman" w:cs="Times New Roman"/>
                <w:sz w:val="15"/>
                <w:szCs w:val="15"/>
              </w:rPr>
              <w:t xml:space="preserve">     </w:t>
            </w: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</w:t>
            </w:r>
            <w:r w:rsidRPr="00462B79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p</w:t>
            </w:r>
          </w:p>
        </w:tc>
        <w:tc>
          <w:tcPr>
            <w:tcW w:w="4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31987C" w14:textId="77777777" w:rsidR="00DC7984" w:rsidRPr="00462B79" w:rsidRDefault="00DC7984" w:rsidP="002911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  <w:shd w:val="clear" w:color="auto" w:fill="auto"/>
          </w:tcPr>
          <w:p w14:paraId="4FF139A9" w14:textId="29FA0001" w:rsidR="00DC7984" w:rsidRPr="00462B79" w:rsidRDefault="00DC7984" w:rsidP="002911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 xml:space="preserve">(OR.,95%CI) </w:t>
            </w:r>
            <w:r w:rsidR="002D74D9" w:rsidRPr="00462B79">
              <w:rPr>
                <w:rFonts w:ascii="Times New Roman" w:hAnsi="Times New Roman" w:cs="Times New Roman"/>
                <w:sz w:val="15"/>
                <w:szCs w:val="15"/>
              </w:rPr>
              <w:t xml:space="preserve">     </w:t>
            </w: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</w:t>
            </w:r>
            <w:r w:rsidRPr="00462B79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p</w:t>
            </w:r>
          </w:p>
        </w:tc>
      </w:tr>
      <w:tr w:rsidR="00462B79" w:rsidRPr="00462B79" w14:paraId="43715C47" w14:textId="743DEC92" w:rsidTr="00BB49E8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BB3CDF8" w14:textId="56964981" w:rsidR="00DC7984" w:rsidRPr="00462B79" w:rsidRDefault="00DC7984" w:rsidP="002911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Thrombocytopenia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5EEC110" w14:textId="3BB67902" w:rsidR="00DC7984" w:rsidRPr="00462B79" w:rsidRDefault="00DC7984" w:rsidP="002911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1.270 (0.838, 1.927) 0.260</w:t>
            </w: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auto"/>
            </w:tcBorders>
            <w:shd w:val="clear" w:color="auto" w:fill="auto"/>
          </w:tcPr>
          <w:p w14:paraId="429E9A23" w14:textId="77777777" w:rsidR="00DC7984" w:rsidRPr="00462B79" w:rsidRDefault="00DC7984" w:rsidP="002911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74" w:type="dxa"/>
            <w:tcBorders>
              <w:top w:val="single" w:sz="4" w:space="0" w:color="auto"/>
            </w:tcBorders>
            <w:shd w:val="clear" w:color="auto" w:fill="auto"/>
          </w:tcPr>
          <w:p w14:paraId="35527611" w14:textId="76DEEEE4" w:rsidR="00DC7984" w:rsidRPr="00462B79" w:rsidRDefault="00DC7984" w:rsidP="002911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 xml:space="preserve">0.676 (0.159, 2.884) 0.597 </w:t>
            </w: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 xml:space="preserve"> </w:t>
            </w:r>
          </w:p>
        </w:tc>
      </w:tr>
      <w:tr w:rsidR="00462B79" w:rsidRPr="00462B79" w14:paraId="3B63EF31" w14:textId="37882DC3" w:rsidTr="00BB4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8" w:type="dxa"/>
            <w:shd w:val="clear" w:color="auto" w:fill="auto"/>
            <w:hideMark/>
          </w:tcPr>
          <w:p w14:paraId="6EEDE4FC" w14:textId="5A04A842" w:rsidR="00DC7984" w:rsidRPr="00462B79" w:rsidRDefault="00DC7984" w:rsidP="002911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Metabolic or electrolyte abnormality</w:t>
            </w:r>
          </w:p>
        </w:tc>
        <w:tc>
          <w:tcPr>
            <w:tcW w:w="2130" w:type="dxa"/>
            <w:shd w:val="clear" w:color="auto" w:fill="auto"/>
            <w:hideMark/>
          </w:tcPr>
          <w:p w14:paraId="58EDF1D9" w14:textId="3F6A266A" w:rsidR="00DC7984" w:rsidRPr="00462B79" w:rsidRDefault="00DC7984" w:rsidP="002911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0.815 (0.546, 1.218) 0.319</w:t>
            </w:r>
          </w:p>
        </w:tc>
        <w:tc>
          <w:tcPr>
            <w:tcW w:w="424" w:type="dxa"/>
            <w:shd w:val="clear" w:color="auto" w:fill="auto"/>
          </w:tcPr>
          <w:p w14:paraId="6EED7F31" w14:textId="77777777" w:rsidR="00DC7984" w:rsidRPr="00462B79" w:rsidRDefault="00DC7984" w:rsidP="002911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74" w:type="dxa"/>
            <w:shd w:val="clear" w:color="auto" w:fill="auto"/>
          </w:tcPr>
          <w:p w14:paraId="6D540E7C" w14:textId="617F9A6F" w:rsidR="00DC7984" w:rsidRPr="00462B79" w:rsidRDefault="00DC7984" w:rsidP="0029117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1.644 (0.576, 4.694) 0.353</w:t>
            </w:r>
          </w:p>
        </w:tc>
      </w:tr>
      <w:tr w:rsidR="00462B79" w:rsidRPr="00462B79" w14:paraId="73C17476" w14:textId="4CBCA375" w:rsidTr="00BB49E8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8" w:type="dxa"/>
            <w:shd w:val="clear" w:color="auto" w:fill="auto"/>
            <w:hideMark/>
          </w:tcPr>
          <w:p w14:paraId="03DC1115" w14:textId="2B1186BB" w:rsidR="00DC7984" w:rsidRPr="00462B79" w:rsidRDefault="00DC7984" w:rsidP="0029117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CPR duration</w:t>
            </w:r>
            <w:r w:rsidR="000770EA"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（</w:t>
            </w:r>
            <w:r w:rsidR="000770EA"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minutes</w:t>
            </w:r>
            <w:r w:rsidR="000770EA" w:rsidRPr="00462B7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）</w:t>
            </w:r>
          </w:p>
        </w:tc>
        <w:tc>
          <w:tcPr>
            <w:tcW w:w="2130" w:type="dxa"/>
            <w:shd w:val="clear" w:color="auto" w:fill="auto"/>
            <w:hideMark/>
          </w:tcPr>
          <w:p w14:paraId="7905EF7D" w14:textId="3976B9E9" w:rsidR="00DC7984" w:rsidRPr="00462B79" w:rsidRDefault="00DC7984" w:rsidP="002911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0.938 (0.927, 0.950) &lt;0.001</w:t>
            </w:r>
          </w:p>
        </w:tc>
        <w:tc>
          <w:tcPr>
            <w:tcW w:w="424" w:type="dxa"/>
            <w:shd w:val="clear" w:color="auto" w:fill="auto"/>
          </w:tcPr>
          <w:p w14:paraId="24E25C87" w14:textId="77777777" w:rsidR="00DC7984" w:rsidRPr="00462B79" w:rsidRDefault="00DC7984" w:rsidP="002911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774" w:type="dxa"/>
            <w:shd w:val="clear" w:color="auto" w:fill="auto"/>
          </w:tcPr>
          <w:p w14:paraId="188D1D5E" w14:textId="28356EA4" w:rsidR="00DC7984" w:rsidRPr="00462B79" w:rsidRDefault="00DC7984" w:rsidP="0029117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462B79">
              <w:rPr>
                <w:rFonts w:ascii="Times New Roman" w:hAnsi="Times New Roman" w:cs="Times New Roman"/>
                <w:sz w:val="15"/>
                <w:szCs w:val="15"/>
              </w:rPr>
              <w:t>0.936 (0.911, 0.961) &lt;0.001</w:t>
            </w:r>
          </w:p>
        </w:tc>
      </w:tr>
    </w:tbl>
    <w:p w14:paraId="7A6CA50E" w14:textId="10E94754" w:rsidR="00AE0B2A" w:rsidRPr="00462B79" w:rsidRDefault="00AE0B2A" w:rsidP="00AE0B2A">
      <w:pPr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</w:pPr>
      <w:r w:rsidRPr="00462B79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>Note 1:</w:t>
      </w:r>
      <w:r w:rsidR="000770EA" w:rsidRPr="00462B79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 xml:space="preserve"> </w:t>
      </w:r>
      <w:r w:rsidRPr="00462B79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 xml:space="preserve">Above model adjusted for </w:t>
      </w:r>
      <w:r w:rsidR="00EE0BA6" w:rsidRPr="00462B79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ECPR, age, sex, HF, MI, arrhythmia history, hypotension, respiratory insufficiency, renal insufficiency, regular dialysis, hepatic insufficiency, metabolic or electrolyte abnormality, diabetes, pneumonia, bacteremia, cancer, intracranial </w:t>
      </w:r>
      <w:r w:rsidR="0071357F" w:rsidRPr="00462B79">
        <w:rPr>
          <w:rFonts w:ascii="Times New Roman" w:hAnsi="Times New Roman" w:cs="Times New Roman"/>
          <w:color w:val="000000" w:themeColor="text1"/>
          <w:sz w:val="15"/>
          <w:szCs w:val="15"/>
        </w:rPr>
        <w:t>hemorrhage</w:t>
      </w:r>
      <w:r w:rsidR="00EE0BA6" w:rsidRPr="00462B79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, acute stroke, </w:t>
      </w:r>
      <w:r w:rsidR="0052217D" w:rsidRPr="00462B79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>t</w:t>
      </w:r>
      <w:r w:rsidR="005369A3" w:rsidRPr="00462B79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>hrombocytopenia</w:t>
      </w:r>
      <w:r w:rsidR="005369A3" w:rsidRPr="00462B79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, </w:t>
      </w:r>
      <w:r w:rsidR="00EE0BA6" w:rsidRPr="00462B79">
        <w:rPr>
          <w:rFonts w:ascii="Times New Roman" w:hAnsi="Times New Roman" w:cs="Times New Roman"/>
          <w:color w:val="000000" w:themeColor="text1"/>
          <w:sz w:val="15"/>
          <w:szCs w:val="15"/>
        </w:rPr>
        <w:t>arrest at night, arrest on the weekend, arrest location, witnessed arrest, intra-aortic balloon pumping, percutaneous coronary intervention, and CPR duration</w:t>
      </w:r>
      <w:r w:rsidR="000770EA" w:rsidRPr="00462B79">
        <w:rPr>
          <w:rFonts w:ascii="Times New Roman" w:hAnsi="Times New Roman" w:cs="Times New Roman"/>
          <w:color w:val="000000" w:themeColor="text1"/>
          <w:sz w:val="15"/>
          <w:szCs w:val="15"/>
        </w:rPr>
        <w:t>.</w:t>
      </w:r>
    </w:p>
    <w:p w14:paraId="3504F5D3" w14:textId="02D35549" w:rsidR="00AE0B2A" w:rsidRPr="00462B79" w:rsidRDefault="00AE0B2A" w:rsidP="00AE0B2A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</w:pPr>
      <w:r w:rsidRPr="00462B79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>Note 2:</w:t>
      </w:r>
      <w:r w:rsidR="00031140" w:rsidRPr="00462B79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 xml:space="preserve"> </w:t>
      </w:r>
      <w:r w:rsidRPr="00462B79">
        <w:rPr>
          <w:rFonts w:ascii="Times New Roman" w:eastAsia="宋体" w:hAnsi="Times New Roman" w:cs="Times New Roman"/>
          <w:color w:val="000000" w:themeColor="text1"/>
          <w:kern w:val="0"/>
          <w:sz w:val="15"/>
          <w:szCs w:val="15"/>
        </w:rPr>
        <w:t>When the variable is used as an independent variable, the variable itself was not adjusted.</w:t>
      </w:r>
    </w:p>
    <w:p w14:paraId="7B8A1F4D" w14:textId="7CDFD890" w:rsidR="00806448" w:rsidRPr="00462B79" w:rsidRDefault="00806448">
      <w:pPr>
        <w:rPr>
          <w:rFonts w:ascii="Times New Roman" w:hAnsi="Times New Roman" w:cs="Times New Roman"/>
          <w:color w:val="000000" w:themeColor="text1"/>
        </w:rPr>
      </w:pPr>
    </w:p>
    <w:p w14:paraId="3283F570" w14:textId="0B6B9D89" w:rsidR="00806448" w:rsidRPr="00462B79" w:rsidRDefault="00806448">
      <w:pPr>
        <w:rPr>
          <w:rFonts w:ascii="Times New Roman" w:hAnsi="Times New Roman" w:cs="Times New Roman"/>
          <w:color w:val="000000" w:themeColor="text1"/>
        </w:rPr>
      </w:pPr>
    </w:p>
    <w:p w14:paraId="190AC6F7" w14:textId="4D7FA56E" w:rsidR="00806448" w:rsidRPr="00462B79" w:rsidRDefault="00806448">
      <w:pPr>
        <w:rPr>
          <w:rFonts w:ascii="Times New Roman" w:hAnsi="Times New Roman" w:cs="Times New Roman"/>
          <w:color w:val="000000" w:themeColor="text1"/>
        </w:rPr>
      </w:pPr>
    </w:p>
    <w:p w14:paraId="34FA538A" w14:textId="0263A22A" w:rsidR="00806448" w:rsidRPr="00462B79" w:rsidRDefault="00806448">
      <w:pPr>
        <w:rPr>
          <w:rFonts w:ascii="Times New Roman" w:hAnsi="Times New Roman" w:cs="Times New Roman"/>
          <w:color w:val="000000" w:themeColor="text1"/>
        </w:rPr>
      </w:pPr>
    </w:p>
    <w:p w14:paraId="4350CE3E" w14:textId="0E050814" w:rsidR="00806448" w:rsidRPr="00462B79" w:rsidRDefault="00806448">
      <w:pPr>
        <w:rPr>
          <w:rFonts w:ascii="Times New Roman" w:hAnsi="Times New Roman" w:cs="Times New Roman"/>
          <w:color w:val="000000" w:themeColor="text1"/>
        </w:rPr>
      </w:pPr>
    </w:p>
    <w:p w14:paraId="7213B2CA" w14:textId="520A0F24" w:rsidR="00806448" w:rsidRPr="00462B79" w:rsidRDefault="00806448">
      <w:pPr>
        <w:rPr>
          <w:rFonts w:ascii="Times New Roman" w:hAnsi="Times New Roman" w:cs="Times New Roman"/>
          <w:color w:val="000000" w:themeColor="text1"/>
        </w:rPr>
      </w:pPr>
    </w:p>
    <w:p w14:paraId="66F3B5D0" w14:textId="2E92CF52" w:rsidR="00C72464" w:rsidRPr="00462B79" w:rsidRDefault="00C72464">
      <w:pPr>
        <w:rPr>
          <w:rFonts w:ascii="Times New Roman" w:hAnsi="Times New Roman" w:cs="Times New Roman"/>
          <w:color w:val="000000" w:themeColor="text1"/>
        </w:rPr>
      </w:pPr>
    </w:p>
    <w:p w14:paraId="51283FB3" w14:textId="77777777" w:rsidR="00C72464" w:rsidRPr="00462B79" w:rsidRDefault="00C72464">
      <w:pPr>
        <w:rPr>
          <w:rFonts w:ascii="Times New Roman" w:hAnsi="Times New Roman" w:cs="Times New Roman"/>
          <w:color w:val="000000" w:themeColor="text1"/>
        </w:rPr>
      </w:pPr>
    </w:p>
    <w:p w14:paraId="50841908" w14:textId="2A9E9927" w:rsidR="00806448" w:rsidRPr="00462B79" w:rsidRDefault="008E143D">
      <w:pPr>
        <w:rPr>
          <w:rFonts w:ascii="Times New Roman" w:hAnsi="Times New Roman" w:cs="Times New Roman"/>
          <w:color w:val="000000" w:themeColor="text1"/>
        </w:rPr>
      </w:pPr>
      <w:r w:rsidRPr="00462B79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1663015" wp14:editId="3D9CB7FC">
            <wp:extent cx="5274310" cy="5274310"/>
            <wp:effectExtent l="0" t="0" r="2540" b="2540"/>
            <wp:docPr id="13712861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286120" name="图片 13712861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65E1E" w14:textId="619F02D2" w:rsidR="00806448" w:rsidRPr="00462B79" w:rsidRDefault="00806448" w:rsidP="00806448">
      <w:pPr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b/>
          <w:bCs/>
          <w:color w:val="000000" w:themeColor="text1"/>
          <w:szCs w:val="21"/>
        </w:rPr>
        <w:t>Figure S1 The relationship between propensity score and initial cardiac rhythm in participants with IHCA.</w:t>
      </w:r>
    </w:p>
    <w:p w14:paraId="69255DB1" w14:textId="5BF02E56" w:rsidR="00806448" w:rsidRPr="00462B79" w:rsidRDefault="00806448" w:rsidP="00806448">
      <w:pPr>
        <w:ind w:firstLineChars="50" w:firstLine="105"/>
        <w:rPr>
          <w:rFonts w:ascii="Times New Roman" w:hAnsi="Times New Roman" w:cs="Times New Roman"/>
          <w:color w:val="000000" w:themeColor="text1"/>
          <w:szCs w:val="21"/>
        </w:rPr>
      </w:pPr>
      <w:r w:rsidRPr="00462B79">
        <w:rPr>
          <w:rFonts w:ascii="Times New Roman" w:hAnsi="Times New Roman" w:cs="Times New Roman"/>
          <w:color w:val="000000" w:themeColor="text1"/>
          <w:szCs w:val="21"/>
        </w:rPr>
        <w:t xml:space="preserve">  Figure S1 showed that a higher PS was linked to a higher probability of shockable rhythm in individuals with </w:t>
      </w:r>
      <w:r w:rsidR="007721C9" w:rsidRPr="00462B79">
        <w:rPr>
          <w:rFonts w:ascii="Times New Roman" w:hAnsi="Times New Roman" w:cs="Times New Roman"/>
          <w:color w:val="000000" w:themeColor="text1"/>
          <w:szCs w:val="21"/>
        </w:rPr>
        <w:t>IHCA.</w:t>
      </w:r>
    </w:p>
    <w:p w14:paraId="4BE38EB4" w14:textId="73E664E2" w:rsidR="0035416D" w:rsidRPr="00462B79" w:rsidRDefault="0035416D" w:rsidP="00806448">
      <w:pPr>
        <w:ind w:firstLineChars="50" w:firstLine="105"/>
        <w:rPr>
          <w:rFonts w:ascii="Times New Roman" w:hAnsi="Times New Roman" w:cs="Times New Roman"/>
          <w:color w:val="000000" w:themeColor="text1"/>
          <w:szCs w:val="21"/>
        </w:rPr>
      </w:pPr>
    </w:p>
    <w:p w14:paraId="68B9159B" w14:textId="1F7EBD8B" w:rsidR="0035416D" w:rsidRPr="00462B79" w:rsidRDefault="0035416D" w:rsidP="00806448">
      <w:pPr>
        <w:ind w:firstLineChars="50" w:firstLine="105"/>
        <w:rPr>
          <w:rFonts w:ascii="Times New Roman" w:hAnsi="Times New Roman" w:cs="Times New Roman"/>
          <w:color w:val="000000" w:themeColor="text1"/>
          <w:szCs w:val="21"/>
        </w:rPr>
      </w:pPr>
    </w:p>
    <w:p w14:paraId="5C3A35FE" w14:textId="40362977" w:rsidR="0035416D" w:rsidRPr="00462B79" w:rsidRDefault="0035416D" w:rsidP="00806448">
      <w:pPr>
        <w:ind w:firstLineChars="50" w:firstLine="105"/>
        <w:rPr>
          <w:rFonts w:ascii="Times New Roman" w:hAnsi="Times New Roman" w:cs="Times New Roman"/>
          <w:color w:val="000000" w:themeColor="text1"/>
          <w:szCs w:val="21"/>
        </w:rPr>
      </w:pPr>
    </w:p>
    <w:p w14:paraId="6A4F6D06" w14:textId="77777777" w:rsidR="00806448" w:rsidRPr="00462B79" w:rsidRDefault="00806448">
      <w:pPr>
        <w:rPr>
          <w:rFonts w:ascii="Times New Roman" w:hAnsi="Times New Roman" w:cs="Times New Roman"/>
          <w:color w:val="000000" w:themeColor="text1"/>
        </w:rPr>
      </w:pPr>
    </w:p>
    <w:sectPr w:rsidR="00806448" w:rsidRPr="00462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7DEFE" w14:textId="77777777" w:rsidR="00F83737" w:rsidRDefault="00F83737" w:rsidP="00837289">
      <w:r>
        <w:separator/>
      </w:r>
    </w:p>
  </w:endnote>
  <w:endnote w:type="continuationSeparator" w:id="0">
    <w:p w14:paraId="6739EA60" w14:textId="77777777" w:rsidR="00F83737" w:rsidRDefault="00F83737" w:rsidP="0083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4B1C2" w14:textId="77777777" w:rsidR="00F83737" w:rsidRDefault="00F83737" w:rsidP="00837289">
      <w:r>
        <w:separator/>
      </w:r>
    </w:p>
  </w:footnote>
  <w:footnote w:type="continuationSeparator" w:id="0">
    <w:p w14:paraId="72EA3F3F" w14:textId="77777777" w:rsidR="00F83737" w:rsidRDefault="00F83737" w:rsidP="008372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yMTQ0MjEFMiwszZR0lIJTi4sz8/NACoxMagFojejZLQAAAA=="/>
  </w:docVars>
  <w:rsids>
    <w:rsidRoot w:val="00B635B3"/>
    <w:rsid w:val="00031140"/>
    <w:rsid w:val="000524E2"/>
    <w:rsid w:val="00067372"/>
    <w:rsid w:val="000770EA"/>
    <w:rsid w:val="000877D4"/>
    <w:rsid w:val="000D4C83"/>
    <w:rsid w:val="000D62B1"/>
    <w:rsid w:val="000F6B61"/>
    <w:rsid w:val="00134F14"/>
    <w:rsid w:val="00154E22"/>
    <w:rsid w:val="00176959"/>
    <w:rsid w:val="001F4039"/>
    <w:rsid w:val="00236956"/>
    <w:rsid w:val="002608DF"/>
    <w:rsid w:val="00291175"/>
    <w:rsid w:val="002D74D9"/>
    <w:rsid w:val="00303061"/>
    <w:rsid w:val="00313D23"/>
    <w:rsid w:val="0035416D"/>
    <w:rsid w:val="003A5181"/>
    <w:rsid w:val="003D34A4"/>
    <w:rsid w:val="0041623B"/>
    <w:rsid w:val="00425A84"/>
    <w:rsid w:val="004335D2"/>
    <w:rsid w:val="00451AF8"/>
    <w:rsid w:val="00462B79"/>
    <w:rsid w:val="004921CC"/>
    <w:rsid w:val="004C1563"/>
    <w:rsid w:val="004F4837"/>
    <w:rsid w:val="00504BA7"/>
    <w:rsid w:val="0052217D"/>
    <w:rsid w:val="0052500F"/>
    <w:rsid w:val="005369A3"/>
    <w:rsid w:val="005840B2"/>
    <w:rsid w:val="0058586B"/>
    <w:rsid w:val="00593612"/>
    <w:rsid w:val="005A72B4"/>
    <w:rsid w:val="005D3FC7"/>
    <w:rsid w:val="00624F83"/>
    <w:rsid w:val="00641591"/>
    <w:rsid w:val="00660AA3"/>
    <w:rsid w:val="00662603"/>
    <w:rsid w:val="006649E8"/>
    <w:rsid w:val="006C6A72"/>
    <w:rsid w:val="006F6C28"/>
    <w:rsid w:val="0071357F"/>
    <w:rsid w:val="007324AC"/>
    <w:rsid w:val="00734BB1"/>
    <w:rsid w:val="00737433"/>
    <w:rsid w:val="007701EF"/>
    <w:rsid w:val="007721C9"/>
    <w:rsid w:val="007747E4"/>
    <w:rsid w:val="007879EF"/>
    <w:rsid w:val="007A0303"/>
    <w:rsid w:val="00806448"/>
    <w:rsid w:val="00830E00"/>
    <w:rsid w:val="008335D3"/>
    <w:rsid w:val="00837289"/>
    <w:rsid w:val="008477A0"/>
    <w:rsid w:val="008E143D"/>
    <w:rsid w:val="00900ECD"/>
    <w:rsid w:val="0091122E"/>
    <w:rsid w:val="009274F8"/>
    <w:rsid w:val="009715D3"/>
    <w:rsid w:val="00975E99"/>
    <w:rsid w:val="009E7CD1"/>
    <w:rsid w:val="00A05CEE"/>
    <w:rsid w:val="00A408FA"/>
    <w:rsid w:val="00A422E5"/>
    <w:rsid w:val="00A4431C"/>
    <w:rsid w:val="00A5771E"/>
    <w:rsid w:val="00A718E6"/>
    <w:rsid w:val="00A76297"/>
    <w:rsid w:val="00A929BE"/>
    <w:rsid w:val="00AC7133"/>
    <w:rsid w:val="00AD175F"/>
    <w:rsid w:val="00AE0B2A"/>
    <w:rsid w:val="00AF3719"/>
    <w:rsid w:val="00B61400"/>
    <w:rsid w:val="00B635B3"/>
    <w:rsid w:val="00BB49E8"/>
    <w:rsid w:val="00BB5711"/>
    <w:rsid w:val="00BD4FC4"/>
    <w:rsid w:val="00C03AE1"/>
    <w:rsid w:val="00C14020"/>
    <w:rsid w:val="00C43958"/>
    <w:rsid w:val="00C55AE4"/>
    <w:rsid w:val="00C72464"/>
    <w:rsid w:val="00CA14CD"/>
    <w:rsid w:val="00CB13C7"/>
    <w:rsid w:val="00CC2308"/>
    <w:rsid w:val="00CC7466"/>
    <w:rsid w:val="00CD4BDF"/>
    <w:rsid w:val="00CE0732"/>
    <w:rsid w:val="00D15534"/>
    <w:rsid w:val="00D27137"/>
    <w:rsid w:val="00D3530B"/>
    <w:rsid w:val="00D40161"/>
    <w:rsid w:val="00D56647"/>
    <w:rsid w:val="00D8023C"/>
    <w:rsid w:val="00D931A5"/>
    <w:rsid w:val="00DB4F96"/>
    <w:rsid w:val="00DC7984"/>
    <w:rsid w:val="00DE0D7F"/>
    <w:rsid w:val="00E01475"/>
    <w:rsid w:val="00E37613"/>
    <w:rsid w:val="00E56D7D"/>
    <w:rsid w:val="00E66324"/>
    <w:rsid w:val="00EA64FA"/>
    <w:rsid w:val="00EE0BA6"/>
    <w:rsid w:val="00F02386"/>
    <w:rsid w:val="00F217E3"/>
    <w:rsid w:val="00F83737"/>
    <w:rsid w:val="00F874FC"/>
    <w:rsid w:val="00F92259"/>
    <w:rsid w:val="00F92A7B"/>
    <w:rsid w:val="00F946F4"/>
    <w:rsid w:val="00FE420B"/>
    <w:rsid w:val="00F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C3640"/>
  <w15:chartTrackingRefBased/>
  <w15:docId w15:val="{BF1C23C7-2B33-453F-A06C-4AA114A3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F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2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72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72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7289"/>
    <w:rPr>
      <w:sz w:val="18"/>
      <w:szCs w:val="18"/>
    </w:rPr>
  </w:style>
  <w:style w:type="table" w:styleId="6">
    <w:name w:val="List Table 6 Colorful"/>
    <w:basedOn w:val="a1"/>
    <w:uiPriority w:val="51"/>
    <w:rsid w:val="0083728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7">
    <w:name w:val="Hyperlink"/>
    <w:basedOn w:val="a0"/>
    <w:uiPriority w:val="99"/>
    <w:unhideWhenUsed/>
    <w:rsid w:val="008477A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477A0"/>
    <w:rPr>
      <w:color w:val="605E5C"/>
      <w:shd w:val="clear" w:color="auto" w:fill="E1DFDD"/>
    </w:rPr>
  </w:style>
  <w:style w:type="table" w:styleId="60">
    <w:name w:val="Grid Table 6 Colorful"/>
    <w:basedOn w:val="a1"/>
    <w:uiPriority w:val="51"/>
    <w:rsid w:val="00E376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">
    <w:name w:val="List Table 2"/>
    <w:basedOn w:val="a1"/>
    <w:uiPriority w:val="47"/>
    <w:rsid w:val="005840B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D42F2-B8D4-45E2-BED7-B435DE63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yong</dc:creator>
  <cp:keywords/>
  <dc:description/>
  <cp:lastModifiedBy>yong han</cp:lastModifiedBy>
  <cp:revision>125</cp:revision>
  <dcterms:created xsi:type="dcterms:W3CDTF">2022-06-09T09:38:00Z</dcterms:created>
  <dcterms:modified xsi:type="dcterms:W3CDTF">2024-03-06T10:21:00Z</dcterms:modified>
</cp:coreProperties>
</file>