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B4983" w14:textId="77777777" w:rsidR="00E069A3" w:rsidRPr="00E80624" w:rsidRDefault="00E069A3" w:rsidP="00E069A3">
      <w:pPr>
        <w:jc w:val="center"/>
        <w:rPr>
          <w:b/>
          <w:sz w:val="32"/>
          <w:szCs w:val="32"/>
          <w:lang w:val="en-US"/>
        </w:rPr>
      </w:pPr>
      <w:r w:rsidRPr="00E80624">
        <w:rPr>
          <w:b/>
          <w:sz w:val="32"/>
          <w:szCs w:val="32"/>
          <w:lang w:val="en-US"/>
        </w:rPr>
        <w:t>Sarcopenia and adipose tissue evaluation by artificial intelligence predicts the overall survival after TAVI</w:t>
      </w:r>
    </w:p>
    <w:p w14:paraId="245FED40" w14:textId="77777777" w:rsidR="00E069A3" w:rsidRDefault="00E069A3" w:rsidP="00E069A3">
      <w:pPr>
        <w:shd w:val="clear" w:color="auto" w:fill="FFFFFF"/>
        <w:rPr>
          <w:b/>
          <w:color w:val="222222"/>
          <w:sz w:val="24"/>
          <w:szCs w:val="24"/>
        </w:rPr>
      </w:pPr>
      <w:bookmarkStart w:id="0" w:name="_hy82fc37u2gk" w:colFirst="0" w:colLast="0"/>
      <w:bookmarkEnd w:id="0"/>
    </w:p>
    <w:p w14:paraId="125B4CC1" w14:textId="133A1304" w:rsidR="00934B31" w:rsidRPr="00E069A3" w:rsidRDefault="00E069A3" w:rsidP="00E069A3">
      <w:r>
        <w:rPr>
          <w:b/>
          <w:color w:val="222222"/>
          <w:sz w:val="24"/>
          <w:szCs w:val="24"/>
        </w:rPr>
        <w:t>Table S</w:t>
      </w:r>
      <w:r w:rsidR="00A45690">
        <w:rPr>
          <w:b/>
          <w:color w:val="222222"/>
          <w:sz w:val="24"/>
          <w:szCs w:val="24"/>
        </w:rPr>
        <w:t>5</w:t>
      </w:r>
      <w:r>
        <w:rPr>
          <w:b/>
          <w:color w:val="222222"/>
          <w:sz w:val="24"/>
          <w:szCs w:val="24"/>
        </w:rPr>
        <w:t>:</w:t>
      </w:r>
      <w:r w:rsidRPr="00E069A3">
        <w:rPr>
          <w:color w:val="222222"/>
          <w:sz w:val="24"/>
          <w:szCs w:val="24"/>
        </w:rPr>
        <w:t xml:space="preserve"> </w:t>
      </w:r>
      <w:r>
        <w:rPr>
          <w:color w:val="222222"/>
          <w:sz w:val="24"/>
          <w:szCs w:val="24"/>
        </w:rPr>
        <w:t>Univariate Cox analysis</w:t>
      </w:r>
    </w:p>
    <w:p w14:paraId="539C4122" w14:textId="77777777" w:rsidR="00934B31" w:rsidRDefault="00934B31">
      <w:pPr>
        <w:shd w:val="clear" w:color="auto" w:fill="FFFFFF"/>
        <w:rPr>
          <w:color w:val="222222"/>
          <w:sz w:val="24"/>
          <w:szCs w:val="24"/>
        </w:rPr>
      </w:pPr>
    </w:p>
    <w:tbl>
      <w:tblPr>
        <w:tblStyle w:val="a0"/>
        <w:tblpPr w:leftFromText="141" w:rightFromText="141" w:vertAnchor="text"/>
        <w:tblW w:w="651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71"/>
        <w:gridCol w:w="2171"/>
        <w:gridCol w:w="2171"/>
      </w:tblGrid>
      <w:tr w:rsidR="003C3F86" w14:paraId="23F2156C" w14:textId="795B3A63" w:rsidTr="003C3F86">
        <w:trPr>
          <w:trHeight w:val="315"/>
        </w:trPr>
        <w:tc>
          <w:tcPr>
            <w:tcW w:w="21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7B97F5" w14:textId="77777777" w:rsidR="003C3F86" w:rsidRDefault="003C3F86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1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B8F749" w14:textId="32C6C604" w:rsidR="003C3F86" w:rsidRDefault="003C3F86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HR (95% CI)</w:t>
            </w:r>
          </w:p>
        </w:tc>
        <w:tc>
          <w:tcPr>
            <w:tcW w:w="21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BDBE027" w14:textId="75BA83A5" w:rsidR="003C3F86" w:rsidRDefault="003C3F86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 value</w:t>
            </w:r>
          </w:p>
        </w:tc>
      </w:tr>
      <w:tr w:rsidR="003C3F86" w14:paraId="6759998E" w14:textId="7D32F921" w:rsidTr="003C3F86">
        <w:trPr>
          <w:trHeight w:val="315"/>
        </w:trPr>
        <w:tc>
          <w:tcPr>
            <w:tcW w:w="21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2CA61B" w14:textId="77777777" w:rsidR="003C3F86" w:rsidRDefault="003C3F86" w:rsidP="003C3F86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SMI</w:t>
            </w:r>
          </w:p>
        </w:tc>
        <w:tc>
          <w:tcPr>
            <w:tcW w:w="21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7CB3A" w14:textId="5BA49DC3" w:rsidR="003C3F86" w:rsidRDefault="003C3F86" w:rsidP="003C3F86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0.991 (</w:t>
            </w:r>
            <w:r w:rsidRPr="003C3F86">
              <w:rPr>
                <w:sz w:val="20"/>
                <w:szCs w:val="20"/>
              </w:rPr>
              <w:t>0.980</w:t>
            </w:r>
            <w:r>
              <w:rPr>
                <w:sz w:val="20"/>
                <w:szCs w:val="20"/>
              </w:rPr>
              <w:t xml:space="preserve"> </w:t>
            </w:r>
            <w:r w:rsidRPr="003C3F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3C3F86">
              <w:rPr>
                <w:sz w:val="20"/>
                <w:szCs w:val="20"/>
              </w:rPr>
              <w:t>1.002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1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78C5356" w14:textId="12229B5C" w:rsidR="003C3F86" w:rsidRDefault="003C3F86" w:rsidP="003C3F86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0.114</w:t>
            </w:r>
          </w:p>
        </w:tc>
      </w:tr>
      <w:tr w:rsidR="003C3F86" w14:paraId="51EB99B6" w14:textId="77777777" w:rsidTr="003C3F86">
        <w:trPr>
          <w:trHeight w:val="315"/>
        </w:trPr>
        <w:tc>
          <w:tcPr>
            <w:tcW w:w="21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00DA2E" w14:textId="23E56EC9" w:rsidR="003C3F86" w:rsidRDefault="003C3F86" w:rsidP="003C3F86">
            <w:pPr>
              <w:widowControl w:val="0"/>
              <w:rPr>
                <w:b/>
                <w:sz w:val="20"/>
                <w:szCs w:val="20"/>
              </w:rPr>
            </w:pPr>
            <w:r w:rsidRPr="003C3F86">
              <w:rPr>
                <w:b/>
                <w:sz w:val="20"/>
                <w:szCs w:val="20"/>
              </w:rPr>
              <w:t>VAT density</w:t>
            </w:r>
          </w:p>
        </w:tc>
        <w:tc>
          <w:tcPr>
            <w:tcW w:w="21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BEFD96" w14:textId="1B002615" w:rsidR="003C3F86" w:rsidRDefault="003C3F86" w:rsidP="003C3F86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1.016 (</w:t>
            </w:r>
            <w:r w:rsidRPr="003C3F86">
              <w:rPr>
                <w:sz w:val="20"/>
                <w:szCs w:val="20"/>
              </w:rPr>
              <w:t>1.004</w:t>
            </w:r>
            <w:r w:rsidR="00A3169E">
              <w:rPr>
                <w:sz w:val="20"/>
                <w:szCs w:val="20"/>
              </w:rPr>
              <w:t xml:space="preserve"> </w:t>
            </w:r>
            <w:r w:rsidRPr="003C3F86">
              <w:rPr>
                <w:sz w:val="20"/>
                <w:szCs w:val="20"/>
              </w:rPr>
              <w:t>-</w:t>
            </w:r>
            <w:r w:rsidR="00A3169E">
              <w:rPr>
                <w:sz w:val="20"/>
                <w:szCs w:val="20"/>
              </w:rPr>
              <w:t xml:space="preserve"> </w:t>
            </w:r>
            <w:r w:rsidRPr="003C3F86">
              <w:rPr>
                <w:sz w:val="20"/>
                <w:szCs w:val="20"/>
              </w:rPr>
              <w:t>1.029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1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7667D8F" w14:textId="797E65CF" w:rsidR="003C3F86" w:rsidRDefault="003C3F86" w:rsidP="003C3F86">
            <w:pPr>
              <w:widowControl w:val="0"/>
              <w:rPr>
                <w:sz w:val="20"/>
                <w:szCs w:val="20"/>
              </w:rPr>
            </w:pPr>
            <w:r w:rsidRPr="003C3F86">
              <w:rPr>
                <w:sz w:val="20"/>
                <w:szCs w:val="20"/>
              </w:rPr>
              <w:t>0.009</w:t>
            </w:r>
          </w:p>
        </w:tc>
      </w:tr>
      <w:tr w:rsidR="003C3F86" w14:paraId="24E794E2" w14:textId="77777777" w:rsidTr="003C3F86">
        <w:trPr>
          <w:trHeight w:val="315"/>
        </w:trPr>
        <w:tc>
          <w:tcPr>
            <w:tcW w:w="21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A678D5" w14:textId="33AAE8AB" w:rsidR="003C3F86" w:rsidRDefault="003C3F86" w:rsidP="003C3F86">
            <w:pPr>
              <w:widowControl w:val="0"/>
              <w:rPr>
                <w:b/>
                <w:sz w:val="20"/>
                <w:szCs w:val="20"/>
              </w:rPr>
            </w:pPr>
            <w:r w:rsidRPr="003C3F86">
              <w:rPr>
                <w:b/>
                <w:sz w:val="20"/>
                <w:szCs w:val="20"/>
              </w:rPr>
              <w:t>SAT density</w:t>
            </w:r>
          </w:p>
        </w:tc>
        <w:tc>
          <w:tcPr>
            <w:tcW w:w="21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763C66" w14:textId="73CA01C1" w:rsidR="003C3F86" w:rsidRDefault="003C3F86" w:rsidP="003C3F86">
            <w:pPr>
              <w:widowControl w:val="0"/>
              <w:jc w:val="right"/>
              <w:rPr>
                <w:sz w:val="20"/>
                <w:szCs w:val="20"/>
              </w:rPr>
            </w:pPr>
            <w:r w:rsidRPr="003C3F86">
              <w:rPr>
                <w:sz w:val="20"/>
                <w:szCs w:val="20"/>
              </w:rPr>
              <w:t>1.017</w:t>
            </w:r>
            <w:r>
              <w:rPr>
                <w:sz w:val="20"/>
                <w:szCs w:val="20"/>
              </w:rPr>
              <w:t xml:space="preserve"> (</w:t>
            </w:r>
            <w:r w:rsidRPr="003C3F86">
              <w:rPr>
                <w:sz w:val="20"/>
                <w:szCs w:val="20"/>
              </w:rPr>
              <w:t>1.008</w:t>
            </w:r>
            <w:r w:rsidR="00A3169E">
              <w:rPr>
                <w:sz w:val="20"/>
                <w:szCs w:val="20"/>
              </w:rPr>
              <w:t xml:space="preserve"> </w:t>
            </w:r>
            <w:r w:rsidRPr="003C3F86">
              <w:rPr>
                <w:sz w:val="20"/>
                <w:szCs w:val="20"/>
              </w:rPr>
              <w:t>-</w:t>
            </w:r>
            <w:r w:rsidR="00A3169E">
              <w:rPr>
                <w:sz w:val="20"/>
                <w:szCs w:val="20"/>
              </w:rPr>
              <w:t xml:space="preserve"> </w:t>
            </w:r>
            <w:r w:rsidRPr="003C3F86">
              <w:rPr>
                <w:sz w:val="20"/>
                <w:szCs w:val="20"/>
              </w:rPr>
              <w:t>1.026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1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6CE4E9BB" w14:textId="514428A7" w:rsidR="003C3F86" w:rsidRDefault="003C3F86" w:rsidP="003C3F86">
            <w:pPr>
              <w:widowControl w:val="0"/>
              <w:rPr>
                <w:sz w:val="20"/>
                <w:szCs w:val="20"/>
              </w:rPr>
            </w:pPr>
            <w:r w:rsidRPr="003C3F86">
              <w:rPr>
                <w:sz w:val="20"/>
                <w:szCs w:val="20"/>
              </w:rPr>
              <w:t>&lt;0.001</w:t>
            </w:r>
          </w:p>
        </w:tc>
      </w:tr>
    </w:tbl>
    <w:p w14:paraId="0A43DDE3" w14:textId="77777777" w:rsidR="00934B31" w:rsidRDefault="00934B31">
      <w:pPr>
        <w:shd w:val="clear" w:color="auto" w:fill="FFFFFF"/>
        <w:rPr>
          <w:color w:val="222222"/>
          <w:sz w:val="20"/>
          <w:szCs w:val="20"/>
        </w:rPr>
      </w:pPr>
    </w:p>
    <w:p w14:paraId="68A40DAD" w14:textId="77777777" w:rsidR="00934B31" w:rsidRDefault="00934B31">
      <w:pPr>
        <w:shd w:val="clear" w:color="auto" w:fill="FFFFFF"/>
        <w:rPr>
          <w:color w:val="222222"/>
          <w:sz w:val="20"/>
          <w:szCs w:val="20"/>
        </w:rPr>
      </w:pPr>
    </w:p>
    <w:p w14:paraId="78AD993C" w14:textId="77777777" w:rsidR="00934B31" w:rsidRDefault="00934B31">
      <w:pPr>
        <w:shd w:val="clear" w:color="auto" w:fill="FFFFFF"/>
        <w:rPr>
          <w:color w:val="222222"/>
          <w:sz w:val="20"/>
          <w:szCs w:val="20"/>
        </w:rPr>
      </w:pPr>
    </w:p>
    <w:p w14:paraId="36DC8883" w14:textId="77777777" w:rsidR="00934B31" w:rsidRDefault="00934B31">
      <w:pPr>
        <w:shd w:val="clear" w:color="auto" w:fill="FFFFFF"/>
        <w:rPr>
          <w:color w:val="222222"/>
          <w:sz w:val="20"/>
          <w:szCs w:val="20"/>
        </w:rPr>
      </w:pPr>
    </w:p>
    <w:p w14:paraId="456DCADA" w14:textId="77777777" w:rsidR="00934B31" w:rsidRDefault="00934B31">
      <w:pPr>
        <w:shd w:val="clear" w:color="auto" w:fill="FFFFFF"/>
        <w:rPr>
          <w:color w:val="222222"/>
          <w:sz w:val="20"/>
          <w:szCs w:val="20"/>
        </w:rPr>
      </w:pPr>
    </w:p>
    <w:p w14:paraId="200BEF0E" w14:textId="77777777" w:rsidR="00934B31" w:rsidRDefault="00934B31">
      <w:pPr>
        <w:shd w:val="clear" w:color="auto" w:fill="FFFFFF"/>
        <w:rPr>
          <w:color w:val="222222"/>
          <w:sz w:val="20"/>
          <w:szCs w:val="20"/>
        </w:rPr>
      </w:pPr>
    </w:p>
    <w:p w14:paraId="04DEA81C" w14:textId="77777777" w:rsidR="00934B31" w:rsidRDefault="00934B31">
      <w:pPr>
        <w:shd w:val="clear" w:color="auto" w:fill="FFFFFF"/>
        <w:rPr>
          <w:color w:val="222222"/>
          <w:sz w:val="20"/>
          <w:szCs w:val="20"/>
        </w:rPr>
      </w:pPr>
    </w:p>
    <w:p w14:paraId="6CE3DA3D" w14:textId="77777777" w:rsidR="00934B31" w:rsidRDefault="00934B31">
      <w:pPr>
        <w:shd w:val="clear" w:color="auto" w:fill="FFFFFF"/>
        <w:rPr>
          <w:color w:val="222222"/>
          <w:sz w:val="20"/>
          <w:szCs w:val="20"/>
        </w:rPr>
      </w:pPr>
    </w:p>
    <w:p w14:paraId="7C384C78" w14:textId="77777777" w:rsidR="00934B31" w:rsidRDefault="00934B31">
      <w:pPr>
        <w:shd w:val="clear" w:color="auto" w:fill="FFFFFF"/>
        <w:rPr>
          <w:color w:val="222222"/>
          <w:sz w:val="20"/>
          <w:szCs w:val="20"/>
        </w:rPr>
      </w:pPr>
    </w:p>
    <w:p w14:paraId="66240D36" w14:textId="241975F7" w:rsidR="00934B31" w:rsidRDefault="00374FF5">
      <w:pPr>
        <w:shd w:val="clear" w:color="auto" w:fill="FFFFFF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br/>
      </w:r>
      <w:r w:rsidR="008C7D53">
        <w:rPr>
          <w:color w:val="222222"/>
          <w:sz w:val="24"/>
          <w:szCs w:val="24"/>
        </w:rPr>
        <w:t>Univariate Cox analysis was performed for individual CTL3 parameters, revealing statistically significant results for VAT and SAT density and trend for SMI</w:t>
      </w:r>
      <w:r w:rsidR="00E069A3">
        <w:rPr>
          <w:color w:val="222222"/>
          <w:sz w:val="24"/>
          <w:szCs w:val="24"/>
        </w:rPr>
        <w:t>.</w:t>
      </w:r>
    </w:p>
    <w:p w14:paraId="7319DFCA" w14:textId="4E5DFBE3" w:rsidR="00E069A3" w:rsidRPr="00F94B2B" w:rsidRDefault="00E069A3" w:rsidP="00E069A3">
      <w:pPr>
        <w:shd w:val="clear" w:color="auto" w:fill="FFFFFF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Abbreviations:</w:t>
      </w:r>
      <w:r w:rsidRPr="00F94B2B">
        <w:rPr>
          <w:color w:val="222222"/>
          <w:sz w:val="24"/>
          <w:szCs w:val="24"/>
        </w:rPr>
        <w:t xml:space="preserve"> SMI - skeletal muscle index, VAT - visceral adipose tissue, SAT - subcutaneous adipose tissue, </w:t>
      </w:r>
      <w:r>
        <w:rPr>
          <w:color w:val="222222"/>
          <w:sz w:val="24"/>
          <w:szCs w:val="24"/>
        </w:rPr>
        <w:t>, HR - hazard ratio, CI - confidence interval</w:t>
      </w:r>
    </w:p>
    <w:p w14:paraId="201477C6" w14:textId="42AB4B5C" w:rsidR="00E069A3" w:rsidRDefault="00E069A3">
      <w:pPr>
        <w:shd w:val="clear" w:color="auto" w:fill="FFFFFF"/>
        <w:rPr>
          <w:color w:val="222222"/>
          <w:sz w:val="24"/>
          <w:szCs w:val="24"/>
        </w:rPr>
      </w:pPr>
    </w:p>
    <w:sectPr w:rsidR="00E069A3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B31"/>
    <w:rsid w:val="0008585E"/>
    <w:rsid w:val="00355B5B"/>
    <w:rsid w:val="00374FF5"/>
    <w:rsid w:val="003C3F86"/>
    <w:rsid w:val="006C5468"/>
    <w:rsid w:val="007177E8"/>
    <w:rsid w:val="00806C23"/>
    <w:rsid w:val="008C7D53"/>
    <w:rsid w:val="00934B31"/>
    <w:rsid w:val="00A3169E"/>
    <w:rsid w:val="00A45690"/>
    <w:rsid w:val="00AB375D"/>
    <w:rsid w:val="00CD69BA"/>
    <w:rsid w:val="00D6345C"/>
    <w:rsid w:val="00DC6348"/>
    <w:rsid w:val="00E06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EA7CAE"/>
  <w15:docId w15:val="{1C3E88C1-6556-A94F-90E2-317BA36BE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sk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7177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77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77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77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77E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77E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7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Matej Pekař</cp:lastModifiedBy>
  <cp:revision>14</cp:revision>
  <dcterms:created xsi:type="dcterms:W3CDTF">2023-09-30T16:02:00Z</dcterms:created>
  <dcterms:modified xsi:type="dcterms:W3CDTF">2024-03-20T16:23:00Z</dcterms:modified>
</cp:coreProperties>
</file>