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A8E63" w14:textId="13C0FB4D" w:rsidR="009C365B" w:rsidRPr="00A240EA" w:rsidRDefault="009C365B" w:rsidP="009C365B">
      <w:pPr>
        <w:spacing w:before="0" w:after="160"/>
        <w:jc w:val="center"/>
        <w:rPr>
          <w:rFonts w:eastAsiaTheme="majorEastAsia" w:cstheme="majorBidi"/>
          <w:b/>
          <w:sz w:val="28"/>
          <w:szCs w:val="28"/>
        </w:rPr>
      </w:pPr>
      <w:r w:rsidRPr="00A240EA">
        <w:rPr>
          <w:rFonts w:eastAsiaTheme="majorEastAsia" w:cstheme="majorBidi"/>
          <w:b/>
          <w:sz w:val="28"/>
          <w:szCs w:val="28"/>
        </w:rPr>
        <w:t>Supplementary Information</w:t>
      </w:r>
    </w:p>
    <w:p w14:paraId="609A4F8B" w14:textId="77777777" w:rsidR="00151381" w:rsidRPr="00C03FD5" w:rsidRDefault="00151381" w:rsidP="00151381">
      <w:pPr>
        <w:pStyle w:val="Title"/>
        <w:spacing w:before="400" w:after="240"/>
        <w:rPr>
          <w:rFonts w:ascii="Times New Roman" w:hAnsi="Times New Roman" w:cs="Times New Roman"/>
          <w:b/>
          <w:bCs/>
          <w:sz w:val="40"/>
          <w:szCs w:val="40"/>
        </w:rPr>
      </w:pPr>
      <w:bookmarkStart w:id="0" w:name="_Hlk151974592"/>
      <w:bookmarkStart w:id="1" w:name="_Hlk126333853"/>
      <w:r>
        <w:rPr>
          <w:rFonts w:ascii="Times New Roman" w:hAnsi="Times New Roman" w:cs="Times New Roman"/>
          <w:b/>
          <w:bCs/>
          <w:sz w:val="40"/>
          <w:szCs w:val="40"/>
        </w:rPr>
        <w:t>A radiochemical lab-on-a-chip paired with computer vision to unlock the c</w:t>
      </w:r>
      <w:r w:rsidRPr="00C03FD5">
        <w:rPr>
          <w:rFonts w:ascii="Times New Roman" w:hAnsi="Times New Roman" w:cs="Times New Roman"/>
          <w:b/>
          <w:bCs/>
          <w:sz w:val="40"/>
          <w:szCs w:val="40"/>
        </w:rPr>
        <w:t>rystallization kinetics of (</w:t>
      </w:r>
      <w:proofErr w:type="spellStart"/>
      <w:proofErr w:type="gramStart"/>
      <w:r w:rsidRPr="00C03FD5">
        <w:rPr>
          <w:rFonts w:ascii="Times New Roman" w:hAnsi="Times New Roman" w:cs="Times New Roman"/>
          <w:b/>
          <w:bCs/>
          <w:sz w:val="40"/>
          <w:szCs w:val="40"/>
        </w:rPr>
        <w:t>Ba,Ra</w:t>
      </w:r>
      <w:proofErr w:type="spellEnd"/>
      <w:proofErr w:type="gramEnd"/>
      <w:r w:rsidRPr="00C03FD5">
        <w:rPr>
          <w:rFonts w:ascii="Times New Roman" w:hAnsi="Times New Roman" w:cs="Times New Roman"/>
          <w:b/>
          <w:bCs/>
          <w:sz w:val="40"/>
          <w:szCs w:val="40"/>
        </w:rPr>
        <w:t>)SO</w:t>
      </w:r>
      <w:r w:rsidRPr="00C03FD5">
        <w:rPr>
          <w:rFonts w:ascii="Times New Roman" w:hAnsi="Times New Roman" w:cs="Times New Roman"/>
          <w:b/>
          <w:bCs/>
          <w:sz w:val="40"/>
          <w:szCs w:val="40"/>
          <w:vertAlign w:val="subscript"/>
        </w:rPr>
        <w:t>4</w:t>
      </w:r>
      <w:r w:rsidRPr="00C03FD5">
        <w:rPr>
          <w:rFonts w:ascii="Times New Roman" w:hAnsi="Times New Roman" w:cs="Times New Roman"/>
          <w:b/>
          <w:bCs/>
          <w:sz w:val="40"/>
          <w:szCs w:val="40"/>
        </w:rPr>
        <w:t xml:space="preserve"> </w:t>
      </w:r>
    </w:p>
    <w:p w14:paraId="1AEA7A5D" w14:textId="77777777" w:rsidR="00151381" w:rsidRPr="00C03FD5" w:rsidRDefault="00151381" w:rsidP="00151381">
      <w:pPr>
        <w:spacing w:after="180"/>
        <w:rPr>
          <w:szCs w:val="24"/>
        </w:rPr>
      </w:pPr>
      <w:r w:rsidRPr="00C03FD5">
        <w:rPr>
          <w:szCs w:val="24"/>
        </w:rPr>
        <w:t>Jenna Poonoosamy</w:t>
      </w:r>
      <w:r w:rsidRPr="00C03FD5">
        <w:rPr>
          <w:szCs w:val="24"/>
          <w:vertAlign w:val="superscript"/>
        </w:rPr>
        <w:t>1</w:t>
      </w:r>
      <w:r w:rsidRPr="00C03FD5">
        <w:rPr>
          <w:szCs w:val="24"/>
        </w:rPr>
        <w:t xml:space="preserve">*, </w:t>
      </w:r>
      <w:bookmarkStart w:id="2" w:name="_Hlk152259085"/>
      <w:r w:rsidRPr="00C03FD5">
        <w:rPr>
          <w:szCs w:val="24"/>
        </w:rPr>
        <w:t>Alexander Kaspor</w:t>
      </w:r>
      <w:r w:rsidRPr="00C03FD5">
        <w:rPr>
          <w:szCs w:val="24"/>
          <w:vertAlign w:val="superscript"/>
        </w:rPr>
        <w:t>1</w:t>
      </w:r>
      <w:r w:rsidRPr="00C03FD5">
        <w:rPr>
          <w:szCs w:val="24"/>
        </w:rPr>
        <w:t xml:space="preserve">, </w:t>
      </w:r>
      <w:r>
        <w:rPr>
          <w:szCs w:val="24"/>
        </w:rPr>
        <w:t>Christian Schreinemachers</w:t>
      </w:r>
      <w:r w:rsidRPr="00094088">
        <w:rPr>
          <w:szCs w:val="24"/>
          <w:vertAlign w:val="superscript"/>
        </w:rPr>
        <w:t>1</w:t>
      </w:r>
      <w:r>
        <w:rPr>
          <w:szCs w:val="24"/>
        </w:rPr>
        <w:t xml:space="preserve">, </w:t>
      </w:r>
      <w:r w:rsidRPr="00C03FD5">
        <w:rPr>
          <w:szCs w:val="24"/>
        </w:rPr>
        <w:t>Dirk Bosbach</w:t>
      </w:r>
      <w:r w:rsidRPr="00C03FD5">
        <w:rPr>
          <w:szCs w:val="24"/>
          <w:vertAlign w:val="superscript"/>
        </w:rPr>
        <w:t>1</w:t>
      </w:r>
      <w:r w:rsidRPr="00C03FD5">
        <w:rPr>
          <w:szCs w:val="24"/>
        </w:rPr>
        <w:t>, Oskar Cheong</w:t>
      </w:r>
      <w:r w:rsidRPr="00C03FD5">
        <w:rPr>
          <w:szCs w:val="24"/>
          <w:vertAlign w:val="superscript"/>
        </w:rPr>
        <w:t>2,3,4</w:t>
      </w:r>
      <w:r w:rsidRPr="00C03FD5">
        <w:rPr>
          <w:szCs w:val="24"/>
        </w:rPr>
        <w:t>, Piotr M Kowalski</w:t>
      </w:r>
      <w:r w:rsidRPr="00C03FD5">
        <w:rPr>
          <w:szCs w:val="24"/>
          <w:vertAlign w:val="superscript"/>
        </w:rPr>
        <w:t>2,3</w:t>
      </w:r>
      <w:r w:rsidRPr="00C03FD5">
        <w:rPr>
          <w:szCs w:val="24"/>
        </w:rPr>
        <w:t xml:space="preserve"> Abdulmonem Obaied</w:t>
      </w:r>
      <w:r w:rsidRPr="00C03FD5">
        <w:rPr>
          <w:szCs w:val="24"/>
          <w:vertAlign w:val="superscript"/>
        </w:rPr>
        <w:t>1</w:t>
      </w:r>
    </w:p>
    <w:p w14:paraId="306506B8" w14:textId="77777777" w:rsidR="00151381" w:rsidRPr="00C03FD5" w:rsidRDefault="00151381" w:rsidP="00151381">
      <w:pPr>
        <w:spacing w:after="60"/>
        <w:rPr>
          <w:sz w:val="16"/>
          <w:szCs w:val="16"/>
        </w:rPr>
      </w:pPr>
      <w:bookmarkStart w:id="3" w:name="_Hlk152840241"/>
      <w:r w:rsidRPr="00C03FD5">
        <w:rPr>
          <w:sz w:val="16"/>
          <w:szCs w:val="16"/>
        </w:rPr>
        <w:t xml:space="preserve">1 Institute of Energy and Climate Research (IEK-6): Nuclear Waste Management, </w:t>
      </w:r>
      <w:proofErr w:type="spellStart"/>
      <w:r w:rsidRPr="00C03FD5">
        <w:rPr>
          <w:sz w:val="16"/>
          <w:szCs w:val="16"/>
        </w:rPr>
        <w:t>Forschungszentrum</w:t>
      </w:r>
      <w:proofErr w:type="spellEnd"/>
      <w:r w:rsidRPr="00C03FD5">
        <w:rPr>
          <w:sz w:val="16"/>
          <w:szCs w:val="16"/>
        </w:rPr>
        <w:t xml:space="preserve"> </w:t>
      </w:r>
      <w:proofErr w:type="spellStart"/>
      <w:r w:rsidRPr="00C03FD5">
        <w:rPr>
          <w:sz w:val="16"/>
          <w:szCs w:val="16"/>
        </w:rPr>
        <w:t>Jülich</w:t>
      </w:r>
      <w:proofErr w:type="spellEnd"/>
      <w:r w:rsidRPr="00C03FD5">
        <w:rPr>
          <w:sz w:val="16"/>
          <w:szCs w:val="16"/>
        </w:rPr>
        <w:t xml:space="preserve"> GmbH, 52425 </w:t>
      </w:r>
      <w:proofErr w:type="spellStart"/>
      <w:r w:rsidRPr="00C03FD5">
        <w:rPr>
          <w:sz w:val="16"/>
          <w:szCs w:val="16"/>
        </w:rPr>
        <w:t>Jülich</w:t>
      </w:r>
      <w:proofErr w:type="spellEnd"/>
      <w:r w:rsidRPr="00C03FD5">
        <w:rPr>
          <w:sz w:val="16"/>
          <w:szCs w:val="16"/>
        </w:rPr>
        <w:t>, Germany</w:t>
      </w:r>
    </w:p>
    <w:p w14:paraId="2EBF9EE1" w14:textId="77777777" w:rsidR="00151381" w:rsidRPr="00C03FD5" w:rsidRDefault="00151381" w:rsidP="00151381">
      <w:pPr>
        <w:spacing w:after="60"/>
        <w:rPr>
          <w:sz w:val="16"/>
          <w:szCs w:val="16"/>
        </w:rPr>
      </w:pPr>
      <w:r w:rsidRPr="00C03FD5">
        <w:rPr>
          <w:sz w:val="16"/>
          <w:szCs w:val="16"/>
        </w:rPr>
        <w:t xml:space="preserve">2 Institute of Energy and Climate Research (IEK-13): Theory and Computation of Energy Materials, </w:t>
      </w:r>
      <w:proofErr w:type="spellStart"/>
      <w:r w:rsidRPr="00C03FD5">
        <w:rPr>
          <w:sz w:val="16"/>
          <w:szCs w:val="16"/>
        </w:rPr>
        <w:t>Forschungszentrum</w:t>
      </w:r>
      <w:proofErr w:type="spellEnd"/>
      <w:r w:rsidRPr="00C03FD5">
        <w:rPr>
          <w:sz w:val="16"/>
          <w:szCs w:val="16"/>
        </w:rPr>
        <w:t xml:space="preserve"> Jülich GmbH, 52425 Jülich, Germany</w:t>
      </w:r>
    </w:p>
    <w:p w14:paraId="083EF602" w14:textId="77777777" w:rsidR="00151381" w:rsidRPr="00C03FD5" w:rsidRDefault="00151381" w:rsidP="00151381">
      <w:pPr>
        <w:spacing w:after="60"/>
        <w:rPr>
          <w:sz w:val="16"/>
          <w:szCs w:val="16"/>
        </w:rPr>
      </w:pPr>
      <w:r w:rsidRPr="00C03FD5">
        <w:rPr>
          <w:sz w:val="16"/>
          <w:szCs w:val="16"/>
        </w:rPr>
        <w:t>3 JARA Energy &amp; Center for Simulation and Data Science (CSD), 52425 Jülich, Germany</w:t>
      </w:r>
    </w:p>
    <w:p w14:paraId="72705D27" w14:textId="77777777" w:rsidR="00151381" w:rsidRPr="00C03FD5" w:rsidRDefault="00151381" w:rsidP="00151381">
      <w:pPr>
        <w:spacing w:after="60"/>
        <w:rPr>
          <w:sz w:val="16"/>
          <w:szCs w:val="16"/>
        </w:rPr>
      </w:pPr>
      <w:r w:rsidRPr="00C03FD5">
        <w:rPr>
          <w:sz w:val="16"/>
          <w:szCs w:val="16"/>
        </w:rPr>
        <w:t xml:space="preserve">4 Chair of Theory and Computation of Energy Materials, Faculty of </w:t>
      </w:r>
      <w:proofErr w:type="spellStart"/>
      <w:r w:rsidRPr="00C03FD5">
        <w:rPr>
          <w:sz w:val="16"/>
          <w:szCs w:val="16"/>
        </w:rPr>
        <w:t>Georesources</w:t>
      </w:r>
      <w:proofErr w:type="spellEnd"/>
      <w:r w:rsidRPr="00C03FD5">
        <w:rPr>
          <w:sz w:val="16"/>
          <w:szCs w:val="16"/>
        </w:rPr>
        <w:t xml:space="preserve"> and Materials Engineering, RWTH Aachen University, </w:t>
      </w:r>
      <w:proofErr w:type="spellStart"/>
      <w:r w:rsidRPr="00C03FD5">
        <w:rPr>
          <w:sz w:val="16"/>
          <w:szCs w:val="16"/>
        </w:rPr>
        <w:t>Intzestrasse</w:t>
      </w:r>
      <w:proofErr w:type="spellEnd"/>
      <w:r w:rsidRPr="00C03FD5">
        <w:rPr>
          <w:sz w:val="16"/>
          <w:szCs w:val="16"/>
        </w:rPr>
        <w:t xml:space="preserve"> 5, 52072 Aachen, Germany </w:t>
      </w:r>
    </w:p>
    <w:bookmarkEnd w:id="2"/>
    <w:bookmarkEnd w:id="3"/>
    <w:p w14:paraId="5BB2845F" w14:textId="77777777" w:rsidR="00151381" w:rsidRDefault="00151381" w:rsidP="00151381">
      <w:pPr>
        <w:spacing w:after="60"/>
        <w:rPr>
          <w:szCs w:val="24"/>
        </w:rPr>
      </w:pPr>
    </w:p>
    <w:p w14:paraId="6A8D1D3B" w14:textId="77777777" w:rsidR="00151381" w:rsidRPr="00D2420D" w:rsidRDefault="00151381" w:rsidP="00151381">
      <w:pPr>
        <w:suppressAutoHyphens/>
        <w:overflowPunct w:val="0"/>
        <w:autoSpaceDE w:val="0"/>
        <w:spacing w:after="0"/>
        <w:textAlignment w:val="baseline"/>
        <w:rPr>
          <w:color w:val="000000" w:themeColor="text1"/>
          <w:sz w:val="20"/>
          <w:lang w:eastAsia="zh-CN"/>
        </w:rPr>
      </w:pPr>
      <w:r w:rsidRPr="00D2420D">
        <w:rPr>
          <w:color w:val="000000" w:themeColor="text1"/>
          <w:sz w:val="20"/>
          <w:lang w:eastAsia="zh-CN"/>
        </w:rPr>
        <w:t>Corresponding author: Jenna Poonoosamy</w:t>
      </w:r>
    </w:p>
    <w:p w14:paraId="42A74FC7" w14:textId="77777777" w:rsidR="00151381" w:rsidRDefault="00151381" w:rsidP="00151381">
      <w:pPr>
        <w:suppressAutoHyphens/>
        <w:overflowPunct w:val="0"/>
        <w:autoSpaceDE w:val="0"/>
        <w:spacing w:after="0"/>
        <w:textAlignment w:val="baseline"/>
        <w:rPr>
          <w:color w:val="000000" w:themeColor="text1"/>
          <w:sz w:val="20"/>
          <w:lang w:eastAsia="zh-CN"/>
        </w:rPr>
      </w:pPr>
      <w:r w:rsidRPr="00D2420D">
        <w:rPr>
          <w:color w:val="000000" w:themeColor="text1"/>
          <w:sz w:val="20"/>
          <w:lang w:eastAsia="zh-CN"/>
        </w:rPr>
        <w:t xml:space="preserve">email: </w:t>
      </w:r>
      <w:hyperlink r:id="rId11" w:history="1">
        <w:r w:rsidRPr="00DA5185">
          <w:rPr>
            <w:rStyle w:val="Hyperlink"/>
            <w:sz w:val="20"/>
            <w:lang w:eastAsia="zh-CN"/>
          </w:rPr>
          <w:t>j.poonoosamy@fz-juelich.de</w:t>
        </w:r>
      </w:hyperlink>
    </w:p>
    <w:p w14:paraId="27AC5BFD" w14:textId="77777777" w:rsidR="00151381" w:rsidRDefault="00151381" w:rsidP="00151381">
      <w:pPr>
        <w:suppressAutoHyphens/>
        <w:overflowPunct w:val="0"/>
        <w:autoSpaceDE w:val="0"/>
        <w:spacing w:after="0"/>
        <w:textAlignment w:val="baseline"/>
        <w:rPr>
          <w:color w:val="000000" w:themeColor="text1"/>
          <w:sz w:val="20"/>
          <w:lang w:eastAsia="zh-CN"/>
        </w:rPr>
      </w:pPr>
      <w:r>
        <w:rPr>
          <w:color w:val="000000" w:themeColor="text1"/>
          <w:sz w:val="20"/>
          <w:lang w:eastAsia="zh-CN"/>
        </w:rPr>
        <w:t xml:space="preserve">Tel number: </w:t>
      </w:r>
      <w:r w:rsidRPr="00DD275C">
        <w:rPr>
          <w:color w:val="000000" w:themeColor="text1"/>
          <w:sz w:val="20"/>
          <w:lang w:eastAsia="zh-CN"/>
        </w:rPr>
        <w:t> +49 2461 61-6468</w:t>
      </w:r>
    </w:p>
    <w:bookmarkEnd w:id="0"/>
    <w:bookmarkEnd w:id="1"/>
    <w:p w14:paraId="772ED18F" w14:textId="560D4E1A" w:rsidR="009C365B" w:rsidRPr="00412C3C" w:rsidRDefault="009C365B">
      <w:pPr>
        <w:spacing w:before="0" w:after="160"/>
        <w:jc w:val="left"/>
        <w:rPr>
          <w:rFonts w:eastAsiaTheme="majorEastAsia" w:cstheme="majorBidi"/>
          <w:b/>
          <w:caps/>
          <w:color w:val="000000" w:themeColor="text1"/>
          <w:szCs w:val="32"/>
          <w:lang w:val="fr-FR"/>
        </w:rPr>
      </w:pPr>
      <w:r w:rsidRPr="00412C3C">
        <w:rPr>
          <w:caps/>
          <w:lang w:val="fr-FR"/>
        </w:rPr>
        <w:br w:type="page"/>
      </w:r>
    </w:p>
    <w:p w14:paraId="665EC9AF" w14:textId="77777777" w:rsidR="00673320" w:rsidRPr="00A240EA" w:rsidRDefault="00320EFD" w:rsidP="00320EFD">
      <w:pPr>
        <w:pStyle w:val="Heading2"/>
        <w:rPr>
          <w:color w:val="auto"/>
          <w:lang w:val="fr-FR"/>
        </w:rPr>
      </w:pPr>
      <w:bookmarkStart w:id="4" w:name="_Hlk126332829"/>
      <w:bookmarkStart w:id="5" w:name="_Hlk163385930"/>
      <w:proofErr w:type="spellStart"/>
      <w:r w:rsidRPr="00A240EA">
        <w:rPr>
          <w:color w:val="auto"/>
          <w:lang w:val="fr-FR"/>
        </w:rPr>
        <w:lastRenderedPageBreak/>
        <w:t>Supplement</w:t>
      </w:r>
      <w:r w:rsidR="00673320" w:rsidRPr="00A240EA">
        <w:rPr>
          <w:color w:val="auto"/>
          <w:lang w:val="fr-FR"/>
        </w:rPr>
        <w:t>ary</w:t>
      </w:r>
      <w:proofErr w:type="spellEnd"/>
      <w:r w:rsidR="00673320" w:rsidRPr="00A240EA">
        <w:rPr>
          <w:color w:val="auto"/>
          <w:lang w:val="fr-FR"/>
        </w:rPr>
        <w:t xml:space="preserve"> Note</w:t>
      </w:r>
      <w:r w:rsidRPr="00A240EA">
        <w:rPr>
          <w:color w:val="auto"/>
          <w:lang w:val="fr-FR"/>
        </w:rPr>
        <w:t xml:space="preserve"> 1</w:t>
      </w:r>
    </w:p>
    <w:bookmarkEnd w:id="4"/>
    <w:p w14:paraId="1DE9E132" w14:textId="18DFE7FC" w:rsidR="00495EB6" w:rsidRPr="00A240EA" w:rsidRDefault="00495EB6" w:rsidP="009D103D">
      <w:pPr>
        <w:autoSpaceDE w:val="0"/>
        <w:autoSpaceDN w:val="0"/>
        <w:adjustRightInd w:val="0"/>
        <w:spacing w:line="22" w:lineRule="atLeast"/>
        <w:rPr>
          <w:rFonts w:eastAsiaTheme="majorEastAsia" w:cstheme="majorBidi"/>
          <w:b/>
          <w:szCs w:val="26"/>
        </w:rPr>
      </w:pPr>
      <w:r w:rsidRPr="00A240EA">
        <w:rPr>
          <w:rFonts w:eastAsiaTheme="majorEastAsia" w:cstheme="majorBidi"/>
          <w:b/>
          <w:szCs w:val="26"/>
        </w:rPr>
        <w:t>Velocity fields and aqueous solute distributions in</w:t>
      </w:r>
      <w:r w:rsidR="00B729B9" w:rsidRPr="00A240EA">
        <w:rPr>
          <w:rFonts w:eastAsiaTheme="majorEastAsia" w:cstheme="majorBidi"/>
          <w:b/>
          <w:szCs w:val="26"/>
        </w:rPr>
        <w:t xml:space="preserve"> the reactor</w:t>
      </w:r>
      <w:r w:rsidRPr="00A240EA">
        <w:rPr>
          <w:rFonts w:eastAsiaTheme="majorEastAsia" w:cstheme="majorBidi"/>
          <w:b/>
          <w:szCs w:val="26"/>
        </w:rPr>
        <w:t xml:space="preserve"> </w:t>
      </w:r>
    </w:p>
    <w:bookmarkEnd w:id="5"/>
    <w:p w14:paraId="4F951E35" w14:textId="1B59DCAA" w:rsidR="00495EB6" w:rsidRPr="00A240EA" w:rsidRDefault="00495EB6" w:rsidP="00B729B9">
      <w:pPr>
        <w:spacing w:before="100" w:beforeAutospacing="1" w:after="100" w:afterAutospacing="1" w:line="240" w:lineRule="auto"/>
        <w:rPr>
          <w:rFonts w:eastAsia="Times New Roman" w:cs="Times New Roman"/>
          <w:szCs w:val="24"/>
        </w:rPr>
      </w:pPr>
      <w:r w:rsidRPr="00A240EA">
        <w:rPr>
          <w:rFonts w:eastAsia="Times New Roman" w:cs="Times New Roman"/>
          <w:szCs w:val="24"/>
        </w:rPr>
        <w:t xml:space="preserve">The fluid flow and transport of solutes in the complete microfluidic mixer were modelled using a 3D finite element approach, in order to characterize the </w:t>
      </w:r>
      <w:r w:rsidR="00D579F7" w:rsidRPr="00A240EA">
        <w:rPr>
          <w:rFonts w:eastAsia="Times New Roman" w:cs="Times New Roman"/>
          <w:szCs w:val="24"/>
        </w:rPr>
        <w:t>flow field</w:t>
      </w:r>
      <w:r w:rsidRPr="00A240EA">
        <w:rPr>
          <w:rFonts w:eastAsia="Times New Roman" w:cs="Times New Roman"/>
          <w:szCs w:val="24"/>
        </w:rPr>
        <w:t xml:space="preserve"> and </w:t>
      </w:r>
      <w:r w:rsidR="00D579F7" w:rsidRPr="00A240EA">
        <w:rPr>
          <w:rFonts w:eastAsia="Times New Roman" w:cs="Times New Roman"/>
          <w:szCs w:val="24"/>
        </w:rPr>
        <w:t>aqueous</w:t>
      </w:r>
      <w:r w:rsidRPr="00A240EA">
        <w:rPr>
          <w:rFonts w:eastAsia="Times New Roman" w:cs="Times New Roman"/>
          <w:szCs w:val="24"/>
        </w:rPr>
        <w:t xml:space="preserve"> concentration</w:t>
      </w:r>
      <w:r w:rsidR="003122B8" w:rsidRPr="00A240EA">
        <w:rPr>
          <w:rFonts w:eastAsia="Times New Roman" w:cs="Times New Roman"/>
          <w:szCs w:val="24"/>
        </w:rPr>
        <w:t>s</w:t>
      </w:r>
      <w:r w:rsidRPr="00A240EA">
        <w:rPr>
          <w:rFonts w:eastAsia="Times New Roman" w:cs="Times New Roman"/>
          <w:szCs w:val="24"/>
        </w:rPr>
        <w:t xml:space="preserve"> of solutes in the microfluidic reactor. For these scoping calculations, we assumed steady state and ignored the dissociation of the salts in charged ions as well as chemical reactions. </w:t>
      </w:r>
    </w:p>
    <w:p w14:paraId="414FB92F" w14:textId="5DB89B53" w:rsidR="00495EB6" w:rsidRPr="00A240EA" w:rsidRDefault="00495EB6" w:rsidP="00B729B9">
      <w:pPr>
        <w:spacing w:before="0" w:after="0" w:line="240" w:lineRule="auto"/>
        <w:rPr>
          <w:rFonts w:eastAsia="Times New Roman" w:cs="Times New Roman"/>
          <w:szCs w:val="24"/>
        </w:rPr>
      </w:pPr>
      <w:r w:rsidRPr="00A240EA">
        <w:rPr>
          <w:rFonts w:eastAsia="Times New Roman" w:cs="Times New Roman"/>
          <w:szCs w:val="24"/>
        </w:rPr>
        <w:t xml:space="preserve">The </w:t>
      </w:r>
      <w:hyperlink r:id="rId12" w:tooltip="Learn more about velocity field from ScienceDirect's AI-generated Topic Pages" w:history="1">
        <w:r w:rsidRPr="00A240EA">
          <w:rPr>
            <w:rFonts w:eastAsia="Times New Roman" w:cs="Times New Roman"/>
            <w:szCs w:val="24"/>
          </w:rPr>
          <w:t>velocity field</w:t>
        </w:r>
      </w:hyperlink>
      <w:r w:rsidRPr="00A240EA">
        <w:rPr>
          <w:rFonts w:eastAsia="Times New Roman" w:cs="Times New Roman"/>
          <w:szCs w:val="24"/>
        </w:rPr>
        <w:t xml:space="preserve"> in the reactor was calculated using the Navier-Stokes equation </w:t>
      </w:r>
      <w:hyperlink r:id="rId13" w:anchor="fo0020" w:history="1">
        <w:r w:rsidRPr="00A240EA">
          <w:rPr>
            <w:rFonts w:eastAsia="Times New Roman" w:cs="Times New Roman"/>
            <w:szCs w:val="24"/>
          </w:rPr>
          <w:t>(</w:t>
        </w:r>
        <w:r w:rsidR="003D0380" w:rsidRPr="00A240EA">
          <w:rPr>
            <w:rFonts w:eastAsia="Times New Roman" w:cs="Times New Roman"/>
            <w:szCs w:val="24"/>
          </w:rPr>
          <w:t>S</w:t>
        </w:r>
        <w:r w:rsidRPr="00A240EA">
          <w:rPr>
            <w:rFonts w:eastAsia="Times New Roman" w:cs="Times New Roman"/>
            <w:szCs w:val="24"/>
          </w:rPr>
          <w:t>1)</w:t>
        </w:r>
      </w:hyperlink>
      <w:r w:rsidRPr="00A240EA">
        <w:rPr>
          <w:rFonts w:eastAsia="Times New Roman" w:cs="Times New Roman"/>
          <w:szCs w:val="24"/>
        </w:rPr>
        <w:t xml:space="preserve"> for laminar flow of an isothermal, incompressible and </w:t>
      </w:r>
      <w:hyperlink r:id="rId14" w:tooltip="Learn more about Newtonian fluid from ScienceDirect's AI-generated Topic Pages" w:history="1">
        <w:r w:rsidRPr="00A240EA">
          <w:rPr>
            <w:rFonts w:eastAsia="Times New Roman" w:cs="Times New Roman"/>
            <w:szCs w:val="24"/>
          </w:rPr>
          <w:t>Newtonian fluid</w:t>
        </w:r>
      </w:hyperlink>
      <w:r w:rsidRPr="00A240EA">
        <w:rPr>
          <w:rFonts w:eastAsia="Times New Roman" w:cs="Times New Roman"/>
          <w:szCs w:val="24"/>
        </w:rPr>
        <w:t>,</w:t>
      </w:r>
    </w:p>
    <w:p w14:paraId="2A77ACF8" w14:textId="7E76B447" w:rsidR="00495EB6" w:rsidRPr="00A240EA" w:rsidRDefault="00495EB6" w:rsidP="008D092B">
      <w:pPr>
        <w:spacing w:before="100" w:beforeAutospacing="1" w:after="100" w:afterAutospacing="1" w:line="240" w:lineRule="auto"/>
        <w:jc w:val="center"/>
        <w:rPr>
          <w:rFonts w:eastAsia="Times New Roman" w:cs="Times New Roman"/>
          <w:szCs w:val="24"/>
        </w:rPr>
      </w:pPr>
      <m:oMath>
        <m:r>
          <m:rPr>
            <m:sty m:val="p"/>
          </m:rPr>
          <w:rPr>
            <w:rFonts w:ascii="Cambria Math" w:hAnsi="Cambria Math"/>
            <w:w w:val="108"/>
          </w:rPr>
          <m:t>ρ</m:t>
        </m:r>
        <m:d>
          <m:dPr>
            <m:ctrlPr>
              <w:rPr>
                <w:rFonts w:ascii="Cambria Math" w:hAnsi="Cambria Math"/>
                <w:i/>
                <w:w w:val="108"/>
              </w:rPr>
            </m:ctrlPr>
          </m:dPr>
          <m:e>
            <m:r>
              <m:rPr>
                <m:sty m:val="bi"/>
              </m:rPr>
              <w:rPr>
                <w:rFonts w:ascii="Cambria Math" w:hAnsi="Cambria Math"/>
                <w:w w:val="108"/>
              </w:rPr>
              <m:t>u</m:t>
            </m:r>
            <m:r>
              <w:rPr>
                <w:rFonts w:ascii="Cambria Math" w:hAnsi="Cambria Math"/>
                <w:w w:val="108"/>
              </w:rPr>
              <m:t>∙</m:t>
            </m:r>
            <m:r>
              <m:rPr>
                <m:sty m:val="p"/>
              </m:rPr>
              <w:rPr>
                <w:rFonts w:ascii="Cambria Math" w:hAnsi="Cambria Math"/>
                <w:w w:val="108"/>
              </w:rPr>
              <m:t>∇</m:t>
            </m:r>
            <m:ctrlPr>
              <w:rPr>
                <w:rFonts w:ascii="Cambria Math" w:hAnsi="Cambria Math"/>
                <w:w w:val="108"/>
              </w:rPr>
            </m:ctrlPr>
          </m:e>
        </m:d>
        <m:r>
          <m:rPr>
            <m:sty m:val="bi"/>
          </m:rPr>
          <w:rPr>
            <w:rFonts w:ascii="Cambria Math" w:hAnsi="Cambria Math"/>
            <w:w w:val="108"/>
          </w:rPr>
          <m:t>u</m:t>
        </m:r>
        <m:r>
          <w:rPr>
            <w:rFonts w:ascii="Cambria Math" w:hAnsi="Cambria Math"/>
            <w:w w:val="108"/>
          </w:rPr>
          <m:t>=-</m:t>
        </m:r>
        <m:r>
          <m:rPr>
            <m:sty m:val="p"/>
          </m:rPr>
          <w:rPr>
            <w:rFonts w:ascii="Cambria Math" w:hAnsi="Cambria Math"/>
            <w:w w:val="108"/>
          </w:rPr>
          <m:t>∇</m:t>
        </m:r>
        <m:r>
          <w:rPr>
            <w:rFonts w:ascii="Cambria Math" w:hAnsi="Cambria Math"/>
            <w:w w:val="108"/>
          </w:rPr>
          <m:t>p</m:t>
        </m:r>
        <m:r>
          <m:rPr>
            <m:sty m:val="p"/>
          </m:rPr>
          <w:rPr>
            <w:rFonts w:ascii="Cambria Math" w:hAnsi="Cambria Math"/>
            <w:w w:val="108"/>
          </w:rPr>
          <m:t>+</m:t>
        </m:r>
        <m:r>
          <w:rPr>
            <w:rFonts w:ascii="Cambria Math" w:hAnsi="Cambria Math"/>
            <w:w w:val="108"/>
          </w:rPr>
          <m:t>µ</m:t>
        </m:r>
        <m:sSup>
          <m:sSupPr>
            <m:ctrlPr>
              <w:rPr>
                <w:rFonts w:ascii="Cambria Math" w:hAnsi="Cambria Math"/>
                <w:w w:val="108"/>
              </w:rPr>
            </m:ctrlPr>
          </m:sSupPr>
          <m:e>
            <m:r>
              <m:rPr>
                <m:sty m:val="p"/>
              </m:rPr>
              <w:rPr>
                <w:rFonts w:ascii="Cambria Math" w:hAnsi="Cambria Math"/>
                <w:w w:val="108"/>
              </w:rPr>
              <m:t>∇</m:t>
            </m:r>
            <m:ctrlPr>
              <w:rPr>
                <w:rFonts w:ascii="Cambria Math" w:hAnsi="Cambria Math"/>
                <w:i/>
                <w:w w:val="108"/>
              </w:rPr>
            </m:ctrlPr>
          </m:e>
          <m:sup>
            <m:r>
              <w:rPr>
                <w:rFonts w:ascii="Cambria Math" w:hAnsi="Cambria Math"/>
                <w:w w:val="108"/>
              </w:rPr>
              <m:t>2</m:t>
            </m:r>
          </m:sup>
        </m:sSup>
        <m:r>
          <m:rPr>
            <m:sty m:val="bi"/>
          </m:rPr>
          <w:rPr>
            <w:rFonts w:ascii="Cambria Math" w:hAnsi="Cambria Math"/>
            <w:w w:val="108"/>
          </w:rPr>
          <m:t>u</m:t>
        </m:r>
        <m:r>
          <m:rPr>
            <m:sty m:val="p"/>
          </m:rPr>
          <w:rPr>
            <w:rFonts w:ascii="Cambria Math" w:hAnsi="Cambria Math"/>
            <w:w w:val="108"/>
          </w:rPr>
          <m:t>; ∇</m:t>
        </m:r>
        <m:r>
          <w:rPr>
            <w:rFonts w:ascii="Cambria Math" w:hAnsi="Cambria Math"/>
            <w:w w:val="108"/>
          </w:rPr>
          <m:t>∙</m:t>
        </m:r>
        <m:r>
          <m:rPr>
            <m:sty m:val="bi"/>
          </m:rPr>
          <w:rPr>
            <w:rFonts w:ascii="Cambria Math" w:hAnsi="Cambria Math"/>
            <w:w w:val="108"/>
          </w:rPr>
          <m:t>u</m:t>
        </m:r>
        <m:r>
          <w:rPr>
            <w:rFonts w:ascii="Cambria Math" w:hAnsi="Cambria Math"/>
            <w:w w:val="108"/>
          </w:rPr>
          <m:t>=0</m:t>
        </m:r>
      </m:oMath>
      <w:r w:rsidR="003D0380" w:rsidRPr="00A240EA">
        <w:rPr>
          <w:rFonts w:eastAsia="Times New Roman" w:cs="Times New Roman"/>
          <w:w w:val="108"/>
        </w:rPr>
        <w:tab/>
      </w:r>
      <w:r w:rsidR="003D0380" w:rsidRPr="00A240EA">
        <w:rPr>
          <w:rFonts w:eastAsia="Times New Roman" w:cs="Times New Roman"/>
          <w:w w:val="108"/>
        </w:rPr>
        <w:tab/>
        <w:t>(S1)</w:t>
      </w:r>
    </w:p>
    <w:p w14:paraId="2A800B01" w14:textId="60D36D69" w:rsidR="00495EB6" w:rsidRPr="00A240EA" w:rsidRDefault="003D0380" w:rsidP="008D092B">
      <w:pPr>
        <w:spacing w:before="100" w:beforeAutospacing="1" w:after="100" w:afterAutospacing="1" w:line="240" w:lineRule="auto"/>
        <w:rPr>
          <w:rFonts w:eastAsia="Times New Roman" w:cs="Times New Roman"/>
          <w:szCs w:val="24"/>
        </w:rPr>
      </w:pPr>
      <w:r w:rsidRPr="00A240EA">
        <w:rPr>
          <w:rFonts w:eastAsia="Times New Roman" w:cs="Times New Roman"/>
          <w:szCs w:val="24"/>
        </w:rPr>
        <w:t>where ρ is the density (kg m</w:t>
      </w:r>
      <w:r w:rsidRPr="00A240EA">
        <w:rPr>
          <w:rFonts w:eastAsia="Times New Roman" w:cs="Times New Roman"/>
          <w:szCs w:val="24"/>
          <w:vertAlign w:val="superscript"/>
        </w:rPr>
        <w:t>-3</w:t>
      </w:r>
      <w:r w:rsidRPr="00A240EA">
        <w:rPr>
          <w:rFonts w:eastAsia="Times New Roman" w:cs="Times New Roman"/>
          <w:szCs w:val="24"/>
        </w:rPr>
        <w:t>), u the fluid velocity (m s</w:t>
      </w:r>
      <w:r w:rsidRPr="00A240EA">
        <w:rPr>
          <w:rFonts w:eastAsia="Times New Roman" w:cs="Times New Roman"/>
          <w:szCs w:val="24"/>
          <w:vertAlign w:val="superscript"/>
        </w:rPr>
        <w:t>-1</w:t>
      </w:r>
      <w:r w:rsidRPr="00A240EA">
        <w:rPr>
          <w:rFonts w:eastAsia="Times New Roman" w:cs="Times New Roman"/>
          <w:szCs w:val="24"/>
        </w:rPr>
        <w:t xml:space="preserve">), p the fluid pressure (Pa), and µ the fluid’s dynamic viscosity (Pa s). </w:t>
      </w:r>
    </w:p>
    <w:p w14:paraId="15BF7695" w14:textId="0C185774" w:rsidR="00495EB6" w:rsidRPr="00A240EA" w:rsidRDefault="00495EB6" w:rsidP="008D092B">
      <w:pPr>
        <w:spacing w:before="0" w:after="0" w:line="240" w:lineRule="auto"/>
        <w:rPr>
          <w:rFonts w:eastAsia="Times New Roman" w:cs="Times New Roman"/>
          <w:szCs w:val="24"/>
        </w:rPr>
      </w:pPr>
      <w:r w:rsidRPr="00A240EA">
        <w:rPr>
          <w:rFonts w:eastAsia="Times New Roman" w:cs="Times New Roman"/>
          <w:szCs w:val="24"/>
        </w:rPr>
        <w:t xml:space="preserve">The concentrations of solutes in the microfluidic reactor are then computed by solving the diffusion and </w:t>
      </w:r>
      <w:hyperlink r:id="rId15" w:tooltip="Learn more about advection from ScienceDirect's AI-generated Topic Pages" w:history="1">
        <w:r w:rsidRPr="00A240EA">
          <w:rPr>
            <w:rFonts w:eastAsia="Times New Roman" w:cs="Times New Roman"/>
            <w:szCs w:val="24"/>
          </w:rPr>
          <w:t>advection</w:t>
        </w:r>
      </w:hyperlink>
      <w:r w:rsidRPr="00A240EA">
        <w:rPr>
          <w:rFonts w:eastAsia="Times New Roman" w:cs="Times New Roman"/>
          <w:szCs w:val="24"/>
        </w:rPr>
        <w:t xml:space="preserve"> </w:t>
      </w:r>
      <w:r w:rsidR="003D0380" w:rsidRPr="00A240EA">
        <w:rPr>
          <w:rFonts w:eastAsia="Times New Roman" w:cs="Times New Roman"/>
          <w:szCs w:val="24"/>
        </w:rPr>
        <w:t>equation</w:t>
      </w:r>
      <w:r w:rsidRPr="00A240EA">
        <w:rPr>
          <w:rFonts w:eastAsia="Times New Roman" w:cs="Times New Roman"/>
          <w:szCs w:val="24"/>
        </w:rPr>
        <w:t xml:space="preserve"> </w:t>
      </w:r>
      <w:r w:rsidR="008D092B" w:rsidRPr="00A240EA">
        <w:rPr>
          <w:rFonts w:eastAsia="Times New Roman" w:cs="Times New Roman"/>
          <w:szCs w:val="24"/>
        </w:rPr>
        <w:t xml:space="preserve">(S2) </w:t>
      </w:r>
      <w:r w:rsidRPr="00A240EA">
        <w:rPr>
          <w:rFonts w:eastAsia="Times New Roman" w:cs="Times New Roman"/>
          <w:szCs w:val="24"/>
        </w:rPr>
        <w:t>where C</w:t>
      </w:r>
      <w:r w:rsidRPr="00A240EA">
        <w:rPr>
          <w:rFonts w:eastAsia="Times New Roman" w:cs="Times New Roman"/>
          <w:szCs w:val="24"/>
          <w:vertAlign w:val="subscript"/>
        </w:rPr>
        <w:t>i</w:t>
      </w:r>
      <w:r w:rsidRPr="00A240EA">
        <w:rPr>
          <w:rFonts w:eastAsia="Times New Roman" w:cs="Times New Roman"/>
          <w:szCs w:val="24"/>
        </w:rPr>
        <w:t xml:space="preserve"> (</w:t>
      </w:r>
      <w:proofErr w:type="spellStart"/>
      <w:r w:rsidRPr="00A240EA">
        <w:rPr>
          <w:rFonts w:eastAsia="Times New Roman" w:cs="Times New Roman"/>
          <w:szCs w:val="24"/>
        </w:rPr>
        <w:t>i</w:t>
      </w:r>
      <w:proofErr w:type="spellEnd"/>
      <w:r w:rsidRPr="00A240EA">
        <w:rPr>
          <w:rFonts w:eastAsia="Times New Roman" w:cs="Times New Roman"/>
          <w:szCs w:val="24"/>
        </w:rPr>
        <w:t> = 1, 2, 3…m) denotes the molar concentration (mol m</w:t>
      </w:r>
      <w:r w:rsidRPr="00A240EA">
        <w:rPr>
          <w:rFonts w:eastAsia="Times New Roman" w:cs="Times New Roman"/>
          <w:szCs w:val="24"/>
          <w:vertAlign w:val="superscript"/>
        </w:rPr>
        <w:t>−3</w:t>
      </w:r>
      <w:r w:rsidRPr="00A240EA">
        <w:rPr>
          <w:rFonts w:eastAsia="Times New Roman" w:cs="Times New Roman"/>
          <w:szCs w:val="24"/>
        </w:rPr>
        <w:t xml:space="preserve">) of the </w:t>
      </w:r>
      <w:proofErr w:type="spellStart"/>
      <w:r w:rsidRPr="00A240EA">
        <w:rPr>
          <w:rFonts w:eastAsia="Times New Roman" w:cs="Times New Roman"/>
          <w:szCs w:val="24"/>
        </w:rPr>
        <w:t>ith</w:t>
      </w:r>
      <w:proofErr w:type="spellEnd"/>
      <w:r w:rsidRPr="00A240EA">
        <w:rPr>
          <w:rFonts w:eastAsia="Times New Roman" w:cs="Times New Roman"/>
          <w:szCs w:val="24"/>
        </w:rPr>
        <w:t xml:space="preserve"> of m components in the system; u is the velocity (m</w:t>
      </w:r>
      <w:r w:rsidR="00D579F7" w:rsidRPr="00A240EA">
        <w:rPr>
          <w:rFonts w:eastAsia="Times New Roman" w:cs="Times New Roman"/>
          <w:szCs w:val="24"/>
        </w:rPr>
        <w:t xml:space="preserve"> </w:t>
      </w:r>
      <w:r w:rsidRPr="00A240EA">
        <w:rPr>
          <w:rFonts w:eastAsia="Times New Roman" w:cs="Times New Roman"/>
          <w:szCs w:val="24"/>
        </w:rPr>
        <w:t>s</w:t>
      </w:r>
      <w:r w:rsidRPr="00A240EA">
        <w:rPr>
          <w:rFonts w:eastAsia="Times New Roman" w:cs="Times New Roman"/>
          <w:szCs w:val="24"/>
          <w:vertAlign w:val="superscript"/>
        </w:rPr>
        <w:t>−1</w:t>
      </w:r>
      <w:r w:rsidRPr="00A240EA">
        <w:rPr>
          <w:rFonts w:eastAsia="Times New Roman" w:cs="Times New Roman"/>
          <w:szCs w:val="24"/>
        </w:rPr>
        <w:t xml:space="preserve">) of the fluid flow, and </w:t>
      </w:r>
      <w:r w:rsidRPr="00A240EA">
        <w:rPr>
          <w:rFonts w:eastAsia="Times New Roman" w:cs="Times New Roman"/>
          <w:i/>
          <w:iCs/>
          <w:szCs w:val="24"/>
        </w:rPr>
        <w:t>D</w:t>
      </w:r>
      <w:r w:rsidRPr="00A240EA">
        <w:rPr>
          <w:rFonts w:eastAsia="Times New Roman" w:cs="Times New Roman"/>
          <w:szCs w:val="24"/>
          <w:vertAlign w:val="subscript"/>
        </w:rPr>
        <w:t>i</w:t>
      </w:r>
      <w:r w:rsidRPr="00A240EA">
        <w:rPr>
          <w:rFonts w:eastAsia="Times New Roman" w:cs="Times New Roman"/>
          <w:szCs w:val="24"/>
        </w:rPr>
        <w:t xml:space="preserve"> is the </w:t>
      </w:r>
      <w:hyperlink r:id="rId16" w:tooltip="Learn more about diffusion coefficient from ScienceDirect's AI-generated Topic Pages" w:history="1">
        <w:r w:rsidRPr="00A240EA">
          <w:rPr>
            <w:rFonts w:eastAsia="Times New Roman" w:cs="Times New Roman"/>
            <w:szCs w:val="24"/>
          </w:rPr>
          <w:t>diffusion coefficient</w:t>
        </w:r>
      </w:hyperlink>
      <w:r w:rsidRPr="00A240EA">
        <w:rPr>
          <w:rFonts w:eastAsia="Times New Roman" w:cs="Times New Roman"/>
          <w:szCs w:val="24"/>
        </w:rPr>
        <w:t xml:space="preserve"> of component </w:t>
      </w:r>
      <w:proofErr w:type="spellStart"/>
      <w:r w:rsidRPr="00A240EA">
        <w:rPr>
          <w:rFonts w:eastAsia="Times New Roman" w:cs="Times New Roman"/>
          <w:szCs w:val="24"/>
        </w:rPr>
        <w:t>i</w:t>
      </w:r>
      <w:proofErr w:type="spellEnd"/>
      <w:r w:rsidRPr="00A240EA">
        <w:rPr>
          <w:rFonts w:eastAsia="Times New Roman" w:cs="Times New Roman"/>
          <w:szCs w:val="24"/>
        </w:rPr>
        <w:t xml:space="preserve">. </w:t>
      </w:r>
    </w:p>
    <w:p w14:paraId="7BE60BF7" w14:textId="7E858F3E" w:rsidR="008D092B" w:rsidRPr="00A240EA" w:rsidRDefault="008D092B" w:rsidP="008D092B">
      <w:pPr>
        <w:spacing w:before="100" w:beforeAutospacing="1" w:after="100" w:afterAutospacing="1" w:line="240" w:lineRule="auto"/>
        <w:jc w:val="center"/>
        <w:rPr>
          <w:rFonts w:eastAsia="Times New Roman" w:cs="Times New Roman"/>
          <w:szCs w:val="24"/>
        </w:rPr>
      </w:pPr>
      <w:bookmarkStart w:id="6" w:name="_Hlk138839844"/>
      <m:oMath>
        <m:r>
          <m:rPr>
            <m:sty m:val="p"/>
          </m:rPr>
          <w:rPr>
            <w:rFonts w:ascii="Cambria Math" w:hAnsi="Cambria Math"/>
            <w:w w:val="108"/>
          </w:rPr>
          <m:t>∇∙(</m:t>
        </m:r>
        <m:r>
          <m:rPr>
            <m:sty m:val="bi"/>
          </m:rPr>
          <w:rPr>
            <w:rFonts w:ascii="Cambria Math" w:hAnsi="Cambria Math"/>
            <w:w w:val="108"/>
          </w:rPr>
          <m:t>u</m:t>
        </m:r>
        <m:sSub>
          <m:sSubPr>
            <m:ctrlPr>
              <w:rPr>
                <w:rFonts w:ascii="Cambria Math" w:hAnsi="Cambria Math"/>
                <w:i/>
                <w:w w:val="108"/>
              </w:rPr>
            </m:ctrlPr>
          </m:sSubPr>
          <m:e>
            <m:r>
              <w:rPr>
                <w:rFonts w:ascii="Cambria Math" w:hAnsi="Cambria Math"/>
                <w:w w:val="108"/>
              </w:rPr>
              <m:t>C</m:t>
            </m:r>
          </m:e>
          <m:sub>
            <m:r>
              <w:rPr>
                <w:rFonts w:ascii="Cambria Math" w:hAnsi="Cambria Math"/>
                <w:w w:val="108"/>
              </w:rPr>
              <m:t>i</m:t>
            </m:r>
          </m:sub>
        </m:sSub>
        <m:r>
          <m:rPr>
            <m:sty m:val="p"/>
          </m:rPr>
          <w:rPr>
            <w:rFonts w:ascii="Cambria Math" w:hAnsi="Cambria Math"/>
            <w:w w:val="108"/>
          </w:rPr>
          <m:t>)-∇∙</m:t>
        </m:r>
        <m:d>
          <m:dPr>
            <m:ctrlPr>
              <w:rPr>
                <w:rFonts w:ascii="Cambria Math" w:hAnsi="Cambria Math"/>
                <w:i/>
                <w:w w:val="108"/>
              </w:rPr>
            </m:ctrlPr>
          </m:dPr>
          <m:e>
            <m:sSub>
              <m:sSubPr>
                <m:ctrlPr>
                  <w:rPr>
                    <w:rFonts w:ascii="Cambria Math" w:hAnsi="Cambria Math"/>
                    <w:i/>
                    <w:w w:val="108"/>
                  </w:rPr>
                </m:ctrlPr>
              </m:sSubPr>
              <m:e>
                <m:r>
                  <w:rPr>
                    <w:rFonts w:ascii="Cambria Math" w:hAnsi="Cambria Math"/>
                    <w:w w:val="108"/>
                  </w:rPr>
                  <m:t>D</m:t>
                </m:r>
              </m:e>
              <m:sub>
                <m:r>
                  <w:rPr>
                    <w:rFonts w:ascii="Cambria Math" w:hAnsi="Cambria Math"/>
                    <w:w w:val="108"/>
                  </w:rPr>
                  <m:t>i</m:t>
                </m:r>
              </m:sub>
            </m:sSub>
            <m:sSub>
              <m:sSubPr>
                <m:ctrlPr>
                  <w:rPr>
                    <w:rFonts w:ascii="Cambria Math" w:hAnsi="Cambria Math"/>
                    <w:i/>
                    <w:w w:val="108"/>
                  </w:rPr>
                </m:ctrlPr>
              </m:sSubPr>
              <m:e>
                <m:r>
                  <m:rPr>
                    <m:sty m:val="p"/>
                  </m:rPr>
                  <w:rPr>
                    <w:rFonts w:ascii="Cambria Math" w:hAnsi="Cambria Math"/>
                    <w:w w:val="108"/>
                  </w:rPr>
                  <m:t>∇</m:t>
                </m:r>
                <m:r>
                  <w:rPr>
                    <w:rFonts w:ascii="Cambria Math" w:hAnsi="Cambria Math"/>
                    <w:w w:val="108"/>
                  </w:rPr>
                  <m:t>C</m:t>
                </m:r>
              </m:e>
              <m:sub>
                <m:r>
                  <w:rPr>
                    <w:rFonts w:ascii="Cambria Math" w:hAnsi="Cambria Math"/>
                    <w:w w:val="108"/>
                  </w:rPr>
                  <m:t>i</m:t>
                </m:r>
              </m:sub>
            </m:sSub>
          </m:e>
        </m:d>
        <m:r>
          <w:rPr>
            <w:rFonts w:ascii="Cambria Math" w:hAnsi="Cambria Math"/>
            <w:w w:val="108"/>
          </w:rPr>
          <m:t>=0</m:t>
        </m:r>
      </m:oMath>
      <w:bookmarkEnd w:id="6"/>
      <w:r w:rsidRPr="00A240EA">
        <w:rPr>
          <w:rFonts w:eastAsia="Times New Roman" w:cs="Times New Roman"/>
          <w:w w:val="108"/>
        </w:rPr>
        <w:tab/>
      </w:r>
      <w:r w:rsidRPr="00A240EA">
        <w:rPr>
          <w:rFonts w:eastAsia="Times New Roman" w:cs="Times New Roman"/>
          <w:w w:val="108"/>
        </w:rPr>
        <w:tab/>
      </w:r>
      <w:r w:rsidRPr="00A240EA">
        <w:rPr>
          <w:rFonts w:eastAsia="Times New Roman" w:cs="Times New Roman"/>
          <w:w w:val="108"/>
        </w:rPr>
        <w:tab/>
        <w:t>(S2)</w:t>
      </w:r>
    </w:p>
    <w:p w14:paraId="33A1AFE9" w14:textId="2A193E32" w:rsidR="00542521" w:rsidRPr="00A240EA" w:rsidRDefault="00495EB6" w:rsidP="00542521">
      <w:pPr>
        <w:spacing w:before="100" w:beforeAutospacing="1" w:after="100" w:afterAutospacing="1" w:line="240" w:lineRule="auto"/>
        <w:rPr>
          <w:rFonts w:eastAsia="Times New Roman" w:cs="Times New Roman"/>
          <w:szCs w:val="24"/>
        </w:rPr>
      </w:pPr>
      <w:r w:rsidRPr="00A240EA">
        <w:rPr>
          <w:rFonts w:eastAsia="Times New Roman" w:cs="Times New Roman"/>
          <w:szCs w:val="24"/>
        </w:rPr>
        <w:t xml:space="preserve">The equations were solved for the given boundary conditions using the computational fluid dynamics software COMSOL Multiphysics </w:t>
      </w:r>
      <w:r w:rsidR="008D092B" w:rsidRPr="00A240EA">
        <w:rPr>
          <w:rFonts w:eastAsia="Times New Roman" w:cs="Times New Roman"/>
          <w:szCs w:val="24"/>
        </w:rPr>
        <w:t>6</w:t>
      </w:r>
      <w:r w:rsidRPr="00A240EA">
        <w:rPr>
          <w:rFonts w:eastAsia="Times New Roman" w:cs="Times New Roman"/>
          <w:szCs w:val="24"/>
        </w:rPr>
        <w:t xml:space="preserve"> (COMSOL AB, Stockholm, Sweden).</w:t>
      </w:r>
      <w:r w:rsidR="00542521" w:rsidRPr="00A240EA">
        <w:rPr>
          <w:rFonts w:eastAsia="Times New Roman" w:cs="Times New Roman"/>
          <w:szCs w:val="24"/>
        </w:rPr>
        <w:t xml:space="preserve"> The flow in the microfluidic reactor was modelled considering </w:t>
      </w:r>
      <w:proofErr w:type="gramStart"/>
      <w:r w:rsidR="00542521" w:rsidRPr="00A240EA">
        <w:rPr>
          <w:rFonts w:eastAsia="Times New Roman" w:cs="Times New Roman"/>
          <w:szCs w:val="24"/>
        </w:rPr>
        <w:t>a 2</w:t>
      </w:r>
      <w:proofErr w:type="gramEnd"/>
      <w:r w:rsidR="00542521" w:rsidRPr="00A240EA">
        <w:rPr>
          <w:rFonts w:eastAsia="Times New Roman" w:cs="Times New Roman"/>
          <w:szCs w:val="24"/>
        </w:rPr>
        <w:t xml:space="preserve">D geometry </w:t>
      </w:r>
      <w:r w:rsidR="003122B8" w:rsidRPr="00A240EA">
        <w:rPr>
          <w:rFonts w:eastAsia="Times New Roman" w:cs="Times New Roman"/>
          <w:szCs w:val="24"/>
        </w:rPr>
        <w:t>(</w:t>
      </w:r>
      <w:r w:rsidR="00542521" w:rsidRPr="00A240EA">
        <w:rPr>
          <w:rFonts w:eastAsia="Times New Roman" w:cs="Times New Roman"/>
          <w:szCs w:val="24"/>
        </w:rPr>
        <w:t>Figure S1</w:t>
      </w:r>
      <w:r w:rsidR="003122B8" w:rsidRPr="00A240EA">
        <w:rPr>
          <w:rFonts w:eastAsia="Times New Roman" w:cs="Times New Roman"/>
          <w:szCs w:val="24"/>
        </w:rPr>
        <w:t>)</w:t>
      </w:r>
      <w:r w:rsidR="00542521" w:rsidRPr="00A240EA">
        <w:rPr>
          <w:rFonts w:eastAsia="Times New Roman" w:cs="Times New Roman"/>
          <w:szCs w:val="24"/>
        </w:rPr>
        <w:t>. N</w:t>
      </w:r>
      <w:r w:rsidRPr="00A240EA">
        <w:rPr>
          <w:rFonts w:eastAsia="Times New Roman" w:cs="Times New Roman"/>
          <w:szCs w:val="24"/>
        </w:rPr>
        <w:t xml:space="preserve">o-slip condition was applied at the walls of the reactor and a </w:t>
      </w:r>
      <w:r w:rsidR="00542521" w:rsidRPr="00A240EA">
        <w:rPr>
          <w:rFonts w:eastAsia="Times New Roman" w:cs="Times New Roman"/>
          <w:szCs w:val="24"/>
        </w:rPr>
        <w:t xml:space="preserve">velocity of </w:t>
      </w:r>
      <w:r w:rsidR="009B4066" w:rsidRPr="00A240EA">
        <w:rPr>
          <w:rFonts w:eastAsia="Times New Roman" w:cs="Times New Roman"/>
          <w:szCs w:val="24"/>
        </w:rPr>
        <w:t>1.67×10</w:t>
      </w:r>
      <w:r w:rsidR="009B4066" w:rsidRPr="00A240EA">
        <w:rPr>
          <w:rFonts w:eastAsia="Times New Roman" w:cs="Times New Roman"/>
          <w:szCs w:val="24"/>
          <w:vertAlign w:val="superscript"/>
        </w:rPr>
        <w:t>-2</w:t>
      </w:r>
      <w:r w:rsidR="009B4066" w:rsidRPr="00A240EA">
        <w:rPr>
          <w:rFonts w:eastAsia="Times New Roman" w:cs="Times New Roman"/>
          <w:szCs w:val="24"/>
        </w:rPr>
        <w:t xml:space="preserve"> m</w:t>
      </w:r>
      <w:r w:rsidR="003122B8" w:rsidRPr="00A240EA">
        <w:rPr>
          <w:rFonts w:eastAsia="Times New Roman" w:cs="Times New Roman"/>
          <w:szCs w:val="24"/>
        </w:rPr>
        <w:t xml:space="preserve"> </w:t>
      </w:r>
      <w:r w:rsidR="009B4066" w:rsidRPr="00A240EA">
        <w:rPr>
          <w:rFonts w:eastAsia="Times New Roman" w:cs="Times New Roman"/>
          <w:szCs w:val="24"/>
        </w:rPr>
        <w:t>s</w:t>
      </w:r>
      <w:r w:rsidR="009B4066" w:rsidRPr="00A240EA">
        <w:rPr>
          <w:rFonts w:eastAsia="Times New Roman" w:cs="Times New Roman"/>
          <w:szCs w:val="24"/>
          <w:vertAlign w:val="superscript"/>
        </w:rPr>
        <w:t>-1</w:t>
      </w:r>
      <w:r w:rsidRPr="00A240EA">
        <w:rPr>
          <w:rFonts w:eastAsia="Times New Roman" w:cs="Times New Roman"/>
          <w:szCs w:val="24"/>
        </w:rPr>
        <w:t xml:space="preserve"> was specified at each of the two inlet</w:t>
      </w:r>
      <w:r w:rsidR="00542521" w:rsidRPr="00A240EA">
        <w:rPr>
          <w:rFonts w:eastAsia="Times New Roman" w:cs="Times New Roman"/>
          <w:szCs w:val="24"/>
        </w:rPr>
        <w:t xml:space="preserve"> channels</w:t>
      </w:r>
      <w:r w:rsidRPr="00A240EA">
        <w:rPr>
          <w:rFonts w:eastAsia="Times New Roman" w:cs="Times New Roman"/>
          <w:szCs w:val="24"/>
        </w:rPr>
        <w:t xml:space="preserve">. A reference pressure of 0 Pa was specified at </w:t>
      </w:r>
      <w:r w:rsidR="00542521" w:rsidRPr="00A240EA">
        <w:rPr>
          <w:rFonts w:eastAsia="Times New Roman" w:cs="Times New Roman"/>
          <w:szCs w:val="24"/>
        </w:rPr>
        <w:t>the</w:t>
      </w:r>
      <w:r w:rsidRPr="00A240EA">
        <w:rPr>
          <w:rFonts w:eastAsia="Times New Roman" w:cs="Times New Roman"/>
          <w:szCs w:val="24"/>
        </w:rPr>
        <w:t xml:space="preserve"> outlet. For the fluid properties, a density of 1000 kg m</w:t>
      </w:r>
      <w:r w:rsidRPr="00A240EA">
        <w:rPr>
          <w:rFonts w:eastAsia="Times New Roman" w:cs="Times New Roman"/>
          <w:szCs w:val="24"/>
          <w:vertAlign w:val="superscript"/>
        </w:rPr>
        <w:t>−</w:t>
      </w:r>
      <w:proofErr w:type="gramStart"/>
      <w:r w:rsidRPr="00A240EA">
        <w:rPr>
          <w:rFonts w:eastAsia="Times New Roman" w:cs="Times New Roman"/>
          <w:szCs w:val="24"/>
          <w:vertAlign w:val="superscript"/>
        </w:rPr>
        <w:t>3</w:t>
      </w:r>
      <w:proofErr w:type="gramEnd"/>
      <w:r w:rsidRPr="00A240EA">
        <w:rPr>
          <w:rFonts w:eastAsia="Times New Roman" w:cs="Times New Roman"/>
          <w:szCs w:val="24"/>
        </w:rPr>
        <w:t xml:space="preserve"> and a viscosity of 8.9 × 10</w:t>
      </w:r>
      <w:r w:rsidRPr="00A240EA">
        <w:rPr>
          <w:rFonts w:eastAsia="Times New Roman" w:cs="Times New Roman"/>
          <w:szCs w:val="24"/>
          <w:vertAlign w:val="superscript"/>
        </w:rPr>
        <w:t>−4</w:t>
      </w:r>
      <w:r w:rsidRPr="00A240EA">
        <w:rPr>
          <w:rFonts w:eastAsia="Times New Roman" w:cs="Times New Roman"/>
          <w:szCs w:val="24"/>
        </w:rPr>
        <w:t> Pa s (</w:t>
      </w:r>
      <w:r w:rsidR="008D092B" w:rsidRPr="00A240EA">
        <w:rPr>
          <w:rFonts w:eastAsia="Times New Roman" w:cs="Times New Roman"/>
          <w:szCs w:val="24"/>
        </w:rPr>
        <w:t>i.e.,</w:t>
      </w:r>
      <w:r w:rsidRPr="00A240EA">
        <w:rPr>
          <w:rFonts w:eastAsia="Times New Roman" w:cs="Times New Roman"/>
          <w:szCs w:val="24"/>
        </w:rPr>
        <w:t xml:space="preserve"> referring to pure water) were assumed. </w:t>
      </w:r>
    </w:p>
    <w:p w14:paraId="18B7B3A3" w14:textId="33697DDB" w:rsidR="009B4066" w:rsidRPr="00A240EA" w:rsidRDefault="009B4066" w:rsidP="0025466D">
      <w:pPr>
        <w:spacing w:before="100" w:beforeAutospacing="1" w:after="100" w:afterAutospacing="1" w:line="240" w:lineRule="auto"/>
        <w:jc w:val="center"/>
        <w:rPr>
          <w:rFonts w:eastAsia="Times New Roman" w:cs="Times New Roman"/>
          <w:szCs w:val="24"/>
        </w:rPr>
      </w:pPr>
      <w:r w:rsidRPr="00A240EA">
        <w:rPr>
          <w:rFonts w:eastAsia="Times New Roman" w:cs="Times New Roman"/>
          <w:noProof/>
          <w:szCs w:val="24"/>
        </w:rPr>
        <w:drawing>
          <wp:inline distT="0" distB="0" distL="0" distR="0" wp14:anchorId="086465E7" wp14:editId="072CF698">
            <wp:extent cx="3000572" cy="2081283"/>
            <wp:effectExtent l="0" t="0" r="0" b="0"/>
            <wp:docPr id="4688552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09116" cy="2087209"/>
                    </a:xfrm>
                    <a:prstGeom prst="rect">
                      <a:avLst/>
                    </a:prstGeom>
                    <a:noFill/>
                  </pic:spPr>
                </pic:pic>
              </a:graphicData>
            </a:graphic>
          </wp:inline>
        </w:drawing>
      </w:r>
    </w:p>
    <w:p w14:paraId="18F22076" w14:textId="2573D0F8" w:rsidR="009B4066" w:rsidRPr="00A240EA" w:rsidRDefault="009B4066" w:rsidP="0025466D">
      <w:pPr>
        <w:spacing w:before="100" w:beforeAutospacing="1" w:after="100" w:afterAutospacing="1" w:line="240" w:lineRule="auto"/>
        <w:jc w:val="center"/>
        <w:rPr>
          <w:rFonts w:eastAsia="Times New Roman" w:cs="Times New Roman"/>
          <w:szCs w:val="24"/>
        </w:rPr>
      </w:pPr>
      <w:r w:rsidRPr="00A240EA">
        <w:rPr>
          <w:rFonts w:eastAsia="Calibri" w:cs="Times New Roman"/>
          <w:b/>
          <w:bCs/>
          <w:szCs w:val="24"/>
          <w:lang w:eastAsia="zh-CN"/>
        </w:rPr>
        <w:t>Figure S1</w:t>
      </w:r>
      <w:r w:rsidRPr="00A240EA">
        <w:rPr>
          <w:rFonts w:eastAsia="Times New Roman" w:cs="Times New Roman"/>
          <w:szCs w:val="24"/>
        </w:rPr>
        <w:t xml:space="preserve"> 2D geometry for COMSOL simulation</w:t>
      </w:r>
    </w:p>
    <w:p w14:paraId="17E4F448" w14:textId="3C6439F7" w:rsidR="002752E4" w:rsidRPr="00A240EA" w:rsidRDefault="0025466D" w:rsidP="0025466D">
      <w:pPr>
        <w:rPr>
          <w:rFonts w:eastAsiaTheme="minorEastAsia" w:cs="Times New Roman"/>
          <w:lang w:val="en-GB"/>
        </w:rPr>
      </w:pPr>
      <w:r w:rsidRPr="00A240EA">
        <w:rPr>
          <w:rFonts w:eastAsiaTheme="minorEastAsia"/>
          <w:i/>
          <w:iCs/>
          <w:lang w:val="en-GB"/>
        </w:rPr>
        <w:lastRenderedPageBreak/>
        <w:t>D</w:t>
      </w:r>
      <w:r w:rsidRPr="00A240EA">
        <w:rPr>
          <w:rFonts w:eastAsiaTheme="minorEastAsia"/>
          <w:vertAlign w:val="subscript"/>
          <w:lang w:val="en-GB"/>
        </w:rPr>
        <w:t>i</w:t>
      </w:r>
      <w:r w:rsidRPr="00A240EA">
        <w:rPr>
          <w:rFonts w:eastAsiaTheme="minorEastAsia"/>
          <w:lang w:val="en-GB"/>
        </w:rPr>
        <w:t xml:space="preserve"> is the diffusion-dispersion coefficient of component </w:t>
      </w:r>
      <w:proofErr w:type="spellStart"/>
      <w:r w:rsidRPr="00A240EA">
        <w:rPr>
          <w:rFonts w:eastAsiaTheme="minorEastAsia"/>
          <w:lang w:val="en-GB"/>
        </w:rPr>
        <w:t>i</w:t>
      </w:r>
      <w:proofErr w:type="spellEnd"/>
      <w:r w:rsidRPr="00A240EA">
        <w:rPr>
          <w:rFonts w:eastAsiaTheme="minorEastAsia"/>
          <w:lang w:val="en-GB"/>
        </w:rPr>
        <w:t xml:space="preserve"> set to 1.23</w:t>
      </w:r>
      <w:r w:rsidRPr="00A240EA">
        <w:rPr>
          <w:rFonts w:eastAsiaTheme="minorEastAsia" w:cs="Times New Roman"/>
          <w:lang w:val="en-GB"/>
        </w:rPr>
        <w:t>×</w:t>
      </w:r>
      <w:r w:rsidRPr="00A240EA">
        <w:rPr>
          <w:rFonts w:eastAsiaTheme="minorEastAsia"/>
          <w:lang w:val="en-GB"/>
        </w:rPr>
        <w:t>10</w:t>
      </w:r>
      <w:r w:rsidRPr="00A240EA">
        <w:rPr>
          <w:rFonts w:eastAsiaTheme="minorEastAsia"/>
          <w:vertAlign w:val="superscript"/>
          <w:lang w:val="en-GB"/>
        </w:rPr>
        <w:t>-9</w:t>
      </w:r>
      <w:r w:rsidRPr="00A240EA">
        <w:rPr>
          <w:rFonts w:eastAsiaTheme="minorEastAsia"/>
          <w:lang w:val="en-GB"/>
        </w:rPr>
        <w:t xml:space="preserve"> m</w:t>
      </w:r>
      <w:r w:rsidRPr="00A240EA">
        <w:rPr>
          <w:rFonts w:eastAsiaTheme="minorEastAsia"/>
          <w:vertAlign w:val="superscript"/>
          <w:lang w:val="en-GB"/>
        </w:rPr>
        <w:t>2</w:t>
      </w:r>
      <w:r w:rsidRPr="00A240EA">
        <w:rPr>
          <w:rFonts w:eastAsiaTheme="minorEastAsia"/>
          <w:lang w:val="en-GB"/>
        </w:rPr>
        <w:t xml:space="preserve"> s</w:t>
      </w:r>
      <w:r w:rsidRPr="00A240EA">
        <w:rPr>
          <w:rFonts w:eastAsiaTheme="minorEastAsia"/>
          <w:vertAlign w:val="superscript"/>
          <w:lang w:val="en-GB"/>
        </w:rPr>
        <w:t>-1</w:t>
      </w:r>
      <w:r w:rsidRPr="00A240EA">
        <w:rPr>
          <w:rFonts w:eastAsiaTheme="minorEastAsia" w:cs="Times New Roman"/>
          <w:lang w:val="en-GB"/>
        </w:rPr>
        <w:t xml:space="preserve"> for Na</w:t>
      </w:r>
      <w:r w:rsidRPr="00A240EA">
        <w:rPr>
          <w:rFonts w:eastAsiaTheme="minorEastAsia" w:cs="Times New Roman"/>
          <w:vertAlign w:val="subscript"/>
          <w:lang w:val="en-GB"/>
        </w:rPr>
        <w:t>2</w:t>
      </w:r>
      <w:r w:rsidRPr="00A240EA">
        <w:rPr>
          <w:rFonts w:eastAsiaTheme="minorEastAsia" w:cs="Times New Roman"/>
          <w:lang w:val="en-GB"/>
        </w:rPr>
        <w:t>SO</w:t>
      </w:r>
      <w:r w:rsidRPr="00A240EA">
        <w:rPr>
          <w:rFonts w:eastAsiaTheme="minorEastAsia" w:cs="Times New Roman"/>
          <w:vertAlign w:val="subscript"/>
          <w:lang w:val="en-GB"/>
        </w:rPr>
        <w:t>4</w:t>
      </w:r>
      <w:r w:rsidRPr="00A240EA">
        <w:rPr>
          <w:rFonts w:eastAsiaTheme="minorEastAsia" w:cs="Times New Roman"/>
          <w:lang w:val="en-GB"/>
        </w:rPr>
        <w:t xml:space="preserve"> (average for Na</w:t>
      </w:r>
      <w:r w:rsidRPr="00A240EA">
        <w:rPr>
          <w:rFonts w:eastAsiaTheme="minorEastAsia" w:cs="Times New Roman"/>
          <w:vertAlign w:val="superscript"/>
          <w:lang w:val="en-GB"/>
        </w:rPr>
        <w:t>+</w:t>
      </w:r>
      <w:r w:rsidRPr="00A240EA">
        <w:rPr>
          <w:rFonts w:eastAsiaTheme="minorEastAsia" w:cs="Times New Roman"/>
          <w:lang w:val="en-GB"/>
        </w:rPr>
        <w:t xml:space="preserve"> (1.33×</w:t>
      </w:r>
      <w:r w:rsidRPr="00A240EA">
        <w:rPr>
          <w:rFonts w:eastAsiaTheme="minorEastAsia"/>
          <w:lang w:val="en-GB"/>
        </w:rPr>
        <w:t>10</w:t>
      </w:r>
      <w:r w:rsidRPr="00A240EA">
        <w:rPr>
          <w:rFonts w:eastAsiaTheme="minorEastAsia"/>
          <w:vertAlign w:val="superscript"/>
          <w:lang w:val="en-GB"/>
        </w:rPr>
        <w:t>-9</w:t>
      </w:r>
      <w:r w:rsidRPr="00A240EA">
        <w:rPr>
          <w:rFonts w:eastAsiaTheme="minorEastAsia"/>
          <w:lang w:val="en-GB"/>
        </w:rPr>
        <w:t xml:space="preserve"> m</w:t>
      </w:r>
      <w:r w:rsidRPr="00A240EA">
        <w:rPr>
          <w:rFonts w:eastAsiaTheme="minorEastAsia"/>
          <w:vertAlign w:val="superscript"/>
          <w:lang w:val="en-GB"/>
        </w:rPr>
        <w:t>2</w:t>
      </w:r>
      <w:r w:rsidRPr="00A240EA">
        <w:rPr>
          <w:rFonts w:eastAsiaTheme="minorEastAsia"/>
          <w:lang w:val="en-GB"/>
        </w:rPr>
        <w:t>s</w:t>
      </w:r>
      <w:r w:rsidRPr="00A240EA">
        <w:rPr>
          <w:rFonts w:eastAsiaTheme="minorEastAsia"/>
          <w:vertAlign w:val="superscript"/>
          <w:lang w:val="en-GB"/>
        </w:rPr>
        <w:t>-1</w:t>
      </w:r>
      <w:r w:rsidRPr="00A240EA">
        <w:rPr>
          <w:rFonts w:eastAsiaTheme="minorEastAsia"/>
          <w:lang w:val="en-GB"/>
        </w:rPr>
        <w:t>)</w:t>
      </w:r>
      <w:r w:rsidRPr="00A240EA">
        <w:rPr>
          <w:rFonts w:eastAsiaTheme="minorEastAsia" w:cs="Times New Roman"/>
          <w:lang w:val="en-GB"/>
        </w:rPr>
        <w:t xml:space="preserve"> and SO</w:t>
      </w:r>
      <w:r w:rsidRPr="00A240EA">
        <w:rPr>
          <w:rFonts w:eastAsiaTheme="minorEastAsia" w:cs="Times New Roman"/>
          <w:vertAlign w:val="subscript"/>
          <w:lang w:val="en-GB"/>
        </w:rPr>
        <w:t>4</w:t>
      </w:r>
      <w:r w:rsidRPr="00A240EA">
        <w:rPr>
          <w:rFonts w:eastAsiaTheme="minorEastAsia" w:cs="Times New Roman"/>
          <w:vertAlign w:val="superscript"/>
          <w:lang w:val="en-GB"/>
        </w:rPr>
        <w:t>2-</w:t>
      </w:r>
      <w:r w:rsidRPr="00A240EA">
        <w:rPr>
          <w:rFonts w:eastAsiaTheme="minorEastAsia" w:cs="Times New Roman"/>
          <w:lang w:val="en-GB"/>
        </w:rPr>
        <w:t xml:space="preserve"> (1.07×</w:t>
      </w:r>
      <w:r w:rsidRPr="00A240EA">
        <w:rPr>
          <w:rFonts w:eastAsiaTheme="minorEastAsia"/>
          <w:lang w:val="en-GB"/>
        </w:rPr>
        <w:t>10</w:t>
      </w:r>
      <w:r w:rsidRPr="00A240EA">
        <w:rPr>
          <w:rFonts w:eastAsiaTheme="minorEastAsia"/>
          <w:vertAlign w:val="superscript"/>
          <w:lang w:val="en-GB"/>
        </w:rPr>
        <w:t>-9</w:t>
      </w:r>
      <w:r w:rsidRPr="00A240EA">
        <w:rPr>
          <w:rFonts w:eastAsiaTheme="minorEastAsia"/>
          <w:lang w:val="en-GB"/>
        </w:rPr>
        <w:t xml:space="preserve"> m</w:t>
      </w:r>
      <w:r w:rsidRPr="00A240EA">
        <w:rPr>
          <w:rFonts w:eastAsiaTheme="minorEastAsia"/>
          <w:vertAlign w:val="superscript"/>
          <w:lang w:val="en-GB"/>
        </w:rPr>
        <w:t xml:space="preserve">2 </w:t>
      </w:r>
      <w:r w:rsidRPr="00A240EA">
        <w:rPr>
          <w:rFonts w:eastAsiaTheme="minorEastAsia"/>
          <w:lang w:val="en-GB"/>
        </w:rPr>
        <w:t>s</w:t>
      </w:r>
      <w:r w:rsidRPr="00A240EA">
        <w:rPr>
          <w:rFonts w:eastAsiaTheme="minorEastAsia"/>
          <w:vertAlign w:val="superscript"/>
          <w:lang w:val="en-GB"/>
        </w:rPr>
        <w:t>-1</w:t>
      </w:r>
      <w:r w:rsidRPr="00A240EA">
        <w:rPr>
          <w:rFonts w:eastAsiaTheme="minorEastAsia" w:cs="Times New Roman"/>
          <w:lang w:val="en-GB"/>
        </w:rPr>
        <w:t xml:space="preserve">)), </w:t>
      </w:r>
      <w:bookmarkStart w:id="7" w:name="_Hlk151393132"/>
      <w:r w:rsidRPr="00A240EA">
        <w:rPr>
          <w:rFonts w:eastAsiaTheme="minorEastAsia"/>
          <w:lang w:val="en-GB"/>
        </w:rPr>
        <w:t>1.39</w:t>
      </w:r>
      <w:r w:rsidRPr="00A240EA">
        <w:rPr>
          <w:rFonts w:eastAsiaTheme="minorEastAsia" w:cs="Times New Roman"/>
          <w:lang w:val="en-GB"/>
        </w:rPr>
        <w:t>×</w:t>
      </w:r>
      <w:r w:rsidRPr="00A240EA">
        <w:rPr>
          <w:rFonts w:eastAsiaTheme="minorEastAsia"/>
          <w:lang w:val="en-GB"/>
        </w:rPr>
        <w:t>10</w:t>
      </w:r>
      <w:r w:rsidRPr="00A240EA">
        <w:rPr>
          <w:rFonts w:eastAsiaTheme="minorEastAsia"/>
          <w:vertAlign w:val="superscript"/>
          <w:lang w:val="en-GB"/>
        </w:rPr>
        <w:t>-9</w:t>
      </w:r>
      <w:r w:rsidRPr="00A240EA">
        <w:rPr>
          <w:rFonts w:eastAsiaTheme="minorEastAsia"/>
          <w:lang w:val="en-GB"/>
        </w:rPr>
        <w:t xml:space="preserve"> m</w:t>
      </w:r>
      <w:r w:rsidRPr="00A240EA">
        <w:rPr>
          <w:rFonts w:eastAsiaTheme="minorEastAsia"/>
          <w:vertAlign w:val="superscript"/>
          <w:lang w:val="en-GB"/>
        </w:rPr>
        <w:t xml:space="preserve">2 </w:t>
      </w:r>
      <w:r w:rsidRPr="00A240EA">
        <w:rPr>
          <w:rFonts w:eastAsiaTheme="minorEastAsia"/>
          <w:lang w:val="en-GB"/>
        </w:rPr>
        <w:t>s</w:t>
      </w:r>
      <w:r w:rsidRPr="00A240EA">
        <w:rPr>
          <w:rFonts w:eastAsiaTheme="minorEastAsia"/>
          <w:vertAlign w:val="superscript"/>
          <w:lang w:val="en-GB"/>
        </w:rPr>
        <w:t>-1</w:t>
      </w:r>
      <w:r w:rsidRPr="00A240EA">
        <w:rPr>
          <w:rFonts w:eastAsiaTheme="minorEastAsia"/>
          <w:lang w:val="en-GB"/>
        </w:rPr>
        <w:t xml:space="preserve"> for BaCl</w:t>
      </w:r>
      <w:r w:rsidRPr="00A240EA">
        <w:rPr>
          <w:rFonts w:eastAsiaTheme="minorEastAsia"/>
          <w:vertAlign w:val="subscript"/>
          <w:lang w:val="en-GB"/>
        </w:rPr>
        <w:t>2</w:t>
      </w:r>
      <w:r w:rsidRPr="00A240EA">
        <w:rPr>
          <w:rFonts w:eastAsiaTheme="minorEastAsia" w:cs="Times New Roman"/>
          <w:lang w:val="en-GB"/>
        </w:rPr>
        <w:t xml:space="preserve"> (average for Ba</w:t>
      </w:r>
      <w:r w:rsidRPr="00A240EA">
        <w:rPr>
          <w:rFonts w:eastAsiaTheme="minorEastAsia" w:cs="Times New Roman"/>
          <w:vertAlign w:val="superscript"/>
          <w:lang w:val="en-GB"/>
        </w:rPr>
        <w:t>2+</w:t>
      </w:r>
      <w:r w:rsidRPr="00A240EA">
        <w:rPr>
          <w:rFonts w:eastAsiaTheme="minorEastAsia" w:cs="Times New Roman"/>
          <w:lang w:val="en-GB"/>
        </w:rPr>
        <w:t xml:space="preserve"> (8.47×</w:t>
      </w:r>
      <w:r w:rsidRPr="00A240EA">
        <w:rPr>
          <w:rFonts w:eastAsiaTheme="minorEastAsia"/>
          <w:lang w:val="en-GB"/>
        </w:rPr>
        <w:t>10</w:t>
      </w:r>
      <w:r w:rsidRPr="00A240EA">
        <w:rPr>
          <w:rFonts w:eastAsiaTheme="minorEastAsia"/>
          <w:vertAlign w:val="superscript"/>
          <w:lang w:val="en-GB"/>
        </w:rPr>
        <w:t>-9</w:t>
      </w:r>
      <w:r w:rsidRPr="00A240EA">
        <w:rPr>
          <w:rFonts w:eastAsiaTheme="minorEastAsia"/>
          <w:lang w:val="en-GB"/>
        </w:rPr>
        <w:t xml:space="preserve"> m</w:t>
      </w:r>
      <w:r w:rsidRPr="00A240EA">
        <w:rPr>
          <w:rFonts w:eastAsiaTheme="minorEastAsia"/>
          <w:vertAlign w:val="superscript"/>
          <w:lang w:val="en-GB"/>
        </w:rPr>
        <w:t xml:space="preserve">2 </w:t>
      </w:r>
      <w:r w:rsidRPr="00A240EA">
        <w:rPr>
          <w:rFonts w:eastAsiaTheme="minorEastAsia"/>
          <w:lang w:val="en-GB"/>
        </w:rPr>
        <w:t>s</w:t>
      </w:r>
      <w:r w:rsidRPr="00A240EA">
        <w:rPr>
          <w:rFonts w:eastAsiaTheme="minorEastAsia"/>
          <w:vertAlign w:val="superscript"/>
          <w:lang w:val="en-GB"/>
        </w:rPr>
        <w:t>-1</w:t>
      </w:r>
      <w:r w:rsidRPr="00A240EA">
        <w:rPr>
          <w:rFonts w:eastAsiaTheme="minorEastAsia"/>
          <w:lang w:val="en-GB"/>
        </w:rPr>
        <w:t>)</w:t>
      </w:r>
      <w:r w:rsidRPr="00A240EA">
        <w:rPr>
          <w:rFonts w:eastAsiaTheme="minorEastAsia" w:cs="Times New Roman"/>
          <w:lang w:val="en-GB"/>
        </w:rPr>
        <w:t xml:space="preserve"> and Cl</w:t>
      </w:r>
      <w:r w:rsidRPr="00A240EA">
        <w:rPr>
          <w:rFonts w:eastAsiaTheme="minorEastAsia" w:cs="Times New Roman"/>
          <w:vertAlign w:val="superscript"/>
          <w:lang w:val="en-GB"/>
        </w:rPr>
        <w:t>-</w:t>
      </w:r>
      <w:r w:rsidRPr="00A240EA">
        <w:rPr>
          <w:rFonts w:eastAsiaTheme="minorEastAsia" w:cs="Times New Roman"/>
          <w:lang w:val="en-GB"/>
        </w:rPr>
        <w:t xml:space="preserve"> (2.03×</w:t>
      </w:r>
      <w:r w:rsidRPr="00A240EA">
        <w:rPr>
          <w:rFonts w:eastAsiaTheme="minorEastAsia"/>
          <w:lang w:val="en-GB"/>
        </w:rPr>
        <w:t>10</w:t>
      </w:r>
      <w:r w:rsidRPr="00A240EA">
        <w:rPr>
          <w:rFonts w:eastAsiaTheme="minorEastAsia"/>
          <w:vertAlign w:val="superscript"/>
          <w:lang w:val="en-GB"/>
        </w:rPr>
        <w:t>-9</w:t>
      </w:r>
      <w:r w:rsidRPr="00A240EA">
        <w:rPr>
          <w:rFonts w:eastAsiaTheme="minorEastAsia"/>
          <w:lang w:val="en-GB"/>
        </w:rPr>
        <w:t xml:space="preserve"> m</w:t>
      </w:r>
      <w:r w:rsidRPr="00A240EA">
        <w:rPr>
          <w:rFonts w:eastAsiaTheme="minorEastAsia"/>
          <w:vertAlign w:val="superscript"/>
          <w:lang w:val="en-GB"/>
        </w:rPr>
        <w:t xml:space="preserve">2 </w:t>
      </w:r>
      <w:r w:rsidRPr="00A240EA">
        <w:rPr>
          <w:rFonts w:eastAsiaTheme="minorEastAsia"/>
          <w:lang w:val="en-GB"/>
        </w:rPr>
        <w:t>s</w:t>
      </w:r>
      <w:r w:rsidRPr="00A240EA">
        <w:rPr>
          <w:rFonts w:eastAsiaTheme="minorEastAsia"/>
          <w:vertAlign w:val="superscript"/>
          <w:lang w:val="en-GB"/>
        </w:rPr>
        <w:t>-1</w:t>
      </w:r>
      <w:r w:rsidRPr="00A240EA">
        <w:rPr>
          <w:rFonts w:eastAsiaTheme="minorEastAsia" w:cs="Times New Roman"/>
          <w:lang w:val="en-GB"/>
        </w:rPr>
        <w:t>))</w:t>
      </w:r>
      <w:bookmarkEnd w:id="7"/>
      <w:r w:rsidRPr="00A240EA">
        <w:rPr>
          <w:rFonts w:eastAsiaTheme="minorEastAsia" w:cs="Times New Roman"/>
          <w:lang w:val="en-GB"/>
        </w:rPr>
        <w:t xml:space="preserve"> and </w:t>
      </w:r>
      <w:r w:rsidRPr="00A240EA">
        <w:rPr>
          <w:rFonts w:eastAsiaTheme="minorEastAsia"/>
          <w:lang w:val="en-GB"/>
        </w:rPr>
        <w:t>1.</w:t>
      </w:r>
      <w:r w:rsidR="002752E4" w:rsidRPr="00A240EA">
        <w:rPr>
          <w:rFonts w:eastAsiaTheme="minorEastAsia"/>
          <w:lang w:val="en-GB"/>
        </w:rPr>
        <w:t>44</w:t>
      </w:r>
      <w:r w:rsidRPr="00A240EA">
        <w:rPr>
          <w:rFonts w:eastAsiaTheme="minorEastAsia" w:cs="Times New Roman"/>
          <w:lang w:val="en-GB"/>
        </w:rPr>
        <w:t>×</w:t>
      </w:r>
      <w:r w:rsidRPr="00A240EA">
        <w:rPr>
          <w:rFonts w:eastAsiaTheme="minorEastAsia"/>
          <w:lang w:val="en-GB"/>
        </w:rPr>
        <w:t>10</w:t>
      </w:r>
      <w:r w:rsidRPr="00A240EA">
        <w:rPr>
          <w:rFonts w:eastAsiaTheme="minorEastAsia"/>
          <w:vertAlign w:val="superscript"/>
          <w:lang w:val="en-GB"/>
        </w:rPr>
        <w:t>-9</w:t>
      </w:r>
      <w:r w:rsidRPr="00A240EA">
        <w:rPr>
          <w:rFonts w:eastAsiaTheme="minorEastAsia"/>
          <w:lang w:val="en-GB"/>
        </w:rPr>
        <w:t xml:space="preserve"> m</w:t>
      </w:r>
      <w:r w:rsidRPr="00A240EA">
        <w:rPr>
          <w:rFonts w:eastAsiaTheme="minorEastAsia"/>
          <w:vertAlign w:val="superscript"/>
          <w:lang w:val="en-GB"/>
        </w:rPr>
        <w:t xml:space="preserve">2 </w:t>
      </w:r>
      <w:r w:rsidRPr="00A240EA">
        <w:rPr>
          <w:rFonts w:eastAsiaTheme="minorEastAsia"/>
          <w:lang w:val="en-GB"/>
        </w:rPr>
        <w:t>s</w:t>
      </w:r>
      <w:r w:rsidRPr="00A240EA">
        <w:rPr>
          <w:rFonts w:eastAsiaTheme="minorEastAsia"/>
          <w:vertAlign w:val="superscript"/>
          <w:lang w:val="en-GB"/>
        </w:rPr>
        <w:t>-1</w:t>
      </w:r>
      <w:r w:rsidRPr="00A240EA">
        <w:rPr>
          <w:rFonts w:eastAsiaTheme="minorEastAsia"/>
          <w:lang w:val="en-GB"/>
        </w:rPr>
        <w:t xml:space="preserve"> for RaBr</w:t>
      </w:r>
      <w:r w:rsidRPr="00A240EA">
        <w:rPr>
          <w:rFonts w:eastAsiaTheme="minorEastAsia"/>
          <w:vertAlign w:val="subscript"/>
          <w:lang w:val="en-GB"/>
        </w:rPr>
        <w:t>2</w:t>
      </w:r>
      <w:r w:rsidRPr="00A240EA">
        <w:rPr>
          <w:rFonts w:eastAsiaTheme="minorEastAsia" w:cs="Times New Roman"/>
          <w:lang w:val="en-GB"/>
        </w:rPr>
        <w:t xml:space="preserve"> (average for Ra</w:t>
      </w:r>
      <w:r w:rsidRPr="00A240EA">
        <w:rPr>
          <w:rFonts w:eastAsiaTheme="minorEastAsia" w:cs="Times New Roman"/>
          <w:vertAlign w:val="superscript"/>
          <w:lang w:val="en-GB"/>
        </w:rPr>
        <w:t>2+</w:t>
      </w:r>
      <w:r w:rsidRPr="00A240EA">
        <w:rPr>
          <w:rFonts w:eastAsiaTheme="minorEastAsia" w:cs="Times New Roman"/>
          <w:lang w:val="en-GB"/>
        </w:rPr>
        <w:t xml:space="preserve"> (</w:t>
      </w:r>
      <w:r w:rsidR="002752E4" w:rsidRPr="00A240EA">
        <w:rPr>
          <w:rFonts w:eastAsiaTheme="minorEastAsia" w:cs="Times New Roman"/>
          <w:lang w:val="en-GB"/>
        </w:rPr>
        <w:t>0.889</w:t>
      </w:r>
      <w:r w:rsidRPr="00A240EA">
        <w:rPr>
          <w:rFonts w:eastAsiaTheme="minorEastAsia" w:cs="Times New Roman"/>
          <w:lang w:val="en-GB"/>
        </w:rPr>
        <w:t>×</w:t>
      </w:r>
      <w:r w:rsidRPr="00A240EA">
        <w:rPr>
          <w:rFonts w:eastAsiaTheme="minorEastAsia"/>
          <w:lang w:val="en-GB"/>
        </w:rPr>
        <w:t>10</w:t>
      </w:r>
      <w:r w:rsidRPr="00A240EA">
        <w:rPr>
          <w:rFonts w:eastAsiaTheme="minorEastAsia"/>
          <w:vertAlign w:val="superscript"/>
          <w:lang w:val="en-GB"/>
        </w:rPr>
        <w:t>-9</w:t>
      </w:r>
      <w:r w:rsidRPr="00A240EA">
        <w:rPr>
          <w:rFonts w:eastAsiaTheme="minorEastAsia"/>
          <w:lang w:val="en-GB"/>
        </w:rPr>
        <w:t xml:space="preserve"> m</w:t>
      </w:r>
      <w:r w:rsidRPr="00A240EA">
        <w:rPr>
          <w:rFonts w:eastAsiaTheme="minorEastAsia"/>
          <w:vertAlign w:val="superscript"/>
          <w:lang w:val="en-GB"/>
        </w:rPr>
        <w:t xml:space="preserve">2 </w:t>
      </w:r>
      <w:r w:rsidRPr="00A240EA">
        <w:rPr>
          <w:rFonts w:eastAsiaTheme="minorEastAsia"/>
          <w:lang w:val="en-GB"/>
        </w:rPr>
        <w:t>s</w:t>
      </w:r>
      <w:r w:rsidRPr="00A240EA">
        <w:rPr>
          <w:rFonts w:eastAsiaTheme="minorEastAsia"/>
          <w:vertAlign w:val="superscript"/>
          <w:lang w:val="en-GB"/>
        </w:rPr>
        <w:t>-1</w:t>
      </w:r>
      <w:r w:rsidRPr="00A240EA">
        <w:rPr>
          <w:rFonts w:eastAsiaTheme="minorEastAsia"/>
          <w:lang w:val="en-GB"/>
        </w:rPr>
        <w:t>)</w:t>
      </w:r>
      <w:r w:rsidRPr="00A240EA">
        <w:rPr>
          <w:rFonts w:eastAsiaTheme="minorEastAsia" w:cs="Times New Roman"/>
          <w:lang w:val="en-GB"/>
        </w:rPr>
        <w:t xml:space="preserve"> and Br</w:t>
      </w:r>
      <w:r w:rsidRPr="00A240EA">
        <w:rPr>
          <w:rFonts w:eastAsiaTheme="minorEastAsia" w:cs="Times New Roman"/>
          <w:vertAlign w:val="superscript"/>
          <w:lang w:val="en-GB"/>
        </w:rPr>
        <w:t>-</w:t>
      </w:r>
      <w:r w:rsidRPr="00A240EA">
        <w:rPr>
          <w:rFonts w:eastAsiaTheme="minorEastAsia" w:cs="Times New Roman"/>
          <w:lang w:val="en-GB"/>
        </w:rPr>
        <w:t xml:space="preserve"> (</w:t>
      </w:r>
      <w:r w:rsidR="002752E4" w:rsidRPr="00A240EA">
        <w:rPr>
          <w:rFonts w:eastAsiaTheme="minorEastAsia" w:cs="Times New Roman"/>
          <w:lang w:val="en-GB"/>
        </w:rPr>
        <w:t>2.08</w:t>
      </w:r>
      <w:r w:rsidRPr="00A240EA">
        <w:rPr>
          <w:rFonts w:eastAsiaTheme="minorEastAsia" w:cs="Times New Roman"/>
          <w:lang w:val="en-GB"/>
        </w:rPr>
        <w:t>×</w:t>
      </w:r>
      <w:r w:rsidRPr="00A240EA">
        <w:rPr>
          <w:rFonts w:eastAsiaTheme="minorEastAsia"/>
          <w:lang w:val="en-GB"/>
        </w:rPr>
        <w:t>10</w:t>
      </w:r>
      <w:r w:rsidRPr="00A240EA">
        <w:rPr>
          <w:rFonts w:eastAsiaTheme="minorEastAsia"/>
          <w:vertAlign w:val="superscript"/>
          <w:lang w:val="en-GB"/>
        </w:rPr>
        <w:t>-9</w:t>
      </w:r>
      <w:r w:rsidRPr="00A240EA">
        <w:rPr>
          <w:rFonts w:eastAsiaTheme="minorEastAsia"/>
          <w:lang w:val="en-GB"/>
        </w:rPr>
        <w:t xml:space="preserve"> m</w:t>
      </w:r>
      <w:r w:rsidRPr="00A240EA">
        <w:rPr>
          <w:rFonts w:eastAsiaTheme="minorEastAsia"/>
          <w:vertAlign w:val="superscript"/>
          <w:lang w:val="en-GB"/>
        </w:rPr>
        <w:t xml:space="preserve">2 </w:t>
      </w:r>
      <w:r w:rsidRPr="00A240EA">
        <w:rPr>
          <w:rFonts w:eastAsiaTheme="minorEastAsia"/>
          <w:lang w:val="en-GB"/>
        </w:rPr>
        <w:t>s</w:t>
      </w:r>
      <w:r w:rsidRPr="00A240EA">
        <w:rPr>
          <w:rFonts w:eastAsiaTheme="minorEastAsia"/>
          <w:vertAlign w:val="superscript"/>
          <w:lang w:val="en-GB"/>
        </w:rPr>
        <w:t>-1</w:t>
      </w:r>
      <w:r w:rsidRPr="00A240EA">
        <w:rPr>
          <w:rFonts w:eastAsiaTheme="minorEastAsia" w:cs="Times New Roman"/>
          <w:lang w:val="en-GB"/>
        </w:rPr>
        <w:t xml:space="preserve">)). </w:t>
      </w:r>
    </w:p>
    <w:p w14:paraId="35E19024" w14:textId="039367F5" w:rsidR="002752E4" w:rsidRPr="00A240EA" w:rsidRDefault="002752E4" w:rsidP="00913764">
      <w:pPr>
        <w:pStyle w:val="SMText"/>
        <w:spacing w:before="120" w:after="120"/>
        <w:ind w:firstLine="0"/>
        <w:jc w:val="both"/>
        <w:rPr>
          <w:szCs w:val="24"/>
        </w:rPr>
      </w:pPr>
      <w:bookmarkStart w:id="8" w:name="_Hlk138840169"/>
      <w:r w:rsidRPr="00A240EA">
        <w:rPr>
          <w:szCs w:val="24"/>
        </w:rPr>
        <w:t xml:space="preserve">The diffusion coefficients, </w:t>
      </w:r>
      <m:oMath>
        <m:sSub>
          <m:sSubPr>
            <m:ctrlPr>
              <w:rPr>
                <w:rFonts w:ascii="Cambria Math" w:hAnsi="Cambria Math"/>
                <w:i/>
                <w:szCs w:val="24"/>
              </w:rPr>
            </m:ctrlPr>
          </m:sSubPr>
          <m:e>
            <m:r>
              <w:rPr>
                <w:rFonts w:ascii="Cambria Math" w:hAnsi="Cambria Math"/>
                <w:szCs w:val="24"/>
              </w:rPr>
              <m:t>D</m:t>
            </m:r>
          </m:e>
          <m:sub>
            <m:r>
              <w:rPr>
                <w:rFonts w:ascii="Cambria Math" w:hAnsi="Cambria Math"/>
                <w:szCs w:val="24"/>
              </w:rPr>
              <m:t>salt</m:t>
            </m:r>
          </m:sub>
        </m:sSub>
      </m:oMath>
      <w:r w:rsidRPr="00A240EA">
        <w:rPr>
          <w:szCs w:val="24"/>
        </w:rPr>
        <w:t>, were calculated as follows</w:t>
      </w:r>
      <w:r w:rsidR="00600E94" w:rsidRPr="00A240EA">
        <w:rPr>
          <w:szCs w:val="24"/>
        </w:rPr>
        <w:fldChar w:fldCharType="begin"/>
      </w:r>
      <w:r w:rsidR="00600E94" w:rsidRPr="00A240EA">
        <w:rPr>
          <w:szCs w:val="24"/>
        </w:rPr>
        <w:instrText xml:space="preserve"> ADDIN EN.CITE &lt;EndNote&gt;&lt;Cite&gt;&lt;Author&gt;Lasaga&lt;/Author&gt;&lt;Year&gt;1979&lt;/Year&gt;&lt;RecNum&gt;192&lt;/RecNum&gt;&lt;DisplayText&gt;&lt;style face="superscript"&gt;1&lt;/style&gt;&lt;/DisplayText&gt;&lt;record&gt;&lt;rec-number&gt;192&lt;/rec-number&gt;&lt;foreign-keys&gt;&lt;key app="EN" db-id="t0vpswfv59fp5gefxd2v9pau50pwewe9rxdz" timestamp="1700575654"&gt;192&lt;/key&gt;&lt;/foreign-keys&gt;&lt;ref-type name="Journal Article"&gt;17&lt;/ref-type&gt;&lt;contributors&gt;&lt;authors&gt;&lt;author&gt;Lasaga, A.C&lt;/author&gt;&lt;/authors&gt;&lt;/contributors&gt;&lt;titles&gt;&lt;title&gt;The treatment of multi-component diffusion and ion pairs in diagenetic fluxes&lt;/title&gt;&lt;secondary-title&gt;American Journal of Science&lt;/secondary-title&gt;&lt;/titles&gt;&lt;periodical&gt;&lt;full-title&gt;American Journal of Science&lt;/full-title&gt;&lt;abbr-1&gt;Am. J. Sci.&lt;/abbr-1&gt;&lt;/periodical&gt;&lt;pages&gt;324-346&lt;/pages&gt;&lt;volume&gt;279&lt;/volume&gt;&lt;dates&gt;&lt;year&gt;1979&lt;/year&gt;&lt;/dates&gt;&lt;urls&gt;&lt;/urls&gt;&lt;/record&gt;&lt;/Cite&gt;&lt;/EndNote&gt;</w:instrText>
      </w:r>
      <w:r w:rsidR="00600E94" w:rsidRPr="00A240EA">
        <w:rPr>
          <w:szCs w:val="24"/>
        </w:rPr>
        <w:fldChar w:fldCharType="separate"/>
      </w:r>
      <w:r w:rsidR="00600E94" w:rsidRPr="00A240EA">
        <w:rPr>
          <w:noProof/>
          <w:szCs w:val="24"/>
          <w:vertAlign w:val="superscript"/>
        </w:rPr>
        <w:t>1</w:t>
      </w:r>
      <w:r w:rsidR="00600E94" w:rsidRPr="00A240EA">
        <w:rPr>
          <w:szCs w:val="24"/>
        </w:rPr>
        <w:fldChar w:fldCharType="end"/>
      </w:r>
      <w:r w:rsidRPr="00A240EA">
        <w:rPr>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630"/>
      </w:tblGrid>
      <w:tr w:rsidR="00A240EA" w:rsidRPr="00A240EA" w14:paraId="4ABFB213" w14:textId="77777777" w:rsidTr="00E242FF">
        <w:trPr>
          <w:trHeight w:val="283"/>
        </w:trPr>
        <w:tc>
          <w:tcPr>
            <w:tcW w:w="8046" w:type="dxa"/>
            <w:vAlign w:val="center"/>
          </w:tcPr>
          <w:bookmarkEnd w:id="8"/>
          <w:p w14:paraId="2963949D" w14:textId="77777777" w:rsidR="002752E4" w:rsidRPr="00A240EA" w:rsidRDefault="00000000" w:rsidP="00E242FF">
            <w:pP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salt</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z</m:t>
                        </m:r>
                      </m:e>
                      <m:sup>
                        <m:r>
                          <w:rPr>
                            <w:rFonts w:ascii="Cambria Math" w:hAnsi="Cambria Math" w:cs="Times New Roman"/>
                            <w:szCs w:val="24"/>
                          </w:rPr>
                          <m:t>+</m:t>
                        </m:r>
                      </m:sup>
                    </m:sSup>
                    <m:r>
                      <w:rPr>
                        <w:rFonts w:ascii="Cambria Math" w:hAnsi="Cambria Math" w:cs="Times New Roman"/>
                        <w:szCs w:val="24"/>
                      </w:rPr>
                      <m:t>+</m:t>
                    </m:r>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z</m:t>
                            </m:r>
                          </m:e>
                          <m:sup>
                            <m:r>
                              <w:rPr>
                                <w:rFonts w:ascii="Cambria Math" w:hAnsi="Cambria Math" w:cs="Times New Roman"/>
                                <w:szCs w:val="24"/>
                              </w:rPr>
                              <m:t>-</m:t>
                            </m:r>
                          </m:sup>
                        </m:sSup>
                      </m:e>
                    </m:d>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D</m:t>
                        </m:r>
                      </m:e>
                      <m:sub>
                        <m:r>
                          <w:rPr>
                            <w:rFonts w:ascii="Cambria Math" w:hAnsi="Cambria Math" w:cs="Times New Roman"/>
                            <w:szCs w:val="24"/>
                          </w:rPr>
                          <m:t>i</m:t>
                        </m:r>
                      </m:sub>
                      <m:sup>
                        <m:r>
                          <w:rPr>
                            <w:rFonts w:ascii="Cambria Math" w:hAnsi="Cambria Math" w:cs="Times New Roman"/>
                            <w:szCs w:val="24"/>
                          </w:rPr>
                          <m:t>+</m:t>
                        </m:r>
                      </m:sup>
                    </m:sSubSup>
                    <m:sSubSup>
                      <m:sSubSupPr>
                        <m:ctrlPr>
                          <w:rPr>
                            <w:rFonts w:ascii="Cambria Math" w:hAnsi="Cambria Math" w:cs="Times New Roman"/>
                            <w:i/>
                            <w:szCs w:val="24"/>
                          </w:rPr>
                        </m:ctrlPr>
                      </m:sSubSupPr>
                      <m:e>
                        <m:r>
                          <w:rPr>
                            <w:rFonts w:ascii="Cambria Math" w:hAnsi="Cambria Math" w:cs="Times New Roman"/>
                            <w:szCs w:val="24"/>
                          </w:rPr>
                          <m:t>D</m:t>
                        </m:r>
                      </m:e>
                      <m:sub>
                        <m:r>
                          <w:rPr>
                            <w:rFonts w:ascii="Cambria Math" w:hAnsi="Cambria Math" w:cs="Times New Roman"/>
                            <w:szCs w:val="24"/>
                          </w:rPr>
                          <m:t>i</m:t>
                        </m:r>
                      </m:sub>
                      <m:sup>
                        <m:r>
                          <w:rPr>
                            <w:rFonts w:ascii="Cambria Math" w:hAnsi="Cambria Math" w:cs="Times New Roman"/>
                            <w:szCs w:val="24"/>
                          </w:rPr>
                          <m:t>-</m:t>
                        </m:r>
                      </m:sup>
                    </m:sSubSup>
                  </m:num>
                  <m:den>
                    <m:sSup>
                      <m:sSupPr>
                        <m:ctrlPr>
                          <w:rPr>
                            <w:rFonts w:ascii="Cambria Math" w:hAnsi="Cambria Math" w:cs="Times New Roman"/>
                            <w:i/>
                            <w:szCs w:val="24"/>
                          </w:rPr>
                        </m:ctrlPr>
                      </m:sSupPr>
                      <m:e>
                        <m:r>
                          <w:rPr>
                            <w:rFonts w:ascii="Cambria Math" w:hAnsi="Cambria Math" w:cs="Times New Roman"/>
                            <w:szCs w:val="24"/>
                          </w:rPr>
                          <m:t>z</m:t>
                        </m:r>
                      </m:e>
                      <m:sup>
                        <m:r>
                          <w:rPr>
                            <w:rFonts w:ascii="Cambria Math" w:hAnsi="Cambria Math" w:cs="Times New Roman"/>
                            <w:szCs w:val="24"/>
                          </w:rPr>
                          <m:t>+</m:t>
                        </m:r>
                      </m:sup>
                    </m:sSup>
                    <m:sSubSup>
                      <m:sSubSupPr>
                        <m:ctrlPr>
                          <w:rPr>
                            <w:rFonts w:ascii="Cambria Math" w:hAnsi="Cambria Math" w:cs="Times New Roman"/>
                            <w:i/>
                            <w:szCs w:val="24"/>
                          </w:rPr>
                        </m:ctrlPr>
                      </m:sSubSupPr>
                      <m:e>
                        <m:r>
                          <w:rPr>
                            <w:rFonts w:ascii="Cambria Math" w:hAnsi="Cambria Math" w:cs="Times New Roman"/>
                            <w:szCs w:val="24"/>
                          </w:rPr>
                          <m:t>D</m:t>
                        </m:r>
                      </m:e>
                      <m:sub>
                        <m:r>
                          <w:rPr>
                            <w:rFonts w:ascii="Cambria Math" w:hAnsi="Cambria Math" w:cs="Times New Roman"/>
                            <w:szCs w:val="24"/>
                          </w:rPr>
                          <m:t>i</m:t>
                        </m:r>
                      </m:sub>
                      <m:sup>
                        <m:r>
                          <w:rPr>
                            <w:rFonts w:ascii="Cambria Math" w:hAnsi="Cambria Math" w:cs="Times New Roman"/>
                            <w:szCs w:val="24"/>
                          </w:rPr>
                          <m:t>+</m:t>
                        </m:r>
                      </m:sup>
                    </m:sSubSup>
                    <m:r>
                      <w:rPr>
                        <w:rFonts w:ascii="Cambria Math" w:hAnsi="Cambria Math" w:cs="Times New Roman"/>
                        <w:szCs w:val="24"/>
                      </w:rPr>
                      <m:t>+</m:t>
                    </m:r>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z</m:t>
                            </m:r>
                          </m:e>
                          <m:sup>
                            <m:r>
                              <w:rPr>
                                <w:rFonts w:ascii="Cambria Math" w:hAnsi="Cambria Math" w:cs="Times New Roman"/>
                                <w:szCs w:val="24"/>
                              </w:rPr>
                              <m:t>-</m:t>
                            </m:r>
                          </m:sup>
                        </m:sSup>
                      </m:e>
                    </m:d>
                    <m:sSubSup>
                      <m:sSubSupPr>
                        <m:ctrlPr>
                          <w:rPr>
                            <w:rFonts w:ascii="Cambria Math" w:hAnsi="Cambria Math" w:cs="Times New Roman"/>
                            <w:i/>
                            <w:szCs w:val="24"/>
                          </w:rPr>
                        </m:ctrlPr>
                      </m:sSubSupPr>
                      <m:e>
                        <m:r>
                          <w:rPr>
                            <w:rFonts w:ascii="Cambria Math" w:hAnsi="Cambria Math" w:cs="Times New Roman"/>
                            <w:szCs w:val="24"/>
                          </w:rPr>
                          <m:t>D</m:t>
                        </m:r>
                      </m:e>
                      <m:sub>
                        <m:r>
                          <w:rPr>
                            <w:rFonts w:ascii="Cambria Math" w:hAnsi="Cambria Math" w:cs="Times New Roman"/>
                            <w:szCs w:val="24"/>
                          </w:rPr>
                          <m:t>i</m:t>
                        </m:r>
                      </m:sub>
                      <m:sup>
                        <m:r>
                          <w:rPr>
                            <w:rFonts w:ascii="Cambria Math" w:hAnsi="Cambria Math" w:cs="Times New Roman"/>
                            <w:szCs w:val="24"/>
                          </w:rPr>
                          <m:t>-</m:t>
                        </m:r>
                      </m:sup>
                    </m:sSubSup>
                  </m:den>
                </m:f>
                <m:r>
                  <w:rPr>
                    <w:rFonts w:ascii="Cambria Math" w:hAnsi="Cambria Math" w:cs="Times New Roman"/>
                    <w:szCs w:val="24"/>
                  </w:rPr>
                  <m:t xml:space="preserve"> </m:t>
                </m:r>
              </m:oMath>
            </m:oMathPara>
          </w:p>
        </w:tc>
        <w:tc>
          <w:tcPr>
            <w:tcW w:w="594" w:type="dxa"/>
            <w:vAlign w:val="center"/>
          </w:tcPr>
          <w:p w14:paraId="6C491536" w14:textId="77777777" w:rsidR="002752E4" w:rsidRPr="00A240EA" w:rsidRDefault="002752E4" w:rsidP="00E242FF">
            <w:pPr>
              <w:rPr>
                <w:rFonts w:cs="Times New Roman"/>
                <w:szCs w:val="24"/>
              </w:rPr>
            </w:pPr>
            <w:r w:rsidRPr="00A240EA">
              <w:rPr>
                <w:rFonts w:cs="Times New Roman"/>
                <w:szCs w:val="24"/>
              </w:rPr>
              <w:t>(S3)</w:t>
            </w:r>
          </w:p>
        </w:tc>
      </w:tr>
    </w:tbl>
    <w:p w14:paraId="371F6DAD" w14:textId="3E4DAF97" w:rsidR="002752E4" w:rsidRPr="00A240EA" w:rsidRDefault="002752E4" w:rsidP="00913764">
      <w:pPr>
        <w:pStyle w:val="SMText"/>
        <w:spacing w:before="120"/>
        <w:ind w:firstLine="0"/>
        <w:jc w:val="both"/>
        <w:rPr>
          <w:szCs w:val="24"/>
        </w:rPr>
      </w:pPr>
      <w:r w:rsidRPr="00A240EA">
        <w:rPr>
          <w:szCs w:val="24"/>
        </w:rPr>
        <w:t xml:space="preserve">where </w:t>
      </w:r>
      <m:oMath>
        <m:r>
          <w:rPr>
            <w:rFonts w:ascii="Cambria Math" w:hAnsi="Cambria Math"/>
            <w:szCs w:val="24"/>
          </w:rPr>
          <m:t>z</m:t>
        </m:r>
      </m:oMath>
      <w:r w:rsidRPr="00A240EA">
        <w:rPr>
          <w:szCs w:val="24"/>
        </w:rPr>
        <w:t xml:space="preserve"> is the charge of the ion (e.g., </w:t>
      </w:r>
      <m:oMath>
        <m:sSub>
          <m:sSubPr>
            <m:ctrlPr>
              <w:rPr>
                <w:rFonts w:ascii="Cambria Math" w:hAnsi="Cambria Math"/>
                <w:i/>
                <w:szCs w:val="24"/>
              </w:rPr>
            </m:ctrlPr>
          </m:sSubPr>
          <m:e>
            <m:r>
              <w:rPr>
                <w:rFonts w:ascii="Cambria Math" w:hAnsi="Cambria Math"/>
                <w:szCs w:val="24"/>
              </w:rPr>
              <m:t>z</m:t>
            </m:r>
          </m:e>
          <m:sub>
            <m:r>
              <w:rPr>
                <w:rFonts w:ascii="Cambria Math" w:hAnsi="Cambria Math"/>
                <w:szCs w:val="24"/>
              </w:rPr>
              <m:t>i</m:t>
            </m:r>
          </m:sub>
        </m:sSub>
      </m:oMath>
      <w:r w:rsidRPr="00A240EA">
        <w:rPr>
          <w:szCs w:val="24"/>
        </w:rPr>
        <w:t xml:space="preserve"> = -2 for SO</w:t>
      </w:r>
      <w:r w:rsidRPr="00A240EA">
        <w:rPr>
          <w:szCs w:val="24"/>
          <w:vertAlign w:val="subscript"/>
        </w:rPr>
        <w:t>4</w:t>
      </w:r>
      <w:r w:rsidRPr="00A240EA">
        <w:rPr>
          <w:szCs w:val="24"/>
          <w:vertAlign w:val="superscript"/>
        </w:rPr>
        <w:t>2-</w:t>
      </w:r>
      <w:r w:rsidRPr="00A240EA">
        <w:rPr>
          <w:szCs w:val="24"/>
        </w:rPr>
        <w:t xml:space="preserve">), and </w:t>
      </w:r>
      <m:oMath>
        <m:sSub>
          <m:sSubPr>
            <m:ctrlPr>
              <w:rPr>
                <w:rFonts w:ascii="Cambria Math" w:hAnsi="Cambria Math"/>
                <w:i/>
                <w:szCs w:val="24"/>
              </w:rPr>
            </m:ctrlPr>
          </m:sSubPr>
          <m:e>
            <m:r>
              <w:rPr>
                <w:rFonts w:ascii="Cambria Math" w:hAnsi="Cambria Math"/>
                <w:szCs w:val="24"/>
              </w:rPr>
              <m:t>D</m:t>
            </m:r>
          </m:e>
          <m:sub>
            <m:r>
              <w:rPr>
                <w:rFonts w:ascii="Cambria Math" w:hAnsi="Cambria Math"/>
                <w:szCs w:val="24"/>
              </w:rPr>
              <m:t>i</m:t>
            </m:r>
          </m:sub>
        </m:sSub>
      </m:oMath>
      <w:r w:rsidRPr="00A240EA">
        <w:rPr>
          <w:szCs w:val="24"/>
        </w:rPr>
        <w:t xml:space="preserve"> is the ion diffusion coefficient. The potential effects of Coulombic interactions on mass transfer of the different ions were ignored in the modelling approach.</w:t>
      </w:r>
    </w:p>
    <w:p w14:paraId="73ECB61A" w14:textId="5FD5D656" w:rsidR="0025466D" w:rsidRPr="00A240EA" w:rsidRDefault="0025466D" w:rsidP="0025466D">
      <w:pPr>
        <w:rPr>
          <w:rFonts w:eastAsiaTheme="minorEastAsia" w:cs="Times New Roman"/>
          <w:lang w:val="en-GB"/>
        </w:rPr>
      </w:pPr>
      <w:r w:rsidRPr="00A240EA">
        <w:rPr>
          <w:rFonts w:eastAsiaTheme="minorEastAsia" w:cs="Times New Roman"/>
          <w:lang w:val="en-GB"/>
        </w:rPr>
        <w:t>This step enables the determination of the time when steady state is reached and of the initial concentration gradients in the system.</w:t>
      </w:r>
    </w:p>
    <w:p w14:paraId="507F086E" w14:textId="77777777" w:rsidR="00495EB6" w:rsidRPr="00A240EA" w:rsidRDefault="00495EB6">
      <w:pPr>
        <w:spacing w:before="0" w:after="160"/>
        <w:jc w:val="left"/>
        <w:rPr>
          <w:rFonts w:eastAsiaTheme="majorEastAsia" w:cstheme="majorBidi"/>
          <w:b/>
          <w:szCs w:val="26"/>
        </w:rPr>
      </w:pPr>
      <w:r w:rsidRPr="00A240EA">
        <w:br w:type="page"/>
      </w:r>
    </w:p>
    <w:p w14:paraId="18E100B3" w14:textId="1EF80ADD" w:rsidR="00D40A9B" w:rsidRPr="00A240EA" w:rsidRDefault="008C7C2A" w:rsidP="00D40A9B">
      <w:pPr>
        <w:pStyle w:val="Heading2"/>
        <w:rPr>
          <w:color w:val="auto"/>
          <w:lang w:val="fr-FR"/>
        </w:rPr>
      </w:pPr>
      <w:r w:rsidRPr="00A240EA">
        <w:rPr>
          <w:color w:val="auto"/>
        </w:rPr>
        <w:lastRenderedPageBreak/>
        <w:t>Supplementary</w:t>
      </w:r>
      <w:r w:rsidR="00D40A9B" w:rsidRPr="00A240EA">
        <w:rPr>
          <w:color w:val="auto"/>
          <w:lang w:val="fr-FR"/>
        </w:rPr>
        <w:t xml:space="preserve"> Note 2</w:t>
      </w:r>
    </w:p>
    <w:p w14:paraId="0AE49604" w14:textId="12DAE057" w:rsidR="00D40A9B" w:rsidRPr="00A240EA" w:rsidRDefault="00D40A9B" w:rsidP="00D40A9B">
      <w:pPr>
        <w:autoSpaceDE w:val="0"/>
        <w:autoSpaceDN w:val="0"/>
        <w:adjustRightInd w:val="0"/>
        <w:spacing w:line="22" w:lineRule="atLeast"/>
        <w:rPr>
          <w:rFonts w:eastAsiaTheme="majorEastAsia" w:cstheme="majorBidi"/>
          <w:b/>
          <w:szCs w:val="26"/>
        </w:rPr>
      </w:pPr>
      <w:r w:rsidRPr="00A240EA">
        <w:rPr>
          <w:rFonts w:eastAsiaTheme="majorEastAsia" w:cstheme="majorBidi"/>
          <w:b/>
          <w:szCs w:val="26"/>
        </w:rPr>
        <w:t>The stoichiometric supersaturation with respect to Ba</w:t>
      </w:r>
      <w:r w:rsidRPr="00A240EA">
        <w:rPr>
          <w:rFonts w:eastAsiaTheme="majorEastAsia" w:cstheme="majorBidi"/>
          <w:b/>
          <w:szCs w:val="26"/>
          <w:vertAlign w:val="subscript"/>
        </w:rPr>
        <w:t>0.5</w:t>
      </w:r>
      <w:r w:rsidRPr="00A240EA">
        <w:rPr>
          <w:rFonts w:eastAsiaTheme="majorEastAsia" w:cstheme="majorBidi"/>
          <w:b/>
          <w:szCs w:val="26"/>
        </w:rPr>
        <w:t>Sr</w:t>
      </w:r>
      <w:r w:rsidRPr="00A240EA">
        <w:rPr>
          <w:rFonts w:eastAsiaTheme="majorEastAsia" w:cstheme="majorBidi"/>
          <w:b/>
          <w:szCs w:val="26"/>
          <w:vertAlign w:val="subscript"/>
        </w:rPr>
        <w:t>0.5</w:t>
      </w:r>
      <w:r w:rsidRPr="00A240EA">
        <w:rPr>
          <w:rFonts w:eastAsiaTheme="majorEastAsia" w:cstheme="majorBidi"/>
          <w:b/>
          <w:szCs w:val="26"/>
        </w:rPr>
        <w:t>SO</w:t>
      </w:r>
      <w:r w:rsidRPr="00A240EA">
        <w:rPr>
          <w:rFonts w:eastAsiaTheme="majorEastAsia" w:cstheme="majorBidi"/>
          <w:b/>
          <w:szCs w:val="26"/>
          <w:vertAlign w:val="subscript"/>
        </w:rPr>
        <w:t>4</w:t>
      </w:r>
      <w:r w:rsidRPr="00A240EA">
        <w:rPr>
          <w:rFonts w:eastAsiaTheme="majorEastAsia" w:cstheme="majorBidi"/>
          <w:b/>
          <w:szCs w:val="26"/>
        </w:rPr>
        <w:t xml:space="preserve"> in the reactor</w:t>
      </w:r>
    </w:p>
    <w:p w14:paraId="20EE5BE5" w14:textId="55311F8F" w:rsidR="00D40A9B" w:rsidRPr="00A240EA" w:rsidRDefault="00D40A9B">
      <w:pPr>
        <w:spacing w:before="0" w:after="160"/>
        <w:jc w:val="left"/>
      </w:pPr>
      <w:r w:rsidRPr="00A240EA">
        <w:rPr>
          <w:rFonts w:ascii="Arno Pro" w:hAnsi="Arno Pro"/>
          <w:noProof/>
        </w:rPr>
        <w:drawing>
          <wp:inline distT="0" distB="0" distL="0" distR="0" wp14:anchorId="5894A264" wp14:editId="691BC188">
            <wp:extent cx="5943600" cy="5948041"/>
            <wp:effectExtent l="0" t="0" r="0" b="0"/>
            <wp:docPr id="1737460877"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60877" name="Picture 3" descr="A screenshot of a graph&#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5948041"/>
                    </a:xfrm>
                    <a:prstGeom prst="rect">
                      <a:avLst/>
                    </a:prstGeom>
                    <a:noFill/>
                  </pic:spPr>
                </pic:pic>
              </a:graphicData>
            </a:graphic>
          </wp:inline>
        </w:drawing>
      </w:r>
    </w:p>
    <w:p w14:paraId="6663FE8D" w14:textId="336F3E43" w:rsidR="00D40A9B" w:rsidRPr="00A240EA" w:rsidRDefault="00D40A9B" w:rsidP="008C7C2A">
      <w:pPr>
        <w:spacing w:before="0" w:after="160"/>
      </w:pPr>
      <w:r w:rsidRPr="00A240EA">
        <w:rPr>
          <w:b/>
          <w:bCs/>
        </w:rPr>
        <w:t xml:space="preserve">Figure </w:t>
      </w:r>
      <w:r w:rsidR="00DD740C" w:rsidRPr="00A240EA">
        <w:rPr>
          <w:b/>
          <w:bCs/>
        </w:rPr>
        <w:t>S</w:t>
      </w:r>
      <w:r w:rsidRPr="00A240EA">
        <w:rPr>
          <w:b/>
          <w:bCs/>
        </w:rPr>
        <w:t>2.</w:t>
      </w:r>
      <w:r w:rsidRPr="00A240EA">
        <w:t xml:space="preserve"> Evaluation of the solution chemistry and supersaturation function Ω</w:t>
      </w:r>
      <w:proofErr w:type="spellStart"/>
      <w:r w:rsidRPr="00A240EA">
        <w:t>st</w:t>
      </w:r>
      <w:proofErr w:type="spellEnd"/>
      <w:r w:rsidRPr="00A240EA">
        <w:t xml:space="preserve"> along the mixing zone. (a) The concentration of solutes across line 1-3 (c.f. Figure 1) for experiment C with (b) a change in the y-axis for a better visualization of Ba(</w:t>
      </w:r>
      <w:proofErr w:type="spellStart"/>
      <w:r w:rsidRPr="00A240EA">
        <w:t>aq</w:t>
      </w:r>
      <w:proofErr w:type="spellEnd"/>
      <w:r w:rsidRPr="00A240EA">
        <w:t>) and Ra(</w:t>
      </w:r>
      <w:proofErr w:type="spellStart"/>
      <w:r w:rsidRPr="00A240EA">
        <w:t>aq</w:t>
      </w:r>
      <w:proofErr w:type="spellEnd"/>
      <w:r w:rsidRPr="00A240EA">
        <w:t>). The Ω</w:t>
      </w:r>
      <w:proofErr w:type="spellStart"/>
      <w:r w:rsidRPr="00A240EA">
        <w:t>st</w:t>
      </w:r>
      <w:proofErr w:type="spellEnd"/>
      <w:r w:rsidRPr="00A240EA">
        <w:t xml:space="preserve"> on three points along (c) line 1, (d) line 1 and (e) line 3 and (f) the comparison of the Ω</w:t>
      </w:r>
      <w:proofErr w:type="spellStart"/>
      <w:r w:rsidRPr="00A240EA">
        <w:t>st</w:t>
      </w:r>
      <w:proofErr w:type="spellEnd"/>
      <w:r w:rsidRPr="00A240EA">
        <w:t xml:space="preserve"> for experiment A, B and C along line 1 at x = 0.25 mm with the red stars indicating the thermodynamically most stable solid solution composition based on the aqueous solution chemistry.</w:t>
      </w:r>
    </w:p>
    <w:p w14:paraId="3EED83BB" w14:textId="77777777" w:rsidR="00D40A9B" w:rsidRPr="00A240EA" w:rsidRDefault="00D40A9B">
      <w:pPr>
        <w:spacing w:before="0" w:after="160"/>
        <w:jc w:val="left"/>
      </w:pPr>
    </w:p>
    <w:p w14:paraId="78B19F53" w14:textId="77777777" w:rsidR="00D40A9B" w:rsidRPr="00A240EA" w:rsidRDefault="00D40A9B" w:rsidP="00D40A9B">
      <w:pPr>
        <w:rPr>
          <w:rFonts w:eastAsiaTheme="minorEastAsia"/>
          <w:lang w:val="en-GB"/>
        </w:rPr>
      </w:pPr>
      <w:r w:rsidRPr="00A240EA">
        <w:rPr>
          <w:rFonts w:eastAsiaTheme="minorEastAsia"/>
          <w:lang w:val="en-GB"/>
        </w:rPr>
        <w:lastRenderedPageBreak/>
        <w:t>The stoichiometric supersaturation functions were computed on 3 points (</w:t>
      </w:r>
      <w:r w:rsidRPr="00A240EA">
        <w:rPr>
          <w:rFonts w:eastAsiaTheme="minorEastAsia"/>
          <w:i/>
          <w:lang w:val="en-GB"/>
        </w:rPr>
        <w:t>x</w:t>
      </w:r>
      <w:r w:rsidRPr="00A240EA">
        <w:rPr>
          <w:rFonts w:eastAsiaTheme="minorEastAsia"/>
          <w:lang w:val="en-GB"/>
        </w:rPr>
        <w:t xml:space="preserve"> = 0.225 mm, </w:t>
      </w:r>
      <w:r w:rsidRPr="00A240EA">
        <w:rPr>
          <w:rFonts w:eastAsiaTheme="minorEastAsia"/>
          <w:i/>
          <w:lang w:val="en-GB"/>
        </w:rPr>
        <w:t>x</w:t>
      </w:r>
      <w:r w:rsidRPr="00A240EA">
        <w:rPr>
          <w:rFonts w:eastAsiaTheme="minorEastAsia"/>
          <w:lang w:val="en-GB"/>
        </w:rPr>
        <w:t> = 0.25 </w:t>
      </w:r>
      <w:proofErr w:type="gramStart"/>
      <w:r w:rsidRPr="00A240EA">
        <w:rPr>
          <w:rFonts w:eastAsiaTheme="minorEastAsia"/>
          <w:lang w:val="en-GB"/>
        </w:rPr>
        <w:t>mm</w:t>
      </w:r>
      <w:proofErr w:type="gramEnd"/>
      <w:r w:rsidRPr="00A240EA">
        <w:rPr>
          <w:rFonts w:eastAsiaTheme="minorEastAsia"/>
          <w:lang w:val="en-GB"/>
        </w:rPr>
        <w:t xml:space="preserve"> and </w:t>
      </w:r>
      <w:r w:rsidRPr="00A240EA">
        <w:rPr>
          <w:rFonts w:eastAsiaTheme="minorEastAsia"/>
          <w:i/>
          <w:lang w:val="en-GB"/>
        </w:rPr>
        <w:t>x</w:t>
      </w:r>
      <w:r w:rsidRPr="00A240EA">
        <w:rPr>
          <w:rFonts w:eastAsiaTheme="minorEastAsia"/>
          <w:lang w:val="en-GB"/>
        </w:rPr>
        <w:t> = 0.275 mm) on lines 1-3. The results for experiment C (experiment with 1.5 mM Na</w:t>
      </w:r>
      <w:r w:rsidRPr="00A240EA">
        <w:rPr>
          <w:rFonts w:eastAsiaTheme="minorEastAsia"/>
          <w:vertAlign w:val="subscript"/>
          <w:lang w:val="en-GB"/>
        </w:rPr>
        <w:t>2</w:t>
      </w:r>
      <w:r w:rsidRPr="00A240EA">
        <w:rPr>
          <w:rFonts w:eastAsiaTheme="minorEastAsia"/>
          <w:lang w:val="en-GB"/>
        </w:rPr>
        <w:t>SO</w:t>
      </w:r>
      <w:r w:rsidRPr="00A240EA">
        <w:rPr>
          <w:rFonts w:eastAsiaTheme="minorEastAsia"/>
          <w:vertAlign w:val="subscript"/>
          <w:lang w:val="en-GB"/>
        </w:rPr>
        <w:t>4</w:t>
      </w:r>
      <w:r w:rsidRPr="00A240EA">
        <w:rPr>
          <w:rFonts w:eastAsiaTheme="minorEastAsia"/>
          <w:lang w:val="en-GB"/>
        </w:rPr>
        <w:t xml:space="preserve">) are presented as an example in Figure S2c-e. The </w:t>
      </w:r>
      <m:oMath>
        <m:sSub>
          <m:sSubPr>
            <m:ctrlPr>
              <w:rPr>
                <w:rFonts w:ascii="Cambria Math" w:hAnsi="Cambria Math"/>
                <w:i/>
                <w:lang w:val="en-GB"/>
              </w:rPr>
            </m:ctrlPr>
          </m:sSubPr>
          <m:e>
            <m:r>
              <w:rPr>
                <w:rFonts w:ascii="Cambria Math" w:hAnsi="Cambria Math"/>
                <w:lang w:val="en-GB"/>
              </w:rPr>
              <m:t>Ω</m:t>
            </m:r>
          </m:e>
          <m:sub>
            <m:r>
              <w:rPr>
                <w:rFonts w:ascii="Cambria Math" w:hAnsi="Cambria Math"/>
                <w:lang w:val="en-GB"/>
              </w:rPr>
              <m:t>st</m:t>
            </m:r>
          </m:sub>
        </m:sSub>
      </m:oMath>
      <w:r w:rsidRPr="00A240EA">
        <w:rPr>
          <w:rFonts w:eastAsiaTheme="minorEastAsia"/>
          <w:lang w:val="en-GB"/>
        </w:rPr>
        <w:t xml:space="preserve"> varies across the </w:t>
      </w:r>
      <w:r w:rsidRPr="00A240EA">
        <w:rPr>
          <w:rFonts w:eastAsiaTheme="minorEastAsia"/>
          <w:i/>
          <w:lang w:val="en-GB"/>
        </w:rPr>
        <w:t>x</w:t>
      </w:r>
      <w:r w:rsidRPr="00A240EA">
        <w:rPr>
          <w:rFonts w:eastAsiaTheme="minorEastAsia"/>
          <w:lang w:val="en-GB"/>
        </w:rPr>
        <w:t xml:space="preserve">-axis of the reactor (Figure S2c-e), with a rather constant </w:t>
      </w:r>
      <w:r w:rsidRPr="00A240EA">
        <w:t>Ω</w:t>
      </w:r>
      <w:proofErr w:type="spellStart"/>
      <w:r w:rsidRPr="00A240EA">
        <w:rPr>
          <w:vertAlign w:val="subscript"/>
        </w:rPr>
        <w:t>st</w:t>
      </w:r>
      <w:proofErr w:type="spellEnd"/>
      <w:r w:rsidRPr="00A240EA">
        <w:rPr>
          <w:rFonts w:eastAsiaTheme="minorEastAsia"/>
          <w:lang w:val="en-GB"/>
        </w:rPr>
        <w:t xml:space="preserve"> value along the middle of the reactor, i.e., along </w:t>
      </w:r>
      <w:r w:rsidRPr="00A240EA">
        <w:rPr>
          <w:rFonts w:eastAsiaTheme="minorEastAsia"/>
          <w:i/>
          <w:lang w:val="en-GB"/>
        </w:rPr>
        <w:t>x</w:t>
      </w:r>
      <w:r w:rsidRPr="00A240EA">
        <w:rPr>
          <w:rFonts w:eastAsiaTheme="minorEastAsia"/>
          <w:lang w:val="en-GB"/>
        </w:rPr>
        <w:t xml:space="preserve"> = 0.25 mm, with a slightly higher </w:t>
      </w:r>
      <w:bookmarkStart w:id="9" w:name="_Hlk151320515"/>
      <w:r w:rsidRPr="00A240EA">
        <w:t>Ω</w:t>
      </w:r>
      <w:proofErr w:type="spellStart"/>
      <w:r w:rsidRPr="00A240EA">
        <w:rPr>
          <w:vertAlign w:val="subscript"/>
        </w:rPr>
        <w:t>st</w:t>
      </w:r>
      <w:bookmarkEnd w:id="9"/>
      <w:proofErr w:type="spellEnd"/>
      <w:r w:rsidRPr="00A240EA">
        <w:rPr>
          <w:rFonts w:eastAsiaTheme="minorEastAsia"/>
          <w:lang w:val="en-GB"/>
        </w:rPr>
        <w:t xml:space="preserve"> observed towards the barium-radium side (</w:t>
      </w:r>
      <w:r w:rsidRPr="00A240EA">
        <w:rPr>
          <w:rFonts w:eastAsiaTheme="minorEastAsia"/>
          <w:i/>
          <w:lang w:val="en-GB"/>
        </w:rPr>
        <w:t>x</w:t>
      </w:r>
      <w:r w:rsidRPr="00A240EA">
        <w:rPr>
          <w:rFonts w:eastAsiaTheme="minorEastAsia"/>
          <w:lang w:val="en-GB"/>
        </w:rPr>
        <w:t xml:space="preserve"> = 0.275 mm) and a lower </w:t>
      </w:r>
      <w:r w:rsidRPr="00A240EA">
        <w:t>Ω</w:t>
      </w:r>
      <w:proofErr w:type="spellStart"/>
      <w:r w:rsidRPr="00A240EA">
        <w:rPr>
          <w:vertAlign w:val="subscript"/>
        </w:rPr>
        <w:t>st</w:t>
      </w:r>
      <w:proofErr w:type="spellEnd"/>
      <w:r w:rsidRPr="00A240EA">
        <w:rPr>
          <w:rFonts w:eastAsiaTheme="minorEastAsia"/>
          <w:lang w:val="en-GB"/>
        </w:rPr>
        <w:t xml:space="preserve"> toward the </w:t>
      </w:r>
      <w:proofErr w:type="spellStart"/>
      <w:r w:rsidRPr="00A240EA">
        <w:rPr>
          <w:rFonts w:eastAsiaTheme="minorEastAsia"/>
          <w:lang w:val="en-GB"/>
        </w:rPr>
        <w:t>sulfate</w:t>
      </w:r>
      <w:proofErr w:type="spellEnd"/>
      <w:r w:rsidRPr="00A240EA">
        <w:rPr>
          <w:rFonts w:eastAsiaTheme="minorEastAsia"/>
          <w:lang w:val="en-GB"/>
        </w:rPr>
        <w:t xml:space="preserve"> side (</w:t>
      </w:r>
      <w:r w:rsidRPr="00A240EA">
        <w:rPr>
          <w:rFonts w:eastAsiaTheme="minorEastAsia"/>
          <w:i/>
          <w:lang w:val="en-GB"/>
        </w:rPr>
        <w:t>x</w:t>
      </w:r>
      <w:r w:rsidRPr="00A240EA">
        <w:rPr>
          <w:rFonts w:eastAsiaTheme="minorEastAsia"/>
          <w:lang w:val="en-GB"/>
        </w:rPr>
        <w:t xml:space="preserve"> = 0.225 mm). This is explained by the higher concentrations of </w:t>
      </w:r>
      <w:proofErr w:type="spellStart"/>
      <w:r w:rsidRPr="00A240EA">
        <w:rPr>
          <w:rFonts w:eastAsiaTheme="minorEastAsia"/>
          <w:lang w:val="en-GB"/>
        </w:rPr>
        <w:t>sulfate</w:t>
      </w:r>
      <w:proofErr w:type="spellEnd"/>
      <w:r w:rsidRPr="00A240EA">
        <w:rPr>
          <w:rFonts w:eastAsiaTheme="minorEastAsia"/>
          <w:lang w:val="en-GB"/>
        </w:rPr>
        <w:t xml:space="preserve"> used in the experiments. The slightly different ion diffusion coefficient plays a negligible role here in the distribution of ions across the mixing zone in comparison to the concentration. The stoichiometric supersaturation function for all three experiments (line 1, </w:t>
      </w:r>
      <w:r w:rsidRPr="00A240EA">
        <w:rPr>
          <w:rFonts w:eastAsiaTheme="minorEastAsia"/>
          <w:i/>
          <w:lang w:val="en-GB"/>
        </w:rPr>
        <w:t>x</w:t>
      </w:r>
      <w:r w:rsidRPr="00A240EA">
        <w:rPr>
          <w:rFonts w:eastAsiaTheme="minorEastAsia"/>
          <w:lang w:val="en-GB"/>
        </w:rPr>
        <w:t xml:space="preserve"> = 0.25 mm) is depicted in Figure S2f. The maxima of the </w:t>
      </w:r>
      <w:r w:rsidRPr="00A240EA">
        <w:t>Ω</w:t>
      </w:r>
      <w:proofErr w:type="spellStart"/>
      <w:r w:rsidRPr="00A240EA">
        <w:rPr>
          <w:vertAlign w:val="subscript"/>
        </w:rPr>
        <w:t>st</w:t>
      </w:r>
      <w:proofErr w:type="spellEnd"/>
      <w:r w:rsidRPr="00A240EA">
        <w:rPr>
          <w:rFonts w:eastAsiaTheme="minorEastAsia"/>
          <w:lang w:val="en-GB"/>
        </w:rPr>
        <w:t xml:space="preserve"> at 0.4 &lt; </w:t>
      </w:r>
      <w:proofErr w:type="spellStart"/>
      <w:r w:rsidRPr="00A240EA">
        <w:rPr>
          <w:rFonts w:eastAsiaTheme="minorEastAsia"/>
          <w:i/>
          <w:iCs/>
          <w:lang w:val="en-GB"/>
        </w:rPr>
        <w:t>X</w:t>
      </w:r>
      <w:r w:rsidRPr="00A240EA">
        <w:rPr>
          <w:rFonts w:eastAsiaTheme="minorEastAsia"/>
          <w:vertAlign w:val="subscript"/>
          <w:lang w:val="en-GB"/>
        </w:rPr>
        <w:t>Ba</w:t>
      </w:r>
      <w:proofErr w:type="spellEnd"/>
      <w:r w:rsidRPr="00A240EA">
        <w:rPr>
          <w:rFonts w:eastAsiaTheme="minorEastAsia"/>
          <w:lang w:val="en-GB"/>
        </w:rPr>
        <w:t> &lt; 0.5 give the thermodynamically most stable solid solution for each experiment.</w:t>
      </w:r>
      <w:r w:rsidRPr="00A240EA">
        <w:t xml:space="preserve"> </w:t>
      </w:r>
    </w:p>
    <w:p w14:paraId="6677DDF6" w14:textId="30219618" w:rsidR="00D40A9B" w:rsidRDefault="00D40A9B">
      <w:pPr>
        <w:spacing w:before="0" w:after="160"/>
        <w:jc w:val="left"/>
        <w:rPr>
          <w:rFonts w:eastAsiaTheme="majorEastAsia" w:cstheme="majorBidi"/>
          <w:b/>
          <w:color w:val="4472C4" w:themeColor="accent5"/>
          <w:szCs w:val="26"/>
        </w:rPr>
      </w:pPr>
      <w:r>
        <w:rPr>
          <w:color w:val="4472C4" w:themeColor="accent5"/>
        </w:rPr>
        <w:br w:type="page"/>
      </w:r>
    </w:p>
    <w:p w14:paraId="53610AF2" w14:textId="6D1A48DF" w:rsidR="00913E05" w:rsidRPr="00A240EA" w:rsidRDefault="00913E05" w:rsidP="00913E05">
      <w:pPr>
        <w:pStyle w:val="Heading2"/>
        <w:rPr>
          <w:color w:val="auto"/>
        </w:rPr>
      </w:pPr>
      <w:bookmarkStart w:id="10" w:name="_Hlk163572781"/>
      <w:r w:rsidRPr="00A240EA">
        <w:rPr>
          <w:color w:val="auto"/>
        </w:rPr>
        <w:lastRenderedPageBreak/>
        <w:t>Supplementary</w:t>
      </w:r>
      <w:bookmarkEnd w:id="10"/>
      <w:r w:rsidRPr="00A240EA">
        <w:rPr>
          <w:color w:val="auto"/>
        </w:rPr>
        <w:t xml:space="preserve"> Note </w:t>
      </w:r>
      <w:r w:rsidR="0088164B" w:rsidRPr="00A240EA">
        <w:rPr>
          <w:color w:val="auto"/>
        </w:rPr>
        <w:t>3</w:t>
      </w:r>
    </w:p>
    <w:p w14:paraId="5743982A" w14:textId="3A24CCE0" w:rsidR="00913E05" w:rsidRPr="00A240EA" w:rsidRDefault="008D092B" w:rsidP="008C7C2A">
      <w:pPr>
        <w:rPr>
          <w:bCs/>
        </w:rPr>
      </w:pPr>
      <w:r w:rsidRPr="00A240EA">
        <w:rPr>
          <w:b/>
          <w:bCs/>
        </w:rPr>
        <w:t xml:space="preserve">Description of the main Computer-Vision (CV) techniques used for analyzing the 2D </w:t>
      </w:r>
      <w:r w:rsidR="004D340C" w:rsidRPr="00A240EA">
        <w:rPr>
          <w:b/>
          <w:bCs/>
        </w:rPr>
        <w:t>images.</w:t>
      </w:r>
    </w:p>
    <w:p w14:paraId="1E56EF7A" w14:textId="47943775" w:rsidR="004D340C" w:rsidRPr="00A240EA" w:rsidRDefault="008D092B" w:rsidP="00913E05">
      <w:pPr>
        <w:rPr>
          <w:noProof/>
        </w:rPr>
      </w:pPr>
      <w:r w:rsidRPr="00A240EA">
        <w:rPr>
          <w:noProof/>
        </w:rPr>
        <w:t>In this section we detail</w:t>
      </w:r>
      <w:r w:rsidR="004D340C" w:rsidRPr="00A240EA">
        <w:rPr>
          <w:noProof/>
        </w:rPr>
        <w:t>ed the different pre-processing techniques to evaluate the crytal growth rate from the 2D images.</w:t>
      </w:r>
    </w:p>
    <w:p w14:paraId="1FFA7288" w14:textId="3FD9C789" w:rsidR="004D340C" w:rsidRPr="00A240EA" w:rsidRDefault="004D340C" w:rsidP="00913E05">
      <w:pPr>
        <w:rPr>
          <w:b/>
          <w:bCs/>
          <w:noProof/>
        </w:rPr>
      </w:pPr>
      <w:r w:rsidRPr="00A240EA">
        <w:rPr>
          <w:b/>
          <w:bCs/>
          <w:noProof/>
        </w:rPr>
        <w:t xml:space="preserve">Bilateral filtering: </w:t>
      </w:r>
    </w:p>
    <w:p w14:paraId="7214B1F3" w14:textId="67247489" w:rsidR="004D340C" w:rsidRPr="00A240EA" w:rsidRDefault="004D340C" w:rsidP="00913E05">
      <w:pPr>
        <w:rPr>
          <w:noProof/>
        </w:rPr>
      </w:pPr>
      <w:r w:rsidRPr="00A240EA">
        <w:rPr>
          <w:noProof/>
        </w:rPr>
        <w:t>This approach stands out in the image processing domain as a crucial method that excels in reducing the noise occurring in images while simultaneously preserving the clarity of shape edges with precision. This non-linear method updates the value of each pixel by calculating an average that takes into account the values of nearby pixels. This is done while keeping focus on those pixels that are close in space and similar in intensity. These average are calculated using Gaussian functions, which assign more importance to neighboring pixels that are both spatially close and similar in intensity, which preserves the edges' clarity.</w:t>
      </w:r>
    </w:p>
    <w:p w14:paraId="79C9B9D8" w14:textId="56543EDF" w:rsidR="004D340C" w:rsidRPr="00A240EA" w:rsidRDefault="004D340C" w:rsidP="00913E05">
      <w:pPr>
        <w:rPr>
          <w:noProof/>
        </w:rPr>
      </w:pPr>
      <w:r w:rsidRPr="00A240EA">
        <w:rPr>
          <w:noProof/>
        </w:rPr>
        <w:t>Mathematically, the bilateral filter B(I) for an image I at pixel x is defined as:</w:t>
      </w:r>
    </w:p>
    <w:p w14:paraId="2A4B72B8" w14:textId="777B1C53" w:rsidR="004D340C" w:rsidRPr="00A240EA" w:rsidRDefault="004D340C" w:rsidP="004D340C">
      <w:pPr>
        <w:pStyle w:val="ListParagraph"/>
        <w:ind w:left="1800"/>
        <w:rPr>
          <w:rFonts w:asciiTheme="majorBidi" w:eastAsiaTheme="minorEastAsia" w:hAnsiTheme="majorBidi" w:cstheme="majorBidi"/>
        </w:rPr>
      </w:pPr>
      <m:oMath>
        <m:r>
          <w:rPr>
            <w:rFonts w:ascii="Cambria Math" w:eastAsiaTheme="minorEastAsia" w:hAnsi="Cambria Math" w:cstheme="majorBidi"/>
          </w:rPr>
          <m:t>B</m:t>
        </m:r>
        <m:sSub>
          <m:sSubPr>
            <m:ctrlPr>
              <w:rPr>
                <w:rFonts w:ascii="Cambria Math" w:eastAsiaTheme="minorEastAsia" w:hAnsi="Cambria Math" w:cstheme="majorBidi"/>
                <w:i/>
              </w:rPr>
            </m:ctrlPr>
          </m:sSubPr>
          <m:e>
            <m:d>
              <m:dPr>
                <m:ctrlPr>
                  <w:rPr>
                    <w:rFonts w:ascii="Cambria Math" w:eastAsiaTheme="minorEastAsia" w:hAnsi="Cambria Math" w:cstheme="majorBidi"/>
                    <w:i/>
                  </w:rPr>
                </m:ctrlPr>
              </m:dPr>
              <m:e>
                <m:r>
                  <w:rPr>
                    <w:rFonts w:ascii="Cambria Math" w:eastAsiaTheme="minorEastAsia" w:hAnsi="Cambria Math" w:cstheme="majorBidi"/>
                  </w:rPr>
                  <m:t>I</m:t>
                </m:r>
              </m:e>
            </m:d>
          </m:e>
          <m:sub>
            <m:r>
              <w:rPr>
                <w:rFonts w:ascii="Cambria Math" w:eastAsiaTheme="minorEastAsia" w:hAnsi="Cambria Math" w:cstheme="majorBidi"/>
              </w:rPr>
              <m:t>x</m:t>
            </m:r>
          </m:sub>
        </m:sSub>
        <m:r>
          <w:rPr>
            <w:rFonts w:ascii="Cambria Math" w:eastAsiaTheme="minorEastAsia" w:hAnsi="Cambria Math" w:cstheme="majorBidi"/>
          </w:rPr>
          <m:t>=</m:t>
        </m:r>
        <m:f>
          <m:fPr>
            <m:ctrlPr>
              <w:rPr>
                <w:rFonts w:ascii="Cambria Math" w:eastAsiaTheme="minorEastAsia" w:hAnsi="Cambria Math" w:cstheme="majorBidi"/>
              </w:rPr>
            </m:ctrlPr>
          </m:fPr>
          <m:num>
            <m:r>
              <w:rPr>
                <w:rFonts w:ascii="Cambria Math" w:eastAsiaTheme="minorEastAsia" w:hAnsi="Cambria Math" w:cstheme="majorBidi"/>
              </w:rPr>
              <m:t>1</m:t>
            </m:r>
            <m:ctrlPr>
              <w:rPr>
                <w:rFonts w:ascii="Cambria Math" w:eastAsiaTheme="minorEastAsia" w:hAnsi="Cambria Math" w:cstheme="majorBidi"/>
                <w:i/>
              </w:rPr>
            </m:ctrlPr>
          </m:num>
          <m:den>
            <m:sSub>
              <m:sSubPr>
                <m:ctrlPr>
                  <w:rPr>
                    <w:rFonts w:ascii="Cambria Math" w:eastAsiaTheme="minorEastAsia" w:hAnsi="Cambria Math" w:cstheme="majorBidi"/>
                    <w:i/>
                  </w:rPr>
                </m:ctrlPr>
              </m:sSubPr>
              <m:e>
                <m:r>
                  <w:rPr>
                    <w:rFonts w:ascii="Cambria Math" w:eastAsiaTheme="minorEastAsia" w:hAnsi="Cambria Math" w:cstheme="majorBidi"/>
                  </w:rPr>
                  <m:t>W</m:t>
                </m:r>
              </m:e>
              <m:sub>
                <m:r>
                  <w:rPr>
                    <w:rFonts w:ascii="Cambria Math" w:eastAsiaTheme="minorEastAsia" w:hAnsi="Cambria Math" w:cstheme="majorBidi"/>
                  </w:rPr>
                  <m:t>p</m:t>
                </m:r>
              </m:sub>
            </m:sSub>
            <m:ctrlPr>
              <w:rPr>
                <w:rFonts w:ascii="Cambria Math" w:eastAsiaTheme="minorEastAsia" w:hAnsi="Cambria Math" w:cstheme="majorBidi"/>
                <w:i/>
              </w:rPr>
            </m:ctrlPr>
          </m:den>
        </m:f>
        <m:nary>
          <m:naryPr>
            <m:chr m:val="∑"/>
            <m:supHide m:val="1"/>
            <m:ctrlPr>
              <w:rPr>
                <w:rFonts w:ascii="Cambria Math" w:eastAsiaTheme="minorEastAsia" w:hAnsi="Cambria Math" w:cstheme="majorBidi"/>
              </w:rPr>
            </m:ctrlPr>
          </m:naryPr>
          <m:sub>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r>
              <m:rPr>
                <m:sty m:val="p"/>
              </m:rPr>
              <w:rPr>
                <w:rFonts w:ascii="Cambria Math" w:eastAsiaTheme="minorEastAsia" w:hAnsi="Cambria Math" w:cstheme="majorBidi"/>
              </w:rPr>
              <m:t>∈Ω</m:t>
            </m:r>
            <m:ctrlPr>
              <w:rPr>
                <w:rFonts w:ascii="Cambria Math" w:eastAsiaTheme="minorEastAsia" w:hAnsi="Cambria Math" w:cstheme="majorBidi"/>
                <w:i/>
              </w:rPr>
            </m:ctrlPr>
          </m:sub>
          <m:sup>
            <m:ctrlPr>
              <w:rPr>
                <w:rFonts w:ascii="Cambria Math" w:eastAsiaTheme="minorEastAsia" w:hAnsi="Cambria Math" w:cstheme="majorBidi"/>
                <w:i/>
              </w:rPr>
            </m:ctrlPr>
          </m:sup>
          <m:e>
            <w:bookmarkStart w:id="11" w:name="_Hlk151387243"/>
            <m:sSub>
              <m:sSubPr>
                <m:ctrlPr>
                  <w:rPr>
                    <w:rFonts w:ascii="Cambria Math" w:eastAsiaTheme="minorEastAsia" w:hAnsi="Cambria Math" w:cstheme="majorBidi"/>
                    <w:i/>
                  </w:rPr>
                </m:ctrlPr>
              </m:sSubPr>
              <m:e>
                <m:r>
                  <w:rPr>
                    <w:rFonts w:ascii="Cambria Math" w:eastAsiaTheme="minorEastAsia" w:hAnsi="Cambria Math" w:cstheme="majorBidi"/>
                  </w:rPr>
                  <m:t>I</m:t>
                </m:r>
              </m:e>
              <m:sub>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sub>
            </m:sSub>
            <w:bookmarkEnd w:id="11"/>
            <m:ctrlPr>
              <w:rPr>
                <w:rFonts w:ascii="Cambria Math" w:eastAsiaTheme="minorEastAsia" w:hAnsi="Cambria Math" w:cstheme="majorBidi"/>
                <w:i/>
              </w:rPr>
            </m:ctrlPr>
          </m:e>
        </m:nary>
        <m:r>
          <m:rPr>
            <m:sty m:val="p"/>
          </m:rPr>
          <w:rPr>
            <w:rFonts w:ascii="Cambria Math" w:eastAsiaTheme="minorEastAsia" w:hAnsi="Cambria Math" w:cstheme="majorBidi"/>
          </w:rPr>
          <m:t>⋅</m:t>
        </m:r>
        <m:r>
          <w:rPr>
            <w:rFonts w:ascii="Cambria Math" w:eastAsiaTheme="minorEastAsia" w:hAnsi="Cambria Math" w:cstheme="majorBidi"/>
          </w:rPr>
          <m:t>f</m:t>
        </m:r>
        <m:d>
          <m:dPr>
            <m:ctrlPr>
              <w:rPr>
                <w:rFonts w:ascii="Cambria Math" w:eastAsiaTheme="minorEastAsia" w:hAnsi="Cambria Math" w:cstheme="majorBidi"/>
                <w:i/>
              </w:rPr>
            </m:ctrlPr>
          </m:dPr>
          <m:e>
            <m:r>
              <m:rPr>
                <m:lit/>
              </m:rPr>
              <w:rPr>
                <w:rFonts w:ascii="Cambria Math" w:eastAsiaTheme="minorEastAsia" w:hAnsi="Cambria Math" w:cstheme="majorBidi"/>
              </w:rPr>
              <m:t>|</m:t>
            </m:r>
            <m:r>
              <w:rPr>
                <w:rFonts w:ascii="Cambria Math" w:eastAsiaTheme="minorEastAsia" w:hAnsi="Cambria Math" w:cstheme="majorBidi"/>
              </w:rPr>
              <m:t>x-</m:t>
            </m:r>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r>
              <m:rPr>
                <m:lit/>
              </m:rPr>
              <w:rPr>
                <w:rFonts w:ascii="Cambria Math" w:eastAsiaTheme="minorEastAsia" w:hAnsi="Cambria Math" w:cstheme="majorBidi"/>
              </w:rPr>
              <m:t>|</m:t>
            </m:r>
          </m:e>
        </m:d>
        <m:r>
          <m:rPr>
            <m:sty m:val="p"/>
          </m:rPr>
          <w:rPr>
            <w:rFonts w:ascii="Cambria Math" w:eastAsiaTheme="minorEastAsia" w:hAnsi="Cambria Math" w:cstheme="majorBidi"/>
          </w:rPr>
          <m:t>⋅</m:t>
        </m:r>
        <m:r>
          <w:rPr>
            <w:rFonts w:ascii="Cambria Math" w:eastAsiaTheme="minorEastAsia" w:hAnsi="Cambria Math" w:cstheme="majorBidi"/>
          </w:rPr>
          <m:t>g</m:t>
        </m:r>
        <m:d>
          <m:dPr>
            <m:ctrlPr>
              <w:rPr>
                <w:rFonts w:ascii="Cambria Math" w:eastAsiaTheme="minorEastAsia" w:hAnsi="Cambria Math" w:cstheme="majorBidi"/>
                <w:i/>
              </w:rPr>
            </m:ctrlPr>
          </m:dPr>
          <m:e>
            <m:d>
              <m:dPr>
                <m:begChr m:val="|"/>
                <m:endChr m:val="|"/>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I</m:t>
                    </m:r>
                  </m:e>
                  <m:sub>
                    <m:r>
                      <w:rPr>
                        <w:rFonts w:ascii="Cambria Math" w:eastAsiaTheme="minorEastAsia" w:hAnsi="Cambria Math" w:cstheme="majorBidi"/>
                      </w:rPr>
                      <m:t>x</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I</m:t>
                    </m:r>
                  </m:e>
                  <m:sub>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sub>
                </m:sSub>
              </m:e>
            </m:d>
          </m:e>
        </m:d>
      </m:oMath>
      <w:r w:rsidRPr="00A240EA">
        <w:rPr>
          <w:rFonts w:asciiTheme="majorBidi" w:eastAsiaTheme="minorEastAsia" w:hAnsiTheme="majorBidi" w:cstheme="majorBidi"/>
        </w:rPr>
        <w:tab/>
      </w:r>
      <w:r w:rsidRPr="00A240EA">
        <w:rPr>
          <w:rFonts w:asciiTheme="majorBidi" w:eastAsiaTheme="minorEastAsia" w:hAnsiTheme="majorBidi" w:cstheme="majorBidi"/>
        </w:rPr>
        <w:tab/>
        <w:t>(S4)</w:t>
      </w:r>
    </w:p>
    <w:p w14:paraId="35510E55" w14:textId="56503D3F" w:rsidR="004D340C" w:rsidRPr="00A240EA" w:rsidRDefault="004D340C" w:rsidP="004D340C">
      <w:pPr>
        <w:rPr>
          <w:noProof/>
        </w:rPr>
      </w:pPr>
      <w:r w:rsidRPr="00A240EA">
        <w:rPr>
          <w:noProof/>
        </w:rPr>
        <w:t xml:space="preserve">Where </w:t>
      </w:r>
      <m:oMath>
        <m:r>
          <w:rPr>
            <w:rFonts w:ascii="Cambria Math" w:eastAsiaTheme="minorEastAsia" w:hAnsi="Cambria Math" w:cstheme="majorBidi"/>
          </w:rPr>
          <m:t>B</m:t>
        </m:r>
        <m:sSub>
          <m:sSubPr>
            <m:ctrlPr>
              <w:rPr>
                <w:rFonts w:ascii="Cambria Math" w:eastAsiaTheme="minorEastAsia" w:hAnsi="Cambria Math" w:cstheme="majorBidi"/>
                <w:i/>
              </w:rPr>
            </m:ctrlPr>
          </m:sSubPr>
          <m:e>
            <m:d>
              <m:dPr>
                <m:ctrlPr>
                  <w:rPr>
                    <w:rFonts w:ascii="Cambria Math" w:eastAsiaTheme="minorEastAsia" w:hAnsi="Cambria Math" w:cstheme="majorBidi"/>
                    <w:i/>
                  </w:rPr>
                </m:ctrlPr>
              </m:dPr>
              <m:e>
                <m:r>
                  <w:rPr>
                    <w:rFonts w:ascii="Cambria Math" w:eastAsiaTheme="minorEastAsia" w:hAnsi="Cambria Math" w:cstheme="majorBidi"/>
                  </w:rPr>
                  <m:t>I</m:t>
                </m:r>
              </m:e>
            </m:d>
          </m:e>
          <m:sub>
            <m:r>
              <w:rPr>
                <w:rFonts w:ascii="Cambria Math" w:eastAsiaTheme="minorEastAsia" w:hAnsi="Cambria Math" w:cstheme="majorBidi"/>
              </w:rPr>
              <m:t>x</m:t>
            </m:r>
          </m:sub>
        </m:sSub>
      </m:oMath>
      <w:r w:rsidRPr="00A240EA">
        <w:rPr>
          <w:noProof/>
        </w:rPr>
        <w:t xml:space="preserve"> represents the intensity of the output image at pixel x, </w:t>
      </w:r>
      <m:oMath>
        <m:sSub>
          <m:sSubPr>
            <m:ctrlPr>
              <w:rPr>
                <w:rFonts w:ascii="Cambria Math" w:eastAsiaTheme="minorEastAsia" w:hAnsi="Cambria Math" w:cstheme="majorBidi"/>
                <w:i/>
              </w:rPr>
            </m:ctrlPr>
          </m:sSubPr>
          <m:e>
            <m:r>
              <w:rPr>
                <w:rFonts w:ascii="Cambria Math" w:eastAsiaTheme="minorEastAsia" w:hAnsi="Cambria Math" w:cstheme="majorBidi"/>
              </w:rPr>
              <m:t>I</m:t>
            </m:r>
          </m:e>
          <m:sub>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sub>
        </m:sSub>
      </m:oMath>
      <w:r w:rsidRPr="00A240EA">
        <w:rPr>
          <w:rFonts w:eastAsiaTheme="minorEastAsia"/>
          <w:noProof/>
        </w:rPr>
        <w:t xml:space="preserve"> </w:t>
      </w:r>
      <w:r w:rsidRPr="00A240EA">
        <w:rPr>
          <w:noProof/>
        </w:rPr>
        <w:t xml:space="preserve">denotes the intensity of the input image at a neighboring pixel </w:t>
      </w:r>
      <w:r w:rsidRPr="00A240EA">
        <w:rPr>
          <w:i/>
          <w:iCs/>
          <w:noProof/>
        </w:rPr>
        <w:t>x</w:t>
      </w:r>
      <w:r w:rsidRPr="00A240EA">
        <w:rPr>
          <w:noProof/>
          <w:vertAlign w:val="subscript"/>
        </w:rPr>
        <w:t>i</w:t>
      </w:r>
      <w:r w:rsidRPr="00A240EA">
        <w:rPr>
          <w:noProof/>
        </w:rPr>
        <w:t xml:space="preserve">, Ω is the neighborhood around pixel x, f is a Gaussian function measuring the spatial distance between </w:t>
      </w:r>
      <w:r w:rsidRPr="00A240EA">
        <w:rPr>
          <w:i/>
          <w:iCs/>
          <w:noProof/>
        </w:rPr>
        <w:t>x</w:t>
      </w:r>
      <w:r w:rsidRPr="00A240EA">
        <w:rPr>
          <w:noProof/>
        </w:rPr>
        <w:t xml:space="preserve"> and </w:t>
      </w:r>
      <w:r w:rsidRPr="00A240EA">
        <w:rPr>
          <w:i/>
          <w:iCs/>
          <w:noProof/>
        </w:rPr>
        <w:t>x</w:t>
      </w:r>
      <w:r w:rsidRPr="00A240EA">
        <w:rPr>
          <w:noProof/>
          <w:vertAlign w:val="subscript"/>
        </w:rPr>
        <w:t>i</w:t>
      </w:r>
      <w:r w:rsidRPr="00A240EA">
        <w:rPr>
          <w:noProof/>
        </w:rPr>
        <w:t>, g is another Gaussian function measuring the intensity difference between the pixels</w:t>
      </w:r>
      <w:r w:rsidR="00452207" w:rsidRPr="00A240EA">
        <w:rPr>
          <w:noProof/>
        </w:rPr>
        <w:t xml:space="preserve"> and </w:t>
      </w:r>
      <m:oMath>
        <m:sSub>
          <m:sSubPr>
            <m:ctrlPr>
              <w:rPr>
                <w:rFonts w:ascii="Cambria Math" w:eastAsiaTheme="minorEastAsia" w:hAnsi="Cambria Math" w:cstheme="majorBidi"/>
                <w:i/>
              </w:rPr>
            </m:ctrlPr>
          </m:sSubPr>
          <m:e>
            <m:r>
              <w:rPr>
                <w:rFonts w:ascii="Cambria Math" w:eastAsiaTheme="minorEastAsia" w:hAnsi="Cambria Math" w:cstheme="majorBidi"/>
              </w:rPr>
              <m:t>W</m:t>
            </m:r>
          </m:e>
          <m:sub>
            <m:r>
              <w:rPr>
                <w:rFonts w:ascii="Cambria Math" w:eastAsiaTheme="minorEastAsia" w:hAnsi="Cambria Math" w:cstheme="majorBidi"/>
              </w:rPr>
              <m:t>p</m:t>
            </m:r>
          </m:sub>
        </m:sSub>
      </m:oMath>
      <w:r w:rsidR="00452207" w:rsidRPr="00A240EA">
        <w:rPr>
          <w:rFonts w:eastAsiaTheme="minorEastAsia"/>
          <w:noProof/>
        </w:rPr>
        <w:t xml:space="preserve"> </w:t>
      </w:r>
      <w:r w:rsidRPr="00A240EA">
        <w:rPr>
          <w:noProof/>
        </w:rPr>
        <w:t>is a normalization term ensuring that the weights sum up to 1</w:t>
      </w:r>
    </w:p>
    <w:p w14:paraId="464F17DB" w14:textId="705B2926" w:rsidR="00452207" w:rsidRPr="00A240EA" w:rsidRDefault="00452207" w:rsidP="004D340C">
      <w:pPr>
        <w:rPr>
          <w:rFonts w:asciiTheme="majorBidi" w:hAnsiTheme="majorBidi" w:cstheme="majorBidi"/>
        </w:rPr>
      </w:pPr>
      <w:r w:rsidRPr="00A240EA">
        <w:rPr>
          <w:rFonts w:asciiTheme="majorBidi" w:hAnsiTheme="majorBidi" w:cstheme="majorBidi"/>
        </w:rPr>
        <w:t>This dual capability of smoothing noise while preserving edge positions</w:t>
      </w:r>
      <w:r w:rsidR="00B75507" w:rsidRPr="00A240EA">
        <w:rPr>
          <w:rFonts w:asciiTheme="majorBidi" w:hAnsiTheme="majorBidi" w:cstheme="majorBidi"/>
        </w:rPr>
        <w:t>,</w:t>
      </w:r>
      <w:r w:rsidRPr="00A240EA">
        <w:rPr>
          <w:rFonts w:asciiTheme="majorBidi" w:hAnsiTheme="majorBidi" w:cstheme="majorBidi"/>
        </w:rPr>
        <w:t xml:space="preserve"> the bilateral filter </w:t>
      </w:r>
      <w:r w:rsidR="00B75507" w:rsidRPr="00A240EA">
        <w:rPr>
          <w:rFonts w:asciiTheme="majorBidi" w:hAnsiTheme="majorBidi" w:cstheme="majorBidi"/>
        </w:rPr>
        <w:t>i</w:t>
      </w:r>
      <w:r w:rsidRPr="00A240EA">
        <w:rPr>
          <w:rFonts w:asciiTheme="majorBidi" w:hAnsiTheme="majorBidi" w:cstheme="majorBidi"/>
        </w:rPr>
        <w:t xml:space="preserve">s a superior choice compared to other filters, like Gaussian filters, which might blur edges while removing noise. Its applications </w:t>
      </w:r>
      <w:proofErr w:type="gramStart"/>
      <w:r w:rsidRPr="00A240EA">
        <w:rPr>
          <w:rFonts w:asciiTheme="majorBidi" w:hAnsiTheme="majorBidi" w:cstheme="majorBidi"/>
        </w:rPr>
        <w:t>span across</w:t>
      </w:r>
      <w:proofErr w:type="gramEnd"/>
      <w:r w:rsidRPr="00A240EA">
        <w:rPr>
          <w:rFonts w:asciiTheme="majorBidi" w:hAnsiTheme="majorBidi" w:cstheme="majorBidi"/>
        </w:rPr>
        <w:t xml:space="preserve"> computer vision, medical imaging, and computer graphics, showcasing its versatility and effectiveness in complex image processing tasks</w:t>
      </w:r>
      <w:r w:rsidR="007D1D7D" w:rsidRPr="00A240EA">
        <w:rPr>
          <w:rFonts w:asciiTheme="majorBidi" w:hAnsiTheme="majorBidi" w:cstheme="majorBidi"/>
        </w:rPr>
        <w:t>.</w:t>
      </w:r>
    </w:p>
    <w:p w14:paraId="4D79DF80" w14:textId="677CD202" w:rsidR="00452207" w:rsidRPr="00A240EA" w:rsidRDefault="00452207" w:rsidP="004D340C">
      <w:pPr>
        <w:rPr>
          <w:b/>
          <w:bCs/>
          <w:noProof/>
        </w:rPr>
      </w:pPr>
      <w:r w:rsidRPr="00A240EA">
        <w:rPr>
          <w:b/>
          <w:bCs/>
          <w:noProof/>
        </w:rPr>
        <w:t>Adaptive thresholding</w:t>
      </w:r>
    </w:p>
    <w:p w14:paraId="19A4C09B" w14:textId="77777777" w:rsidR="00452207" w:rsidRPr="00A240EA" w:rsidRDefault="00452207" w:rsidP="00452207">
      <w:pPr>
        <w:rPr>
          <w:noProof/>
        </w:rPr>
      </w:pPr>
      <w:r w:rsidRPr="00A240EA">
        <w:rPr>
          <w:noProof/>
        </w:rPr>
        <w:t>This technique is frequently employed to separate objects from their surroundings, a task that gains critical importance in situations where the lighting across an image is not uniform. Diverging from the approach of global thresholding, which assigns a uniform threshold level to the entire image, this adaptive method calculates distinct threshold values for localized areas. This tailored computation enhances the method's sensitivity to the diverse lighting conditions within different segments of the image.</w:t>
      </w:r>
    </w:p>
    <w:p w14:paraId="0B1E1845" w14:textId="0B52EF19" w:rsidR="00452207" w:rsidRPr="00A240EA" w:rsidRDefault="00452207" w:rsidP="00452207">
      <w:pPr>
        <w:pStyle w:val="ListParagraph"/>
        <w:spacing w:before="100" w:beforeAutospacing="1" w:after="100" w:afterAutospacing="1" w:line="240" w:lineRule="auto"/>
        <w:ind w:left="1800"/>
        <w:rPr>
          <w:rFonts w:eastAsia="Times New Roman" w:cs="Times New Roman"/>
        </w:rPr>
      </w:pPr>
      <m:oMath>
        <m:r>
          <w:rPr>
            <w:rFonts w:ascii="Cambria Math" w:eastAsia="Times New Roman" w:hAnsi="Cambria Math" w:cs="Times New Roman"/>
            <w:lang w:val="fr-FR"/>
          </w:rPr>
          <m:t>T</m:t>
        </m:r>
        <m:d>
          <m:dPr>
            <m:ctrlPr>
              <w:rPr>
                <w:rFonts w:ascii="Cambria Math" w:eastAsia="Times New Roman" w:hAnsi="Cambria Math" w:cs="Times New Roman"/>
                <w:i/>
                <w:lang w:val="fr-FR"/>
              </w:rPr>
            </m:ctrlPr>
          </m:dPr>
          <m:e>
            <m:r>
              <w:rPr>
                <w:rFonts w:ascii="Cambria Math" w:eastAsia="Times New Roman" w:hAnsi="Cambria Math" w:cs="Times New Roman"/>
                <w:lang w:val="fr-FR"/>
              </w:rPr>
              <m:t>x</m:t>
            </m:r>
            <m:r>
              <w:rPr>
                <w:rFonts w:ascii="Cambria Math" w:eastAsia="Times New Roman" w:hAnsi="Cambria Math" w:cs="Times New Roman"/>
              </w:rPr>
              <m:t>,</m:t>
            </m:r>
            <m:r>
              <w:rPr>
                <w:rFonts w:ascii="Cambria Math" w:eastAsia="Times New Roman" w:hAnsi="Cambria Math" w:cs="Times New Roman"/>
                <w:lang w:val="fr-FR"/>
              </w:rPr>
              <m:t>y</m:t>
            </m:r>
          </m:e>
        </m:d>
        <m:r>
          <w:rPr>
            <w:rFonts w:ascii="Cambria Math" w:eastAsia="Times New Roman" w:hAnsi="Cambria Math" w:cs="Times New Roman"/>
          </w:rPr>
          <m:t>=</m:t>
        </m:r>
        <m:r>
          <w:rPr>
            <w:rFonts w:ascii="Cambria Math" w:eastAsia="Times New Roman" w:hAnsi="Cambria Math" w:cs="Times New Roman"/>
            <w:lang w:val="fr-FR"/>
          </w:rPr>
          <m:t>mean</m:t>
        </m:r>
        <m:d>
          <m:dPr>
            <m:ctrlPr>
              <w:rPr>
                <w:rFonts w:ascii="Cambria Math" w:eastAsia="Times New Roman" w:hAnsi="Cambria Math" w:cs="Times New Roman"/>
                <w:i/>
                <w:lang w:val="fr-FR"/>
              </w:rPr>
            </m:ctrlPr>
          </m:dPr>
          <m:e>
            <m:r>
              <w:rPr>
                <w:rFonts w:ascii="Cambria Math" w:eastAsia="Times New Roman" w:hAnsi="Cambria Math" w:cs="Times New Roman"/>
                <w:lang w:val="fr-FR"/>
              </w:rPr>
              <m:t>R</m:t>
            </m:r>
            <m:d>
              <m:dPr>
                <m:ctrlPr>
                  <w:rPr>
                    <w:rFonts w:ascii="Cambria Math" w:eastAsia="Times New Roman" w:hAnsi="Cambria Math" w:cs="Times New Roman"/>
                    <w:i/>
                    <w:lang w:val="fr-FR"/>
                  </w:rPr>
                </m:ctrlPr>
              </m:dPr>
              <m:e>
                <m:r>
                  <w:rPr>
                    <w:rFonts w:ascii="Cambria Math" w:eastAsia="Times New Roman" w:hAnsi="Cambria Math" w:cs="Times New Roman"/>
                    <w:lang w:val="fr-FR"/>
                  </w:rPr>
                  <m:t>x</m:t>
                </m:r>
                <m:r>
                  <w:rPr>
                    <w:rFonts w:ascii="Cambria Math" w:eastAsia="Times New Roman" w:hAnsi="Cambria Math" w:cs="Times New Roman"/>
                  </w:rPr>
                  <m:t>,</m:t>
                </m:r>
                <m:r>
                  <w:rPr>
                    <w:rFonts w:ascii="Cambria Math" w:eastAsia="Times New Roman" w:hAnsi="Cambria Math" w:cs="Times New Roman"/>
                    <w:lang w:val="fr-FR"/>
                  </w:rPr>
                  <m:t>y</m:t>
                </m:r>
              </m:e>
            </m:d>
          </m:e>
        </m:d>
        <m:r>
          <w:rPr>
            <w:rFonts w:ascii="Cambria Math" w:eastAsia="Times New Roman" w:hAnsi="Cambria Math" w:cs="Times New Roman"/>
          </w:rPr>
          <m:t>-</m:t>
        </m:r>
        <m:r>
          <w:rPr>
            <w:rFonts w:ascii="Cambria Math" w:eastAsia="Times New Roman" w:hAnsi="Cambria Math" w:cs="Times New Roman"/>
            <w:lang w:val="fr-FR"/>
          </w:rPr>
          <m:t>C</m:t>
        </m:r>
      </m:oMath>
      <w:r w:rsidRPr="00A240EA">
        <w:rPr>
          <w:rFonts w:eastAsia="Times New Roman" w:cs="Times New Roman"/>
        </w:rPr>
        <w:tab/>
      </w:r>
      <w:r w:rsidRPr="00A240EA">
        <w:rPr>
          <w:rFonts w:eastAsia="Times New Roman" w:cs="Times New Roman"/>
        </w:rPr>
        <w:tab/>
        <w:t>(S5)</w:t>
      </w:r>
    </w:p>
    <w:p w14:paraId="32CE13D5" w14:textId="77777777" w:rsidR="00452207" w:rsidRPr="00A240EA" w:rsidRDefault="00452207" w:rsidP="00452207">
      <w:pPr>
        <w:rPr>
          <w:noProof/>
        </w:rPr>
      </w:pPr>
    </w:p>
    <w:p w14:paraId="67764C4F" w14:textId="4A3124B7" w:rsidR="00452207" w:rsidRPr="00A240EA" w:rsidRDefault="00452207" w:rsidP="00452207">
      <w:pPr>
        <w:rPr>
          <w:noProof/>
        </w:rPr>
      </w:pPr>
      <w:r w:rsidRPr="00A240EA">
        <w:rPr>
          <w:noProof/>
        </w:rPr>
        <w:t xml:space="preserve">where </w:t>
      </w:r>
      <w:r w:rsidRPr="00A240EA">
        <w:rPr>
          <w:i/>
          <w:iCs/>
          <w:noProof/>
        </w:rPr>
        <w:t>R</w:t>
      </w:r>
      <w:r w:rsidRPr="00A240EA">
        <w:rPr>
          <w:noProof/>
        </w:rPr>
        <w:t>(x,y) represents a local region around the pixel (x,y), mean(</w:t>
      </w:r>
      <w:r w:rsidRPr="00A240EA">
        <w:rPr>
          <w:i/>
          <w:iCs/>
          <w:noProof/>
        </w:rPr>
        <w:t>R</w:t>
      </w:r>
      <w:r w:rsidRPr="00A240EA">
        <w:rPr>
          <w:noProof/>
        </w:rPr>
        <w:t xml:space="preserve">(x,y)) calculates the mean pixel value within this region, and </w:t>
      </w:r>
      <w:r w:rsidRPr="00A240EA">
        <w:rPr>
          <w:i/>
          <w:iCs/>
          <w:noProof/>
        </w:rPr>
        <w:t>C</w:t>
      </w:r>
      <w:r w:rsidRPr="00A240EA">
        <w:rPr>
          <w:noProof/>
        </w:rPr>
        <w:t xml:space="preserve"> is a constant subtracted to tailor the thresholding. The pixel (x,y) is then classified as an object if its intensity is less than </w:t>
      </w:r>
      <w:r w:rsidRPr="00A240EA">
        <w:rPr>
          <w:i/>
          <w:iCs/>
          <w:noProof/>
        </w:rPr>
        <w:t>T</w:t>
      </w:r>
      <w:r w:rsidRPr="00A240EA">
        <w:rPr>
          <w:noProof/>
        </w:rPr>
        <w:t>(x,y) and as background otherwise</w:t>
      </w:r>
      <w:r w:rsidR="00412C3C" w:rsidRPr="00A240EA">
        <w:rPr>
          <w:noProof/>
        </w:rPr>
        <w:t xml:space="preserve"> </w:t>
      </w:r>
      <w:r w:rsidR="00B86EBE" w:rsidRPr="00A240EA">
        <w:rPr>
          <w:noProof/>
        </w:rPr>
        <w:fldChar w:fldCharType="begin"/>
      </w:r>
      <w:r w:rsidR="007D1D7D" w:rsidRPr="00A240EA">
        <w:rPr>
          <w:noProof/>
        </w:rPr>
        <w:instrText xml:space="preserve"> ADDIN EN.CITE &lt;EndNote&gt;&lt;Cite&gt;&lt;Author&gt;Gonzalez&lt;/Author&gt;&lt;Year&gt;2019&lt;/Year&gt;&lt;RecNum&gt;217&lt;/RecNum&gt;&lt;DisplayText&gt;&lt;style face="superscript"&gt;2&lt;/style&gt;&lt;/DisplayText&gt;&lt;record&gt;&lt;rec-number&gt;217&lt;/rec-number&gt;&lt;foreign-keys&gt;&lt;key app="EN" db-id="t0vpswfv59fp5gefxd2v9pau50pwewe9rxdz" timestamp="1700813852"&gt;217&lt;/key&gt;&lt;/foreign-keys&gt;&lt;ref-type name="Book"&gt;6&lt;/ref-type&gt;&lt;contributors&gt;&lt;authors&gt;&lt;author&gt;Gonzalez, Rafael&lt;/author&gt;&lt;author&gt;Faisal, Zahraa&lt;/author&gt;&lt;/authors&gt;&lt;/contributors&gt;&lt;titles&gt;&lt;title&gt;Digital Image Processing Second Edition&lt;/title&gt;&lt;/titles&gt;&lt;dates&gt;&lt;year&gt;2019&lt;/year&gt;&lt;/dates&gt;&lt;urls&gt;&lt;/urls&gt;&lt;/record&gt;&lt;/Cite&gt;&lt;/EndNote&gt;</w:instrText>
      </w:r>
      <w:r w:rsidR="00B86EBE" w:rsidRPr="00A240EA">
        <w:rPr>
          <w:noProof/>
        </w:rPr>
        <w:fldChar w:fldCharType="separate"/>
      </w:r>
      <w:r w:rsidR="007D1D7D" w:rsidRPr="00A240EA">
        <w:rPr>
          <w:noProof/>
          <w:vertAlign w:val="superscript"/>
        </w:rPr>
        <w:t>2</w:t>
      </w:r>
      <w:r w:rsidR="00B86EBE" w:rsidRPr="00A240EA">
        <w:rPr>
          <w:noProof/>
        </w:rPr>
        <w:fldChar w:fldCharType="end"/>
      </w:r>
      <w:r w:rsidRPr="00A240EA">
        <w:rPr>
          <w:noProof/>
        </w:rPr>
        <w:t>.</w:t>
      </w:r>
    </w:p>
    <w:p w14:paraId="65704232" w14:textId="0563FF82" w:rsidR="00452207" w:rsidRPr="00A240EA" w:rsidRDefault="00452207" w:rsidP="004D340C">
      <w:pPr>
        <w:rPr>
          <w:noProof/>
        </w:rPr>
      </w:pPr>
      <w:r w:rsidRPr="00A240EA">
        <w:rPr>
          <w:noProof/>
        </w:rPr>
        <w:lastRenderedPageBreak/>
        <w:t>This method proves to be especially beneficial when dealing with images that exhibit fluctuating light conditions. It adeptly modifies the threshold in response to the image's local nuances, which results in segmentation that is both more precise and steadfast. The selection of the region size and the constant C is pivotal, as these factors govern the method's sensitivity and overall success. If the region chosen is too wide, it could undermine the adaptability of the approach. Conversely, a region that is too diminutive might intensify the noise</w:t>
      </w:r>
      <w:r w:rsidR="00B86EBE" w:rsidRPr="00A240EA">
        <w:rPr>
          <w:noProof/>
        </w:rPr>
        <w:fldChar w:fldCharType="begin"/>
      </w:r>
      <w:r w:rsidR="007D1D7D" w:rsidRPr="00A240EA">
        <w:rPr>
          <w:noProof/>
        </w:rPr>
        <w:instrText xml:space="preserve"> ADDIN EN.CITE &lt;EndNote&gt;&lt;Cite&gt;&lt;Author&gt;Sezgin&lt;/Author&gt;&lt;Year&gt;2004&lt;/Year&gt;&lt;RecNum&gt;156&lt;/RecNum&gt;&lt;DisplayText&gt;&lt;style face="superscript"&gt;3&lt;/style&gt;&lt;/DisplayText&gt;&lt;record&gt;&lt;rec-number&gt;156&lt;/rec-number&gt;&lt;foreign-keys&gt;&lt;key app="EN" db-id="t0vpswfv59fp5gefxd2v9pau50pwewe9rxdz" timestamp="1699972397"&gt;156&lt;/key&gt;&lt;/foreign-keys&gt;&lt;ref-type name="Journal Article"&gt;17&lt;/ref-type&gt;&lt;contributors&gt;&lt;authors&gt;&lt;author&gt;Sezgin, M.&lt;/author&gt;&lt;author&gt;Sankur, Bulent&lt;/author&gt;&lt;/authors&gt;&lt;/contributors&gt;&lt;titles&gt;&lt;title&gt;Survey over image thresholding techniques and quantitative performance evaluation&lt;/title&gt;&lt;secondary-title&gt;Journal of Electronic Imaging&lt;/secondary-title&gt;&lt;/titles&gt;&lt;periodical&gt;&lt;full-title&gt;Journal of Electronic Imaging&lt;/full-title&gt;&lt;abbr-1&gt;J Electron Imaging&lt;/abbr-1&gt;&lt;/periodical&gt;&lt;pages&gt;146-168&lt;/pages&gt;&lt;volume&gt;13&lt;/volume&gt;&lt;dates&gt;&lt;year&gt;2004&lt;/year&gt;&lt;pub-dates&gt;&lt;date&gt;01/01&lt;/date&gt;&lt;/pub-dates&gt;&lt;/dates&gt;&lt;urls&gt;&lt;/urls&gt;&lt;electronic-resource-num&gt;10.1117/1.1631315&lt;/electronic-resource-num&gt;&lt;/record&gt;&lt;/Cite&gt;&lt;/EndNote&gt;</w:instrText>
      </w:r>
      <w:r w:rsidR="00B86EBE" w:rsidRPr="00A240EA">
        <w:rPr>
          <w:noProof/>
        </w:rPr>
        <w:fldChar w:fldCharType="separate"/>
      </w:r>
      <w:r w:rsidR="007D1D7D" w:rsidRPr="00A240EA">
        <w:rPr>
          <w:noProof/>
          <w:vertAlign w:val="superscript"/>
        </w:rPr>
        <w:t>3</w:t>
      </w:r>
      <w:r w:rsidR="00B86EBE" w:rsidRPr="00A240EA">
        <w:rPr>
          <w:noProof/>
        </w:rPr>
        <w:fldChar w:fldCharType="end"/>
      </w:r>
      <w:r w:rsidR="00412C3C" w:rsidRPr="00A240EA">
        <w:rPr>
          <w:noProof/>
        </w:rPr>
        <w:t xml:space="preserve"> </w:t>
      </w:r>
      <w:r w:rsidRPr="00A240EA">
        <w:rPr>
          <w:noProof/>
        </w:rPr>
        <w:t>.</w:t>
      </w:r>
    </w:p>
    <w:p w14:paraId="631AF4B7" w14:textId="11EC9FE3" w:rsidR="00452207" w:rsidRPr="00A240EA" w:rsidRDefault="00452207" w:rsidP="004D340C">
      <w:pPr>
        <w:rPr>
          <w:b/>
          <w:bCs/>
          <w:noProof/>
        </w:rPr>
      </w:pPr>
      <w:r w:rsidRPr="00A240EA">
        <w:rPr>
          <w:b/>
          <w:bCs/>
          <w:noProof/>
        </w:rPr>
        <w:t>2D filtering</w:t>
      </w:r>
    </w:p>
    <w:p w14:paraId="17D1335F" w14:textId="031149F9" w:rsidR="00452207" w:rsidRPr="00A240EA" w:rsidRDefault="00452207" w:rsidP="00452207">
      <w:pPr>
        <w:rPr>
          <w:rFonts w:cs="Times New Roman"/>
          <w:szCs w:val="24"/>
        </w:rPr>
      </w:pPr>
      <w:r w:rsidRPr="00A240EA">
        <w:rPr>
          <w:rFonts w:cs="Times New Roman"/>
          <w:szCs w:val="24"/>
        </w:rPr>
        <w:t>The filter2D function is considered an essential image processing</w:t>
      </w:r>
      <w:r w:rsidR="009236D2" w:rsidRPr="00A240EA">
        <w:rPr>
          <w:rFonts w:cs="Times New Roman"/>
          <w:szCs w:val="24"/>
        </w:rPr>
        <w:t xml:space="preserve"> technique</w:t>
      </w:r>
      <w:r w:rsidRPr="00A240EA">
        <w:rPr>
          <w:rFonts w:cs="Times New Roman"/>
          <w:szCs w:val="24"/>
        </w:rPr>
        <w:t>, which offers enough flexibility for convolving an image using a given kernel. This function’s effectiveness in enhancing image quality and extracting information is well-documented in the literature</w:t>
      </w:r>
      <w:r w:rsidR="00412C3C" w:rsidRPr="00A240EA">
        <w:rPr>
          <w:rFonts w:cs="Times New Roman"/>
          <w:szCs w:val="24"/>
        </w:rPr>
        <w:t xml:space="preserve"> </w:t>
      </w:r>
      <w:r w:rsidR="00B86EBE" w:rsidRPr="00A240EA">
        <w:rPr>
          <w:rFonts w:cs="Times New Roman"/>
          <w:szCs w:val="24"/>
        </w:rPr>
        <w:fldChar w:fldCharType="begin"/>
      </w:r>
      <w:r w:rsidR="007D1D7D" w:rsidRPr="00A240EA">
        <w:rPr>
          <w:rFonts w:cs="Times New Roman"/>
          <w:szCs w:val="24"/>
        </w:rPr>
        <w:instrText xml:space="preserve"> ADDIN EN.CITE &lt;EndNote&gt;&lt;Cite&gt;&lt;Author&gt;Gonzalez&lt;/Author&gt;&lt;Year&gt;2019&lt;/Year&gt;&lt;RecNum&gt;217&lt;/RecNum&gt;&lt;DisplayText&gt;&lt;style face="superscript"&gt;2,4&lt;/style&gt;&lt;/DisplayText&gt;&lt;record&gt;&lt;rec-number&gt;217&lt;/rec-number&gt;&lt;foreign-keys&gt;&lt;key app="EN" db-id="t0vpswfv59fp5gefxd2v9pau50pwewe9rxdz" timestamp="1700813852"&gt;217&lt;/key&gt;&lt;/foreign-keys&gt;&lt;ref-type name="Book"&gt;6&lt;/ref-type&gt;&lt;contributors&gt;&lt;authors&gt;&lt;author&gt;Gonzalez, Rafael&lt;/author&gt;&lt;author&gt;Faisal, Zahraa&lt;/author&gt;&lt;/authors&gt;&lt;/contributors&gt;&lt;titles&gt;&lt;title&gt;Digital Image Processing Second Edition&lt;/title&gt;&lt;/titles&gt;&lt;dates&gt;&lt;year&gt;2019&lt;/year&gt;&lt;/dates&gt;&lt;urls&gt;&lt;/urls&gt;&lt;/record&gt;&lt;/Cite&gt;&lt;Cite&gt;&lt;Author&gt;Jain&lt;/Author&gt;&lt;Year&gt;1989&lt;/Year&gt;&lt;RecNum&gt;218&lt;/RecNum&gt;&lt;record&gt;&lt;rec-number&gt;218&lt;/rec-number&gt;&lt;foreign-keys&gt;&lt;key app="EN" db-id="t0vpswfv59fp5gefxd2v9pau50pwewe9rxdz" timestamp="1700815035"&gt;218&lt;/key&gt;&lt;/foreign-keys&gt;&lt;ref-type name="Book"&gt;6&lt;/ref-type&gt;&lt;contributors&gt;&lt;authors&gt;&lt;author&gt;Jain, Anil K.&lt;/author&gt;&lt;/authors&gt;&lt;/contributors&gt;&lt;titles&gt;&lt;title&gt;Fundamentals of digital image processing&lt;/title&gt;&lt;/titles&gt;&lt;dates&gt;&lt;year&gt;1989&lt;/year&gt;&lt;/dates&gt;&lt;publisher&gt;Prentice-Hall, Inc.&lt;/publisher&gt;&lt;urls&gt;&lt;/urls&gt;&lt;/record&gt;&lt;/Cite&gt;&lt;/EndNote&gt;</w:instrText>
      </w:r>
      <w:r w:rsidR="00B86EBE" w:rsidRPr="00A240EA">
        <w:rPr>
          <w:rFonts w:cs="Times New Roman"/>
          <w:szCs w:val="24"/>
        </w:rPr>
        <w:fldChar w:fldCharType="separate"/>
      </w:r>
      <w:r w:rsidR="007D1D7D" w:rsidRPr="00A240EA">
        <w:rPr>
          <w:rFonts w:cs="Times New Roman"/>
          <w:noProof/>
          <w:szCs w:val="24"/>
          <w:vertAlign w:val="superscript"/>
        </w:rPr>
        <w:t>2,4</w:t>
      </w:r>
      <w:r w:rsidR="00B86EBE" w:rsidRPr="00A240EA">
        <w:rPr>
          <w:rFonts w:cs="Times New Roman"/>
          <w:szCs w:val="24"/>
        </w:rPr>
        <w:fldChar w:fldCharType="end"/>
      </w:r>
      <w:r w:rsidRPr="00A240EA">
        <w:rPr>
          <w:rFonts w:cs="Times New Roman"/>
          <w:szCs w:val="24"/>
        </w:rPr>
        <w:t>. It is mainly used to execute an array of operations, such as blurring, sharpening, embossing, edge detection, and more. The operation is mathematically defined by the convolution of the image I with a kernel K, which can be represented as:</w:t>
      </w:r>
    </w:p>
    <w:p w14:paraId="21680CE8" w14:textId="0086C067" w:rsidR="00452207" w:rsidRPr="00A240EA" w:rsidRDefault="00000000" w:rsidP="00452207">
      <w:pPr>
        <w:pStyle w:val="ListParagraph"/>
        <w:spacing w:before="100" w:beforeAutospacing="1" w:after="100" w:afterAutospacing="1" w:line="240" w:lineRule="auto"/>
        <w:ind w:left="1800"/>
        <w:rPr>
          <w:rFonts w:eastAsia="Times New Roman"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I</m:t>
            </m:r>
          </m:e>
          <m:sup>
            <m:r>
              <w:rPr>
                <w:rFonts w:ascii="Cambria Math" w:eastAsia="Times New Roman" w:hAnsi="Cambria Math" w:cs="Times New Roman"/>
              </w:rPr>
              <m:t>'</m:t>
            </m:r>
          </m:sup>
        </m:sSup>
        <m:d>
          <m:dPr>
            <m:ctrlPr>
              <w:rPr>
                <w:rFonts w:ascii="Cambria Math" w:eastAsia="Times New Roman" w:hAnsi="Cambria Math" w:cs="Times New Roman"/>
                <w:i/>
              </w:rPr>
            </m:ctrlPr>
          </m:dPr>
          <m:e>
            <m:r>
              <w:rPr>
                <w:rFonts w:ascii="Cambria Math" w:eastAsia="Times New Roman" w:hAnsi="Cambria Math" w:cs="Times New Roman"/>
              </w:rPr>
              <m:t>x,y</m:t>
            </m:r>
          </m:e>
        </m:d>
        <m:r>
          <w:rPr>
            <w:rFonts w:ascii="Cambria Math" w:eastAsia="Times New Roman" w:hAnsi="Cambria Math" w:cs="Times New Roman"/>
          </w:rPr>
          <m:t>=</m:t>
        </m:r>
        <m:nary>
          <m:naryPr>
            <m:chr m:val="∑"/>
            <m:ctrlPr>
              <w:rPr>
                <w:rFonts w:ascii="Cambria Math" w:eastAsia="Times New Roman" w:hAnsi="Cambria Math" w:cs="Times New Roman"/>
              </w:rPr>
            </m:ctrlPr>
          </m:naryPr>
          <m:sub>
            <m:r>
              <w:rPr>
                <w:rFonts w:ascii="Cambria Math" w:eastAsia="Times New Roman" w:hAnsi="Cambria Math" w:cs="Times New Roman"/>
              </w:rPr>
              <m:t>i=-k</m:t>
            </m:r>
            <m:ctrlPr>
              <w:rPr>
                <w:rFonts w:ascii="Cambria Math" w:eastAsia="Times New Roman" w:hAnsi="Cambria Math" w:cs="Times New Roman"/>
                <w:i/>
              </w:rPr>
            </m:ctrlPr>
          </m:sub>
          <m:sup>
            <m:r>
              <w:rPr>
                <w:rFonts w:ascii="Cambria Math" w:eastAsia="Times New Roman" w:hAnsi="Cambria Math" w:cs="Times New Roman"/>
              </w:rPr>
              <m:t>k</m:t>
            </m:r>
            <m:ctrlPr>
              <w:rPr>
                <w:rFonts w:ascii="Cambria Math" w:eastAsia="Times New Roman" w:hAnsi="Cambria Math" w:cs="Times New Roman"/>
                <w:i/>
              </w:rPr>
            </m:ctrlPr>
          </m:sup>
          <m:e>
            <m:nary>
              <m:naryPr>
                <m:chr m:val="∑"/>
                <m:ctrlPr>
                  <w:rPr>
                    <w:rFonts w:ascii="Cambria Math" w:eastAsia="Times New Roman" w:hAnsi="Cambria Math" w:cs="Times New Roman"/>
                  </w:rPr>
                </m:ctrlPr>
              </m:naryPr>
              <m:sub>
                <m:r>
                  <w:rPr>
                    <w:rFonts w:ascii="Cambria Math" w:eastAsia="Times New Roman" w:hAnsi="Cambria Math" w:cs="Times New Roman"/>
                  </w:rPr>
                  <m:t>j=-k</m:t>
                </m:r>
                <m:ctrlPr>
                  <w:rPr>
                    <w:rFonts w:ascii="Cambria Math" w:eastAsia="Times New Roman" w:hAnsi="Cambria Math" w:cs="Times New Roman"/>
                    <w:i/>
                  </w:rPr>
                </m:ctrlPr>
              </m:sub>
              <m:sup>
                <m:r>
                  <w:rPr>
                    <w:rFonts w:ascii="Cambria Math" w:eastAsia="Times New Roman" w:hAnsi="Cambria Math" w:cs="Times New Roman"/>
                  </w:rPr>
                  <m:t>k</m:t>
                </m:r>
                <m:ctrlPr>
                  <w:rPr>
                    <w:rFonts w:ascii="Cambria Math" w:eastAsia="Times New Roman" w:hAnsi="Cambria Math" w:cs="Times New Roman"/>
                    <w:i/>
                  </w:rPr>
                </m:ctrlPr>
              </m:sup>
              <m:e>
                <m:r>
                  <w:rPr>
                    <w:rFonts w:ascii="Cambria Math" w:eastAsia="Times New Roman" w:hAnsi="Cambria Math" w:cs="Times New Roman"/>
                  </w:rPr>
                  <m:t>I</m:t>
                </m:r>
                <m:d>
                  <m:dPr>
                    <m:ctrlPr>
                      <w:rPr>
                        <w:rFonts w:ascii="Cambria Math" w:eastAsia="Times New Roman" w:hAnsi="Cambria Math" w:cs="Times New Roman"/>
                        <w:i/>
                      </w:rPr>
                    </m:ctrlPr>
                  </m:dPr>
                  <m:e>
                    <m:r>
                      <w:rPr>
                        <w:rFonts w:ascii="Cambria Math" w:eastAsia="Times New Roman" w:hAnsi="Cambria Math" w:cs="Times New Roman"/>
                      </w:rPr>
                      <m:t>x-i,y-j</m:t>
                    </m:r>
                  </m:e>
                </m:d>
                <m:ctrlPr>
                  <w:rPr>
                    <w:rFonts w:ascii="Cambria Math" w:eastAsia="Times New Roman" w:hAnsi="Cambria Math" w:cs="Times New Roman"/>
                    <w:i/>
                  </w:rPr>
                </m:ctrlPr>
              </m:e>
            </m:nary>
            <m:ctrlPr>
              <w:rPr>
                <w:rFonts w:ascii="Cambria Math" w:eastAsia="Times New Roman" w:hAnsi="Cambria Math" w:cs="Times New Roman"/>
                <w:i/>
              </w:rPr>
            </m:ctrlPr>
          </m:e>
        </m:nary>
        <m:r>
          <m:rPr>
            <m:sty m:val="p"/>
          </m:rPr>
          <w:rPr>
            <w:rFonts w:ascii="Cambria Math" w:eastAsia="Times New Roman" w:hAnsi="Cambria Math" w:cs="Times New Roman"/>
          </w:rPr>
          <m:t>⋅</m:t>
        </m:r>
        <m:r>
          <w:rPr>
            <w:rFonts w:ascii="Cambria Math" w:eastAsia="Times New Roman" w:hAnsi="Cambria Math" w:cs="Times New Roman"/>
          </w:rPr>
          <m:t>K</m:t>
        </m:r>
        <m:d>
          <m:dPr>
            <m:ctrlPr>
              <w:rPr>
                <w:rFonts w:ascii="Cambria Math" w:eastAsia="Times New Roman" w:hAnsi="Cambria Math" w:cs="Times New Roman"/>
                <w:i/>
              </w:rPr>
            </m:ctrlPr>
          </m:dPr>
          <m:e>
            <m:r>
              <w:rPr>
                <w:rFonts w:ascii="Cambria Math" w:eastAsia="Times New Roman" w:hAnsi="Cambria Math" w:cs="Times New Roman"/>
              </w:rPr>
              <m:t>i,j</m:t>
            </m:r>
          </m:e>
        </m:d>
      </m:oMath>
      <w:r w:rsidR="00452207" w:rsidRPr="00A240EA">
        <w:rPr>
          <w:rFonts w:eastAsia="Times New Roman" w:cs="Times New Roman"/>
        </w:rPr>
        <w:tab/>
      </w:r>
      <w:r w:rsidR="00452207" w:rsidRPr="00A240EA">
        <w:rPr>
          <w:rFonts w:eastAsia="Times New Roman" w:cs="Times New Roman"/>
        </w:rPr>
        <w:tab/>
        <w:t>(S6)</w:t>
      </w:r>
    </w:p>
    <w:p w14:paraId="27BE9FDF" w14:textId="21C084F4" w:rsidR="00452207" w:rsidRPr="00A240EA" w:rsidRDefault="00452207" w:rsidP="00452207">
      <w:pPr>
        <w:rPr>
          <w:rFonts w:eastAsia="Times New Roman" w:cs="Times New Roman"/>
        </w:rPr>
      </w:pPr>
      <w:r w:rsidRPr="00A240EA">
        <w:rPr>
          <w:rFonts w:eastAsia="Times New Roman" w:cs="Times New Roman"/>
        </w:rPr>
        <w:t xml:space="preserve">where </w:t>
      </w:r>
      <m:oMath>
        <m:sSup>
          <m:sSupPr>
            <m:ctrlPr>
              <w:rPr>
                <w:rFonts w:ascii="Cambria Math" w:eastAsia="Times New Roman" w:hAnsi="Cambria Math" w:cs="Times New Roman"/>
                <w:i/>
              </w:rPr>
            </m:ctrlPr>
          </m:sSupPr>
          <m:e>
            <m:r>
              <w:rPr>
                <w:rFonts w:ascii="Cambria Math" w:eastAsia="Times New Roman" w:hAnsi="Cambria Math" w:cs="Times New Roman"/>
              </w:rPr>
              <m:t>I</m:t>
            </m:r>
          </m:e>
          <m:sup>
            <m:r>
              <w:rPr>
                <w:rFonts w:ascii="Cambria Math" w:eastAsia="Times New Roman" w:hAnsi="Cambria Math" w:cs="Times New Roman"/>
              </w:rPr>
              <m:t>'</m:t>
            </m:r>
          </m:sup>
        </m:sSup>
        <m:d>
          <m:dPr>
            <m:ctrlPr>
              <w:rPr>
                <w:rFonts w:ascii="Cambria Math" w:eastAsia="Times New Roman" w:hAnsi="Cambria Math" w:cs="Times New Roman"/>
                <w:i/>
              </w:rPr>
            </m:ctrlPr>
          </m:dPr>
          <m:e>
            <m:r>
              <w:rPr>
                <w:rFonts w:ascii="Cambria Math" w:eastAsia="Times New Roman" w:hAnsi="Cambria Math" w:cs="Times New Roman"/>
              </w:rPr>
              <m:t>x,y</m:t>
            </m:r>
          </m:e>
        </m:d>
      </m:oMath>
      <w:r w:rsidRPr="00A240EA">
        <w:rPr>
          <w:rFonts w:eastAsia="Times New Roman" w:cs="Times New Roman"/>
        </w:rPr>
        <w:t xml:space="preserve"> is the transformed pixel value, </w:t>
      </w:r>
      <m:oMath>
        <m:d>
          <m:dPr>
            <m:ctrlPr>
              <w:rPr>
                <w:rFonts w:ascii="Cambria Math" w:eastAsia="Times New Roman" w:hAnsi="Cambria Math" w:cs="Times New Roman"/>
                <w:i/>
              </w:rPr>
            </m:ctrlPr>
          </m:dPr>
          <m:e>
            <m:r>
              <w:rPr>
                <w:rFonts w:ascii="Cambria Math" w:eastAsia="Times New Roman" w:hAnsi="Cambria Math" w:cs="Times New Roman"/>
              </w:rPr>
              <m:t>x-i,y-j</m:t>
            </m:r>
          </m:e>
        </m:d>
      </m:oMath>
      <w:r w:rsidRPr="00A240EA">
        <w:rPr>
          <w:rFonts w:eastAsia="Times New Roman" w:cs="Times New Roman"/>
        </w:rPr>
        <w:t xml:space="preserve"> are the original pixel values of the image, and </w:t>
      </w:r>
      <m:oMath>
        <m:r>
          <w:rPr>
            <w:rFonts w:ascii="Cambria Math" w:eastAsia="Times New Roman" w:hAnsi="Cambria Math" w:cs="Times New Roman"/>
          </w:rPr>
          <m:t>K</m:t>
        </m:r>
        <m:d>
          <m:dPr>
            <m:ctrlPr>
              <w:rPr>
                <w:rFonts w:ascii="Cambria Math" w:eastAsia="Times New Roman" w:hAnsi="Cambria Math" w:cs="Times New Roman"/>
                <w:i/>
              </w:rPr>
            </m:ctrlPr>
          </m:dPr>
          <m:e>
            <m:r>
              <w:rPr>
                <w:rFonts w:ascii="Cambria Math" w:eastAsia="Times New Roman" w:hAnsi="Cambria Math" w:cs="Times New Roman"/>
              </w:rPr>
              <m:t>i,j</m:t>
            </m:r>
          </m:e>
        </m:d>
      </m:oMath>
      <w:r w:rsidRPr="00A240EA">
        <w:rPr>
          <w:rFonts w:eastAsia="Times New Roman" w:cs="Times New Roman"/>
        </w:rPr>
        <w:t xml:space="preserve"> are the coefficients of the kernel matrix. The kernel is a small matrix used to apply certain effects such as blurring or sharpening. The size of the kernel affects the extent of the convolution, with larger kernels producing more pronounced effects. In practice, the kernel is slid over the image, and at each location, the sum of the product of the kernel coefficients with the corresponding image pixel values is computed. This sum then replaces the value of the central pixel of the output image at the current location.</w:t>
      </w:r>
    </w:p>
    <w:p w14:paraId="68D7D8EB" w14:textId="0FBF1B51" w:rsidR="00452207" w:rsidRPr="00A240EA" w:rsidRDefault="00452207" w:rsidP="00452207">
      <w:pPr>
        <w:rPr>
          <w:b/>
          <w:bCs/>
          <w:noProof/>
        </w:rPr>
      </w:pPr>
      <w:r w:rsidRPr="00A240EA">
        <w:rPr>
          <w:b/>
          <w:bCs/>
          <w:noProof/>
        </w:rPr>
        <w:t>Laplacian filtering</w:t>
      </w:r>
    </w:p>
    <w:p w14:paraId="031D0814" w14:textId="751E4B35" w:rsidR="00452207" w:rsidRPr="00A240EA" w:rsidRDefault="00452207" w:rsidP="00452207">
      <w:pPr>
        <w:rPr>
          <w:rFonts w:cs="Times New Roman"/>
          <w:szCs w:val="24"/>
        </w:rPr>
      </w:pPr>
      <w:r w:rsidRPr="00A240EA">
        <w:rPr>
          <w:rFonts w:cs="Times New Roman"/>
          <w:szCs w:val="24"/>
        </w:rPr>
        <w:t>This method utilizes a second-order derivative operator for edge detection in image processing</w:t>
      </w:r>
      <w:r w:rsidR="00B86EBE" w:rsidRPr="00A240EA">
        <w:rPr>
          <w:rFonts w:cs="Times New Roman"/>
          <w:szCs w:val="24"/>
        </w:rPr>
        <w:fldChar w:fldCharType="begin"/>
      </w:r>
      <w:r w:rsidR="007D1D7D" w:rsidRPr="00A240EA">
        <w:rPr>
          <w:rFonts w:cs="Times New Roman"/>
          <w:szCs w:val="24"/>
        </w:rPr>
        <w:instrText xml:space="preserve"> ADDIN EN.CITE &lt;EndNote&gt;&lt;Cite&gt;&lt;Author&gt;Marr&lt;/Author&gt;&lt;Year&gt;1980&lt;/Year&gt;&lt;RecNum&gt;219&lt;/RecNum&gt;&lt;DisplayText&gt;&lt;style face="superscript"&gt;5&lt;/style&gt;&lt;/DisplayText&gt;&lt;record&gt;&lt;rec-number&gt;219&lt;/rec-number&gt;&lt;foreign-keys&gt;&lt;key app="EN" db-id="t0vpswfv59fp5gefxd2v9pau50pwewe9rxdz" timestamp="1700833119"&gt;219&lt;/key&gt;&lt;/foreign-keys&gt;&lt;ref-type name="Journal Article"&gt;17&lt;/ref-type&gt;&lt;contributors&gt;&lt;authors&gt;&lt;author&gt;Marr, D.&lt;/author&gt;&lt;author&gt;Hildreth, E.&lt;/author&gt;&lt;author&gt;Brenner, Sydney&lt;/author&gt;&lt;/authors&gt;&lt;/contributors&gt;&lt;titles&gt;&lt;title&gt;Theory of edge detection&lt;/title&gt;&lt;secondary-title&gt;Proceedings of the Royal Society of London. Series B. Biological Sciences&lt;/secondary-title&gt;&lt;/titles&gt;&lt;periodical&gt;&lt;full-title&gt;Proceedings of the Royal Society of London. Series B. Biological Sciences&lt;/full-title&gt;&lt;/periodical&gt;&lt;pages&gt;187-217&lt;/pages&gt;&lt;volume&gt;207&lt;/volume&gt;&lt;number&gt;1167&lt;/number&gt;&lt;dates&gt;&lt;year&gt;1980&lt;/year&gt;&lt;/dates&gt;&lt;urls&gt;&lt;related-urls&gt;&lt;url&gt;https://royalsocietypublishing.org/doi/abs/10.1098/rspb.1980.0020&lt;/url&gt;&lt;/related-urls&gt;&lt;/urls&gt;&lt;electronic-resource-num&gt;doi:10.1098/rspb.1980.0020&lt;/electronic-resource-num&gt;&lt;/record&gt;&lt;/Cite&gt;&lt;/EndNote&gt;</w:instrText>
      </w:r>
      <w:r w:rsidR="00B86EBE" w:rsidRPr="00A240EA">
        <w:rPr>
          <w:rFonts w:cs="Times New Roman"/>
          <w:szCs w:val="24"/>
        </w:rPr>
        <w:fldChar w:fldCharType="separate"/>
      </w:r>
      <w:r w:rsidR="007D1D7D" w:rsidRPr="00A240EA">
        <w:rPr>
          <w:rFonts w:cs="Times New Roman"/>
          <w:noProof/>
          <w:szCs w:val="24"/>
          <w:vertAlign w:val="superscript"/>
        </w:rPr>
        <w:t>5</w:t>
      </w:r>
      <w:r w:rsidR="00B86EBE" w:rsidRPr="00A240EA">
        <w:rPr>
          <w:rFonts w:cs="Times New Roman"/>
          <w:szCs w:val="24"/>
        </w:rPr>
        <w:fldChar w:fldCharType="end"/>
      </w:r>
      <w:r w:rsidR="00412C3C" w:rsidRPr="00A240EA">
        <w:rPr>
          <w:rFonts w:cs="Times New Roman"/>
          <w:szCs w:val="24"/>
        </w:rPr>
        <w:t xml:space="preserve"> </w:t>
      </w:r>
      <w:r w:rsidRPr="00A240EA">
        <w:rPr>
          <w:rFonts w:cs="Times New Roman"/>
          <w:szCs w:val="24"/>
        </w:rPr>
        <w:t>. The operation applies a Gaussian smoothing to reduce noise followed by the Laplacian filter. It operates by approximating the Laplace of Gaussian (</w:t>
      </w:r>
      <w:proofErr w:type="spellStart"/>
      <w:r w:rsidRPr="00A240EA">
        <w:rPr>
          <w:rFonts w:cs="Times New Roman"/>
          <w:szCs w:val="24"/>
        </w:rPr>
        <w:t>LoG</w:t>
      </w:r>
      <w:proofErr w:type="spellEnd"/>
      <w:r w:rsidRPr="00A240EA">
        <w:rPr>
          <w:rFonts w:cs="Times New Roman"/>
          <w:szCs w:val="24"/>
        </w:rPr>
        <w:t xml:space="preserve">), which measures how the intensity rate of images change at each pixel location. The mathematical representation of the Laplacian operator is given by the sum of the second derivatives of the image intensity </w:t>
      </w:r>
      <w:r w:rsidRPr="00A240EA">
        <w:rPr>
          <w:rFonts w:cs="Times New Roman"/>
          <w:i/>
          <w:iCs/>
          <w:szCs w:val="24"/>
        </w:rPr>
        <w:t>I</w:t>
      </w:r>
      <w:r w:rsidRPr="00A240EA">
        <w:rPr>
          <w:rFonts w:cs="Times New Roman"/>
          <w:szCs w:val="24"/>
        </w:rPr>
        <w:t xml:space="preserve"> with respect to the spatial coordinates x and y:</w:t>
      </w:r>
    </w:p>
    <w:p w14:paraId="74C7B9BC" w14:textId="788654DA" w:rsidR="00452207" w:rsidRPr="00A240EA" w:rsidRDefault="00452207" w:rsidP="00452207">
      <w:pPr>
        <w:pStyle w:val="ListParagraph"/>
        <w:spacing w:before="100" w:beforeAutospacing="1" w:after="100" w:afterAutospacing="1" w:line="240" w:lineRule="auto"/>
        <w:ind w:left="1800"/>
        <w:jc w:val="center"/>
        <w:rPr>
          <w:rFonts w:eastAsia="Times New Roman" w:cs="Times New Roman"/>
        </w:rPr>
      </w:pPr>
      <w:bookmarkStart w:id="12" w:name="_Hlk151387852"/>
      <m:oMath>
        <m:r>
          <w:rPr>
            <w:rFonts w:ascii="Cambria Math" w:eastAsia="Times New Roman" w:hAnsi="Cambria Math" w:cs="Times New Roman"/>
          </w:rPr>
          <m:t>L</m:t>
        </m:r>
        <m:d>
          <m:dPr>
            <m:ctrlPr>
              <w:rPr>
                <w:rFonts w:ascii="Cambria Math" w:eastAsia="Times New Roman" w:hAnsi="Cambria Math" w:cs="Times New Roman"/>
                <w:i/>
              </w:rPr>
            </m:ctrlPr>
          </m:dPr>
          <m:e>
            <m:r>
              <w:rPr>
                <w:rFonts w:ascii="Cambria Math" w:eastAsia="Times New Roman" w:hAnsi="Cambria Math" w:cs="Times New Roman"/>
              </w:rPr>
              <m:t>x,y</m:t>
            </m:r>
          </m:e>
        </m:d>
        <m:r>
          <w:rPr>
            <w:rFonts w:ascii="Cambria Math" w:eastAsia="Times New Roman" w:hAnsi="Cambria Math" w:cs="Times New Roman"/>
          </w:rPr>
          <m:t>=</m:t>
        </m:r>
        <m:f>
          <m:fPr>
            <m:ctrlPr>
              <w:rPr>
                <w:rFonts w:ascii="Cambria Math" w:eastAsia="Times New Roman" w:hAnsi="Cambria Math" w:cs="Times New Roman"/>
              </w:rPr>
            </m:ctrlPr>
          </m:fPr>
          <m:num>
            <m:sSup>
              <m:sSupPr>
                <m:ctrlPr>
                  <w:rPr>
                    <w:rFonts w:ascii="Cambria Math" w:eastAsia="Times New Roman" w:hAnsi="Cambria Math" w:cs="Times New Roman"/>
                    <w:i/>
                  </w:rPr>
                </m:ctrlPr>
              </m:sSupPr>
              <m:e>
                <m:r>
                  <m:rPr>
                    <m:sty m:val="p"/>
                  </m:rPr>
                  <w:rPr>
                    <w:rFonts w:ascii="Cambria Math" w:eastAsia="Times New Roman" w:hAnsi="Cambria Math" w:cs="Times New Roman"/>
                  </w:rPr>
                  <m:t>∂</m:t>
                </m:r>
              </m:e>
              <m:sup>
                <m:r>
                  <w:rPr>
                    <w:rFonts w:ascii="Cambria Math" w:eastAsia="Times New Roman" w:hAnsi="Cambria Math" w:cs="Times New Roman"/>
                  </w:rPr>
                  <m:t>2</m:t>
                </m:r>
              </m:sup>
            </m:sSup>
            <m:r>
              <w:rPr>
                <w:rFonts w:ascii="Cambria Math" w:eastAsia="Times New Roman" w:hAnsi="Cambria Math" w:cs="Times New Roman"/>
              </w:rPr>
              <m:t>I</m:t>
            </m:r>
            <m:ctrlPr>
              <w:rPr>
                <w:rFonts w:ascii="Cambria Math" w:eastAsia="Times New Roman" w:hAnsi="Cambria Math" w:cs="Times New Roman"/>
                <w:i/>
              </w:rPr>
            </m:ctrlPr>
          </m:num>
          <m:den>
            <m:r>
              <m:rPr>
                <m:sty m:val="p"/>
              </m:rP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x</m:t>
                </m:r>
              </m:e>
              <m:sup>
                <m:r>
                  <w:rPr>
                    <w:rFonts w:ascii="Cambria Math" w:eastAsia="Times New Roman" w:hAnsi="Cambria Math" w:cs="Times New Roman"/>
                  </w:rPr>
                  <m:t>2</m:t>
                </m:r>
              </m:sup>
            </m:sSup>
            <m:ctrlPr>
              <w:rPr>
                <w:rFonts w:ascii="Cambria Math" w:eastAsia="Times New Roman" w:hAnsi="Cambria Math" w:cs="Times New Roman"/>
                <w:i/>
              </w:rPr>
            </m:ctrlPr>
          </m:den>
        </m:f>
        <m:r>
          <w:rPr>
            <w:rFonts w:ascii="Cambria Math" w:eastAsia="Times New Roman" w:hAnsi="Cambria Math" w:cs="Times New Roman"/>
          </w:rPr>
          <m:t>+</m:t>
        </m:r>
        <m:f>
          <m:fPr>
            <m:ctrlPr>
              <w:rPr>
                <w:rFonts w:ascii="Cambria Math" w:eastAsia="Times New Roman" w:hAnsi="Cambria Math" w:cs="Times New Roman"/>
              </w:rPr>
            </m:ctrlPr>
          </m:fPr>
          <m:num>
            <m:sSup>
              <m:sSupPr>
                <m:ctrlPr>
                  <w:rPr>
                    <w:rFonts w:ascii="Cambria Math" w:eastAsia="Times New Roman" w:hAnsi="Cambria Math" w:cs="Times New Roman"/>
                    <w:i/>
                  </w:rPr>
                </m:ctrlPr>
              </m:sSupPr>
              <m:e>
                <m:r>
                  <m:rPr>
                    <m:sty m:val="p"/>
                  </m:rPr>
                  <w:rPr>
                    <w:rFonts w:ascii="Cambria Math" w:eastAsia="Times New Roman" w:hAnsi="Cambria Math" w:cs="Times New Roman"/>
                  </w:rPr>
                  <m:t>∂</m:t>
                </m:r>
              </m:e>
              <m:sup>
                <m:r>
                  <w:rPr>
                    <w:rFonts w:ascii="Cambria Math" w:eastAsia="Times New Roman" w:hAnsi="Cambria Math" w:cs="Times New Roman"/>
                  </w:rPr>
                  <m:t>2</m:t>
                </m:r>
              </m:sup>
            </m:sSup>
            <m:r>
              <w:rPr>
                <w:rFonts w:ascii="Cambria Math" w:eastAsia="Times New Roman" w:hAnsi="Cambria Math" w:cs="Times New Roman"/>
              </w:rPr>
              <m:t>I</m:t>
            </m:r>
            <m:ctrlPr>
              <w:rPr>
                <w:rFonts w:ascii="Cambria Math" w:eastAsia="Times New Roman" w:hAnsi="Cambria Math" w:cs="Times New Roman"/>
                <w:i/>
              </w:rPr>
            </m:ctrlPr>
          </m:num>
          <m:den>
            <m:r>
              <m:rPr>
                <m:sty m:val="p"/>
              </m:rP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y</m:t>
                </m:r>
              </m:e>
              <m:sup>
                <m:r>
                  <w:rPr>
                    <w:rFonts w:ascii="Cambria Math" w:eastAsia="Times New Roman" w:hAnsi="Cambria Math" w:cs="Times New Roman"/>
                  </w:rPr>
                  <m:t>2</m:t>
                </m:r>
              </m:sup>
            </m:sSup>
            <m:ctrlPr>
              <w:rPr>
                <w:rFonts w:ascii="Cambria Math" w:eastAsia="Times New Roman" w:hAnsi="Cambria Math" w:cs="Times New Roman"/>
                <w:i/>
              </w:rPr>
            </m:ctrlPr>
          </m:den>
        </m:f>
      </m:oMath>
      <w:r w:rsidRPr="00A240EA">
        <w:rPr>
          <w:rFonts w:eastAsia="Times New Roman" w:cs="Times New Roman"/>
        </w:rPr>
        <w:tab/>
      </w:r>
      <w:r w:rsidRPr="00A240EA">
        <w:rPr>
          <w:rFonts w:eastAsia="Times New Roman" w:cs="Times New Roman"/>
        </w:rPr>
        <w:tab/>
        <w:t>(S7)</w:t>
      </w:r>
    </w:p>
    <w:bookmarkEnd w:id="12"/>
    <w:p w14:paraId="5A59B112" w14:textId="77777777" w:rsidR="00452207" w:rsidRPr="00A240EA" w:rsidRDefault="00452207" w:rsidP="00913E05">
      <w:pPr>
        <w:jc w:val="center"/>
        <w:rPr>
          <w:rFonts w:cs="Times New Roman"/>
          <w:b/>
          <w:bCs/>
          <w:szCs w:val="24"/>
        </w:rPr>
      </w:pPr>
    </w:p>
    <w:p w14:paraId="06B64BDD" w14:textId="77777777" w:rsidR="00232ACF" w:rsidRPr="00A240EA" w:rsidRDefault="00232ACF">
      <w:pPr>
        <w:spacing w:before="0" w:after="160"/>
        <w:jc w:val="left"/>
        <w:rPr>
          <w:rFonts w:eastAsiaTheme="majorEastAsia" w:cstheme="majorBidi"/>
          <w:b/>
          <w:szCs w:val="26"/>
        </w:rPr>
      </w:pPr>
      <w:r w:rsidRPr="00A240EA">
        <w:br w:type="page"/>
      </w:r>
    </w:p>
    <w:p w14:paraId="007FB8D4" w14:textId="6CE6F674" w:rsidR="00673320" w:rsidRPr="00A240EA" w:rsidRDefault="00673320" w:rsidP="00673320">
      <w:pPr>
        <w:pStyle w:val="Heading2"/>
        <w:rPr>
          <w:color w:val="auto"/>
        </w:rPr>
      </w:pPr>
      <w:bookmarkStart w:id="13" w:name="_Hlk163214473"/>
      <w:r w:rsidRPr="00A240EA">
        <w:rPr>
          <w:color w:val="auto"/>
        </w:rPr>
        <w:lastRenderedPageBreak/>
        <w:t xml:space="preserve">Supplementary Note </w:t>
      </w:r>
      <w:r w:rsidR="00D40A9B" w:rsidRPr="00A240EA">
        <w:rPr>
          <w:color w:val="auto"/>
        </w:rPr>
        <w:t>4</w:t>
      </w:r>
    </w:p>
    <w:p w14:paraId="397DD697" w14:textId="5A1DB681" w:rsidR="003C47EF" w:rsidRPr="00A240EA" w:rsidRDefault="002B094C" w:rsidP="008C7C2A">
      <w:pPr>
        <w:rPr>
          <w:bCs/>
        </w:rPr>
      </w:pPr>
      <w:r w:rsidRPr="00A240EA">
        <w:rPr>
          <w:b/>
          <w:bCs/>
        </w:rPr>
        <w:t>Raman spectra of BaSO</w:t>
      </w:r>
      <w:r w:rsidRPr="00A240EA">
        <w:rPr>
          <w:b/>
          <w:bCs/>
          <w:vertAlign w:val="subscript"/>
        </w:rPr>
        <w:t>4</w:t>
      </w:r>
      <w:r w:rsidRPr="00A240EA">
        <w:rPr>
          <w:b/>
          <w:bCs/>
        </w:rPr>
        <w:t>, RaSO</w:t>
      </w:r>
      <w:r w:rsidRPr="00A240EA">
        <w:rPr>
          <w:b/>
          <w:bCs/>
          <w:vertAlign w:val="subscript"/>
        </w:rPr>
        <w:t>4</w:t>
      </w:r>
      <w:r w:rsidRPr="00A240EA">
        <w:rPr>
          <w:b/>
          <w:bCs/>
        </w:rPr>
        <w:t xml:space="preserve"> and SrSO</w:t>
      </w:r>
      <w:r w:rsidRPr="00A240EA">
        <w:rPr>
          <w:b/>
          <w:bCs/>
          <w:vertAlign w:val="subscript"/>
        </w:rPr>
        <w:t>4</w:t>
      </w:r>
    </w:p>
    <w:bookmarkEnd w:id="13"/>
    <w:p w14:paraId="3B7D579A" w14:textId="48C5E5C7" w:rsidR="002B094C" w:rsidRPr="00A240EA" w:rsidRDefault="006742AE" w:rsidP="002B094C">
      <w:r w:rsidRPr="00A240EA">
        <w:t>The synthetic Raman spectra of BaSO</w:t>
      </w:r>
      <w:r w:rsidRPr="00A240EA">
        <w:rPr>
          <w:vertAlign w:val="subscript"/>
        </w:rPr>
        <w:t>4</w:t>
      </w:r>
      <w:r w:rsidRPr="00A240EA">
        <w:t>, RaSO</w:t>
      </w:r>
      <w:r w:rsidRPr="00A240EA">
        <w:rPr>
          <w:vertAlign w:val="subscript"/>
        </w:rPr>
        <w:t>4</w:t>
      </w:r>
      <w:r w:rsidRPr="00A240EA">
        <w:t xml:space="preserve"> and SrSO</w:t>
      </w:r>
      <w:r w:rsidRPr="00A240EA">
        <w:rPr>
          <w:vertAlign w:val="subscript"/>
        </w:rPr>
        <w:t>4</w:t>
      </w:r>
      <w:r w:rsidRPr="00A240EA">
        <w:t xml:space="preserve"> compounds were computed with the plane-wave Qua</w:t>
      </w:r>
      <w:r w:rsidR="004C48AB" w:rsidRPr="00A240EA">
        <w:t>n</w:t>
      </w:r>
      <w:r w:rsidRPr="00A240EA">
        <w:t>tum-ESPRESSO package, using density functional perturbation theory as implemented in P</w:t>
      </w:r>
      <w:r w:rsidR="00B729B9" w:rsidRPr="00A240EA">
        <w:t>h</w:t>
      </w:r>
      <w:r w:rsidRPr="00A240EA">
        <w:t>onon</w:t>
      </w:r>
      <w:r w:rsidR="00B729B9" w:rsidRPr="00A240EA">
        <w:t xml:space="preserve"> </w:t>
      </w:r>
      <w:r w:rsidRPr="00A240EA">
        <w:t>tool</w:t>
      </w:r>
      <w:r w:rsidR="006431B8" w:rsidRPr="00A240EA">
        <w:fldChar w:fldCharType="begin">
          <w:fldData xml:space="preserve">PEVuZE5vdGU+PENpdGU+PEF1dGhvcj5HaWFubm96emk8L0F1dGhvcj48WWVhcj4yMDA5PC9ZZWFy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</w:fldData>
        </w:fldChar>
      </w:r>
      <w:r w:rsidR="007D1D7D" w:rsidRPr="00A240EA">
        <w:instrText xml:space="preserve"> ADDIN EN.CITE </w:instrText>
      </w:r>
      <w:r w:rsidR="007D1D7D" w:rsidRPr="00A240EA">
        <w:fldChar w:fldCharType="begin">
          <w:fldData xml:space="preserve">PEVuZE5vdGU+PENpdGU+PEF1dGhvcj5HaWFubm96emk8L0F1dGhvcj48WWVhcj4yMDA5PC9ZZWFy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</w:fldData>
        </w:fldChar>
      </w:r>
      <w:r w:rsidR="007D1D7D" w:rsidRPr="00A240EA">
        <w:instrText xml:space="preserve"> ADDIN EN.CITE.DATA </w:instrText>
      </w:r>
      <w:r w:rsidR="007D1D7D" w:rsidRPr="00A240EA">
        <w:fldChar w:fldCharType="end"/>
      </w:r>
      <w:r w:rsidR="006431B8" w:rsidRPr="00A240EA">
        <w:fldChar w:fldCharType="separate"/>
      </w:r>
      <w:r w:rsidR="007D1D7D" w:rsidRPr="00A240EA">
        <w:rPr>
          <w:noProof/>
          <w:vertAlign w:val="superscript"/>
        </w:rPr>
        <w:t>6</w:t>
      </w:r>
      <w:r w:rsidR="006431B8" w:rsidRPr="00A240EA">
        <w:fldChar w:fldCharType="end"/>
      </w:r>
      <w:r w:rsidR="002B094C" w:rsidRPr="00A240EA">
        <w:t>. We applied the norm-conserving p</w:t>
      </w:r>
      <w:r w:rsidRPr="00A240EA">
        <w:t>seudo</w:t>
      </w:r>
      <w:r w:rsidR="002B094C" w:rsidRPr="00A240EA">
        <w:t>potential, the kinetic energy cutoff of 200 Ry and the LDA</w:t>
      </w:r>
      <w:r w:rsidR="00B729B9" w:rsidRPr="00A240EA">
        <w:t>(for Raman intensities)</w:t>
      </w:r>
      <w:r w:rsidR="002B094C" w:rsidRPr="00A240EA">
        <w:t xml:space="preserve"> and </w:t>
      </w:r>
      <w:proofErr w:type="spellStart"/>
      <w:r w:rsidR="002B094C" w:rsidRPr="00A240EA">
        <w:t>PBEsol</w:t>
      </w:r>
      <w:proofErr w:type="spellEnd"/>
      <w:r w:rsidR="00B729B9" w:rsidRPr="00A240EA">
        <w:t xml:space="preserve"> (for vibrational frequencies)</w:t>
      </w:r>
      <w:r w:rsidR="002B094C" w:rsidRPr="00A240EA">
        <w:t xml:space="preserve"> exchange-correlation functionals</w:t>
      </w:r>
      <w:r w:rsidR="006431B8" w:rsidRPr="00A240EA">
        <w:fldChar w:fldCharType="begin"/>
      </w:r>
      <w:r w:rsidR="007D1D7D" w:rsidRPr="00A240EA">
        <w:instrText xml:space="preserve"> ADDIN EN.CITE &lt;EndNote&gt;&lt;Cite&gt;&lt;Author&gt;Perdew&lt;/Author&gt;&lt;Year&gt;2008&lt;/Year&gt;&lt;RecNum&gt;189&lt;/RecNum&gt;&lt;DisplayText&gt;&lt;style face="superscript"&gt;7&lt;/style&gt;&lt;/DisplayText&gt;&lt;record&gt;&lt;rec-number&gt;189&lt;/rec-number&gt;&lt;foreign-keys&gt;&lt;key app="EN" db-id="t0vpswfv59fp5gefxd2v9pau50pwewe9rxdz" timestamp="1700432687"&gt;189&lt;/key&gt;&lt;/foreign-keys&gt;&lt;ref-type name="Journal Article"&gt;17&lt;/ref-type&gt;&lt;contributors&gt;&lt;authors&gt;&lt;author&gt;Perdew, John P.&lt;/author&gt;&lt;author&gt;Ruzsinszky, Adrienn&lt;/author&gt;&lt;author&gt;Csonka, Gábor I.&lt;/author&gt;&lt;author&gt;Vydrov, Oleg A.&lt;/author&gt;&lt;author&gt;Scuseria, Gustavo E.&lt;/author&gt;&lt;author&gt;Constantin, Lucian A.&lt;/author&gt;&lt;author&gt;Zhou, Xiaolan&lt;/author&gt;&lt;author&gt;Burke, Kieron&lt;/author&gt;&lt;/authors&gt;&lt;/contributors&gt;&lt;titles&gt;&lt;title&gt;Restoring the Density-Gradient Expansion for Exchange in Solids and Surfaces&lt;/title&gt;&lt;secondary-title&gt;Physical Review Letters&lt;/secondary-title&gt;&lt;/titles&gt;&lt;periodical&gt;&lt;full-title&gt;Physical Review Letters&lt;/full-title&gt;&lt;abbr-1&gt;Phys. Rev. Lett.&lt;/abbr-1&gt;&lt;/periodical&gt;&lt;pages&gt;136406&lt;/pages&gt;&lt;volume&gt;100&lt;/volume&gt;&lt;number&gt;13&lt;/number&gt;&lt;dates&gt;&lt;year&gt;2008&lt;/year&gt;&lt;pub-dates&gt;&lt;date&gt;04/04/&lt;/date&gt;&lt;/pub-dates&gt;&lt;/dates&gt;&lt;publisher&gt;American Physical Society&lt;/publisher&gt;&lt;urls&gt;&lt;related-urls&gt;&lt;url&gt;https://link.aps.org/doi/10.1103/PhysRevLett.100.136406&lt;/url&gt;&lt;/related-urls&gt;&lt;/urls&gt;&lt;electronic-resource-num&gt;10.1103/PhysRevLett.100.136406&lt;/electronic-resource-num&gt;&lt;/record&gt;&lt;/Cite&gt;&lt;/EndNote&gt;</w:instrText>
      </w:r>
      <w:r w:rsidR="006431B8" w:rsidRPr="00A240EA">
        <w:fldChar w:fldCharType="separate"/>
      </w:r>
      <w:r w:rsidR="007D1D7D" w:rsidRPr="00A240EA">
        <w:rPr>
          <w:noProof/>
          <w:vertAlign w:val="superscript"/>
        </w:rPr>
        <w:t>7</w:t>
      </w:r>
      <w:r w:rsidR="006431B8" w:rsidRPr="00A240EA">
        <w:fldChar w:fldCharType="end"/>
      </w:r>
      <w:r w:rsidR="002B094C" w:rsidRPr="00A240EA">
        <w:t xml:space="preserve">. The compounds were modeled with four formula units supercells that contained 24 atoms and 2x2x2 </w:t>
      </w:r>
      <w:proofErr w:type="spellStart"/>
      <w:r w:rsidR="002B094C" w:rsidRPr="00A240EA">
        <w:t>Monkhorst</w:t>
      </w:r>
      <w:proofErr w:type="spellEnd"/>
      <w:r w:rsidR="002B094C" w:rsidRPr="00A240EA">
        <w:t>–Pack k-point</w:t>
      </w:r>
      <w:r w:rsidR="00B729B9" w:rsidRPr="00A240EA">
        <w:t>s</w:t>
      </w:r>
      <w:r w:rsidR="002B094C" w:rsidRPr="00A240EA">
        <w:t xml:space="preserve"> grid for sampling of Brillouin zone</w:t>
      </w:r>
      <w:r w:rsidR="006431B8" w:rsidRPr="00A240EA">
        <w:fldChar w:fldCharType="begin"/>
      </w:r>
      <w:r w:rsidR="007D1D7D" w:rsidRPr="00A240EA">
        <w:instrText xml:space="preserve"> ADDIN EN.CITE &lt;EndNote&gt;&lt;Cite&gt;&lt;Author&gt;Monkhorst&lt;/Author&gt;&lt;Year&gt;1976&lt;/Year&gt;&lt;RecNum&gt;190&lt;/RecNum&gt;&lt;DisplayText&gt;&lt;style face="superscript"&gt;8&lt;/style&gt;&lt;/DisplayText&gt;&lt;record&gt;&lt;rec-number&gt;190&lt;/rec-number&gt;&lt;foreign-keys&gt;&lt;key app="EN" db-id="t0vpswfv59fp5gefxd2v9pau50pwewe9rxdz" timestamp="1700432791"&gt;190&lt;/key&gt;&lt;/foreign-keys&gt;&lt;ref-type name="Journal Article"&gt;17&lt;/ref-type&gt;&lt;contributors&gt;&lt;authors&gt;&lt;author&gt;Monkhorst, Hendrik J.&lt;/author&gt;&lt;author&gt;Pack, James D.&lt;/author&gt;&lt;/authors&gt;&lt;/contributors&gt;&lt;titles&gt;&lt;title&gt;Special points for Brillouin-zone integrations&lt;/title&gt;&lt;secondary-title&gt;Physical Review B&lt;/secondary-title&gt;&lt;/titles&gt;&lt;periodical&gt;&lt;full-title&gt;Physical Review B&lt;/full-title&gt;&lt;abbr-1&gt;Phys. Rev. B&lt;/abbr-1&gt;&lt;/periodical&gt;&lt;pages&gt;5188-5192&lt;/pages&gt;&lt;volume&gt;13&lt;/volume&gt;&lt;number&gt;12&lt;/number&gt;&lt;dates&gt;&lt;year&gt;1976&lt;/year&gt;&lt;pub-dates&gt;&lt;date&gt;06/15/&lt;/date&gt;&lt;/pub-dates&gt;&lt;/dates&gt;&lt;publisher&gt;American Physical Society&lt;/publisher&gt;&lt;urls&gt;&lt;related-urls&gt;&lt;url&gt;https://link.aps.org/doi/10.1103/PhysRevB.13.5188&lt;/url&gt;&lt;/related-urls&gt;&lt;/urls&gt;&lt;electronic-resource-num&gt;10.1103/PhysRevB.13.5188&lt;/electronic-resource-num&gt;&lt;/record&gt;&lt;/Cite&gt;&lt;/EndNote&gt;</w:instrText>
      </w:r>
      <w:r w:rsidR="006431B8" w:rsidRPr="00A240EA">
        <w:fldChar w:fldCharType="separate"/>
      </w:r>
      <w:r w:rsidR="007D1D7D" w:rsidRPr="00A240EA">
        <w:rPr>
          <w:noProof/>
          <w:vertAlign w:val="superscript"/>
        </w:rPr>
        <w:t>8</w:t>
      </w:r>
      <w:r w:rsidR="006431B8" w:rsidRPr="00A240EA">
        <w:fldChar w:fldCharType="end"/>
      </w:r>
      <w:r w:rsidR="002B094C" w:rsidRPr="00A240EA">
        <w:t>. The structures were pre-</w:t>
      </w:r>
      <w:r w:rsidR="00910D7D" w:rsidRPr="00A240EA">
        <w:t>optimized,</w:t>
      </w:r>
      <w:r w:rsidR="002B094C" w:rsidRPr="00A240EA">
        <w:t xml:space="preserve"> and the resulting volumes are provided in Table S1.</w:t>
      </w:r>
    </w:p>
    <w:p w14:paraId="200F55B6" w14:textId="1728AFBB" w:rsidR="00E654C5" w:rsidRPr="00A240EA" w:rsidRDefault="00E654C5" w:rsidP="00E654C5">
      <w:r w:rsidRPr="00A240EA">
        <w:t xml:space="preserve">In Figure </w:t>
      </w:r>
      <w:r w:rsidR="00D10227" w:rsidRPr="00A240EA">
        <w:t xml:space="preserve">S3 </w:t>
      </w:r>
      <w:r w:rsidRPr="00A240EA">
        <w:t>we collected all the computed Raman spectra of BaSO</w:t>
      </w:r>
      <w:r w:rsidRPr="00A240EA">
        <w:rPr>
          <w:vertAlign w:val="subscript"/>
        </w:rPr>
        <w:t>4</w:t>
      </w:r>
      <w:r w:rsidRPr="00A240EA">
        <w:t>, RaSO</w:t>
      </w:r>
      <w:r w:rsidRPr="00A240EA">
        <w:rPr>
          <w:vertAlign w:val="subscript"/>
        </w:rPr>
        <w:t>4</w:t>
      </w:r>
      <w:r w:rsidRPr="00A240EA">
        <w:t xml:space="preserve"> and SrSO</w:t>
      </w:r>
      <w:r w:rsidRPr="00A240EA">
        <w:rPr>
          <w:vertAlign w:val="subscript"/>
        </w:rPr>
        <w:t>4</w:t>
      </w:r>
      <w:r w:rsidRPr="00A240EA">
        <w:t xml:space="preserve">. These spectra are consistent with experimental datasets, with the pronounced </w:t>
      </w:r>
      <w:r w:rsidRPr="00A240EA">
        <w:rPr>
          <w:rFonts w:cs="Times New Roman"/>
        </w:rPr>
        <w:t>ν</w:t>
      </w:r>
      <w:r w:rsidRPr="00A240EA">
        <w:rPr>
          <w:vertAlign w:val="subscript"/>
        </w:rPr>
        <w:t>1</w:t>
      </w:r>
      <w:r w:rsidRPr="00A240EA">
        <w:t xml:space="preserve"> band associated with vibrations of SO</w:t>
      </w:r>
      <w:r w:rsidRPr="00A240EA">
        <w:rPr>
          <w:vertAlign w:val="subscript"/>
        </w:rPr>
        <w:t>4</w:t>
      </w:r>
      <w:r w:rsidRPr="00A240EA">
        <w:t xml:space="preserve"> </w:t>
      </w:r>
      <w:r w:rsidR="00C84931" w:rsidRPr="00A240EA">
        <w:t xml:space="preserve">tetrahedra </w:t>
      </w:r>
      <w:r w:rsidRPr="00A240EA">
        <w:t xml:space="preserve">around 950 </w:t>
      </w:r>
      <w:proofErr w:type="gramStart"/>
      <w:r w:rsidRPr="00A240EA">
        <w:t>cm</w:t>
      </w:r>
      <w:r w:rsidRPr="00A240EA">
        <w:rPr>
          <w:vertAlign w:val="superscript"/>
        </w:rPr>
        <w:t>-1</w:t>
      </w:r>
      <w:proofErr w:type="gramEnd"/>
      <w:r w:rsidRPr="00A240EA">
        <w:t xml:space="preserve">. The position of the </w:t>
      </w:r>
      <w:r w:rsidRPr="00A240EA">
        <w:rPr>
          <w:rFonts w:cs="Times New Roman"/>
        </w:rPr>
        <w:t>ν</w:t>
      </w:r>
      <w:r w:rsidRPr="00A240EA">
        <w:rPr>
          <w:vertAlign w:val="subscript"/>
        </w:rPr>
        <w:t>1</w:t>
      </w:r>
      <w:r w:rsidRPr="00A240EA">
        <w:t xml:space="preserve"> band for each compound is given </w:t>
      </w:r>
      <w:r w:rsidR="00B729B9" w:rsidRPr="00A240EA">
        <w:t xml:space="preserve">in </w:t>
      </w:r>
      <w:r w:rsidRPr="00A240EA">
        <w:t>Table S1. The computed spectrum is shifted by ~ 40 cm</w:t>
      </w:r>
      <w:r w:rsidRPr="00A240EA">
        <w:rPr>
          <w:vertAlign w:val="superscript"/>
        </w:rPr>
        <w:t>-1</w:t>
      </w:r>
      <w:r w:rsidRPr="00A240EA">
        <w:t>, but such a systematic offset is a regular feature of DFT calculations</w:t>
      </w:r>
      <w:r w:rsidRPr="00A240EA">
        <w:fldChar w:fldCharType="begin"/>
      </w:r>
      <w:r w:rsidR="007D1D7D" w:rsidRPr="00A240EA">
        <w:instrText xml:space="preserve"> ADDIN EN.CITE &lt;EndNote&gt;&lt;Cite&gt;&lt;Author&gt;Jahn&lt;/Author&gt;&lt;Year&gt;2014&lt;/Year&gt;&lt;RecNum&gt;191&lt;/RecNum&gt;&lt;DisplayText&gt;&lt;style face="superscript"&gt;9&lt;/style&gt;&lt;/DisplayText&gt;&lt;record&gt;&lt;rec-number&gt;191&lt;/rec-number&gt;&lt;foreign-keys&gt;&lt;key app="EN" db-id="t0vpswfv59fp5gefxd2v9pau50pwewe9rxdz" timestamp="1700492917"&gt;191&lt;/key&gt;&lt;/foreign-keys&gt;&lt;ref-type name="Journal Article"&gt;17&lt;/ref-type&gt;&lt;contributors&gt;&lt;authors&gt;&lt;author&gt;Jahn, Sandro&lt;/author&gt;&lt;author&gt;Kowalski, Piotr M.&lt;/author&gt;&lt;/authors&gt;&lt;/contributors&gt;&lt;titles&gt;&lt;title&gt;Theoretical Approaches to Structure and Spectroscopy of Earth Materials&lt;/title&gt;&lt;secondary-title&gt;Reviews in Mineralogy and Geochemistry&lt;/secondary-title&gt;&lt;/titles&gt;&lt;periodical&gt;&lt;full-title&gt;Reviews in Mineralogy and Geochemistry&lt;/full-title&gt;&lt;abbr-1&gt;Rev. Mineral. Geochem.&lt;/abbr-1&gt;&lt;/periodical&gt;&lt;pages&gt;691-743&lt;/pages&gt;&lt;volume&gt;78&lt;/volume&gt;&lt;number&gt;1&lt;/number&gt;&lt;dates&gt;&lt;year&gt;2014&lt;/year&gt;&lt;/dates&gt;&lt;isbn&gt;1529-6466&lt;/isbn&gt;&lt;urls&gt;&lt;related-urls&gt;&lt;url&gt;https://doi.org/10.2138/rmg.2014.78.17&lt;/url&gt;&lt;/related-urls&gt;&lt;/urls&gt;&lt;electronic-resource-num&gt;10.2138/rmg.2014.78.17&lt;/electronic-resource-num&gt;&lt;access-date&gt;11/20/2023&lt;/access-date&gt;&lt;/record&gt;&lt;/Cite&gt;&lt;/EndNote&gt;</w:instrText>
      </w:r>
      <w:r w:rsidRPr="00A240EA">
        <w:fldChar w:fldCharType="separate"/>
      </w:r>
      <w:r w:rsidR="007D1D7D" w:rsidRPr="00A240EA">
        <w:rPr>
          <w:noProof/>
          <w:vertAlign w:val="superscript"/>
        </w:rPr>
        <w:t>9</w:t>
      </w:r>
      <w:r w:rsidRPr="00A240EA">
        <w:fldChar w:fldCharType="end"/>
      </w:r>
      <w:r w:rsidRPr="00A240EA">
        <w:t>.</w:t>
      </w:r>
    </w:p>
    <w:p w14:paraId="0757E0BE" w14:textId="3CBCD21F" w:rsidR="00E654C5" w:rsidRPr="00A240EA" w:rsidRDefault="00E654C5" w:rsidP="00E654C5">
      <w:pPr>
        <w:rPr>
          <w:rFonts w:cs="Times New Roman"/>
          <w:szCs w:val="24"/>
        </w:rPr>
      </w:pPr>
      <w:r w:rsidRPr="00A240EA">
        <w:rPr>
          <w:rFonts w:cs="Times New Roman"/>
          <w:szCs w:val="24"/>
        </w:rPr>
        <w:t>Table S1 compares the Raman peaks and cell volumes of all three compounds computed with DFT. The cell volumes are in good agreement with experimental results. Based on these calculations (</w:t>
      </w:r>
      <w:proofErr w:type="spellStart"/>
      <w:r w:rsidR="00C84931" w:rsidRPr="00A240EA">
        <w:rPr>
          <w:rFonts w:cs="Times New Roman"/>
          <w:szCs w:val="24"/>
        </w:rPr>
        <w:t>PBEsol</w:t>
      </w:r>
      <w:proofErr w:type="spellEnd"/>
      <w:r w:rsidRPr="00A240EA">
        <w:rPr>
          <w:rFonts w:cs="Times New Roman"/>
          <w:szCs w:val="24"/>
        </w:rPr>
        <w:t>) the position the ν</w:t>
      </w:r>
      <w:r w:rsidRPr="00A240EA">
        <w:rPr>
          <w:rFonts w:cs="Times New Roman"/>
          <w:szCs w:val="24"/>
          <w:vertAlign w:val="subscript"/>
        </w:rPr>
        <w:t>1</w:t>
      </w:r>
      <w:r w:rsidRPr="00A240EA">
        <w:rPr>
          <w:rFonts w:cs="Times New Roman"/>
          <w:szCs w:val="24"/>
        </w:rPr>
        <w:t>(SO</w:t>
      </w:r>
      <w:r w:rsidRPr="00A240EA">
        <w:rPr>
          <w:rFonts w:cs="Times New Roman"/>
          <w:szCs w:val="24"/>
          <w:vertAlign w:val="subscript"/>
        </w:rPr>
        <w:t>4</w:t>
      </w:r>
      <w:r w:rsidRPr="00A240EA">
        <w:rPr>
          <w:rFonts w:cs="Times New Roman"/>
          <w:szCs w:val="24"/>
        </w:rPr>
        <w:t>) band would shift by -12 cm</w:t>
      </w:r>
      <w:r w:rsidRPr="00A240EA">
        <w:rPr>
          <w:rFonts w:cs="Times New Roman"/>
          <w:szCs w:val="24"/>
          <w:vertAlign w:val="superscript"/>
        </w:rPr>
        <w:t>-1</w:t>
      </w:r>
      <w:r w:rsidRPr="00A240EA">
        <w:rPr>
          <w:rFonts w:cs="Times New Roman"/>
          <w:szCs w:val="24"/>
        </w:rPr>
        <w:t xml:space="preserve"> for RaSO</w:t>
      </w:r>
      <w:r w:rsidRPr="00A240EA">
        <w:rPr>
          <w:rFonts w:cs="Times New Roman"/>
          <w:szCs w:val="24"/>
          <w:vertAlign w:val="subscript"/>
        </w:rPr>
        <w:t>4</w:t>
      </w:r>
      <w:r w:rsidRPr="00A240EA">
        <w:rPr>
          <w:rFonts w:cs="Times New Roman"/>
          <w:szCs w:val="24"/>
        </w:rPr>
        <w:t xml:space="preserve"> and +11 cm</w:t>
      </w:r>
      <w:r w:rsidRPr="00A240EA">
        <w:rPr>
          <w:rFonts w:cs="Times New Roman"/>
          <w:szCs w:val="24"/>
          <w:vertAlign w:val="superscript"/>
        </w:rPr>
        <w:t>-1</w:t>
      </w:r>
      <w:r w:rsidRPr="00A240EA">
        <w:rPr>
          <w:rFonts w:cs="Times New Roman"/>
          <w:szCs w:val="24"/>
        </w:rPr>
        <w:t xml:space="preserve"> for SrSO</w:t>
      </w:r>
      <w:r w:rsidRPr="00A240EA">
        <w:rPr>
          <w:rFonts w:cs="Times New Roman"/>
          <w:szCs w:val="24"/>
          <w:vertAlign w:val="subscript"/>
        </w:rPr>
        <w:t>4</w:t>
      </w:r>
      <w:r w:rsidRPr="00A240EA">
        <w:rPr>
          <w:rFonts w:cs="Times New Roman"/>
          <w:szCs w:val="24"/>
        </w:rPr>
        <w:t xml:space="preserve"> w.r.t that of BaSO</w:t>
      </w:r>
      <w:r w:rsidRPr="00A240EA">
        <w:rPr>
          <w:rFonts w:cs="Times New Roman"/>
          <w:szCs w:val="24"/>
          <w:vertAlign w:val="subscript"/>
        </w:rPr>
        <w:t>4</w:t>
      </w:r>
      <w:r w:rsidRPr="00A240EA">
        <w:rPr>
          <w:rFonts w:cs="Times New Roman"/>
          <w:szCs w:val="24"/>
        </w:rPr>
        <w:t>. Given that the shift of the ν</w:t>
      </w:r>
      <w:r w:rsidRPr="00A240EA">
        <w:rPr>
          <w:rFonts w:cs="Times New Roman"/>
          <w:szCs w:val="24"/>
          <w:vertAlign w:val="subscript"/>
        </w:rPr>
        <w:t>1</w:t>
      </w:r>
      <w:r w:rsidRPr="00A240EA">
        <w:rPr>
          <w:rFonts w:cs="Times New Roman"/>
          <w:szCs w:val="24"/>
        </w:rPr>
        <w:t xml:space="preserve"> (SO</w:t>
      </w:r>
      <w:r w:rsidRPr="00A240EA">
        <w:rPr>
          <w:rFonts w:cs="Times New Roman"/>
          <w:szCs w:val="24"/>
          <w:vertAlign w:val="subscript"/>
        </w:rPr>
        <w:t>4</w:t>
      </w:r>
      <w:r w:rsidRPr="00A240EA">
        <w:rPr>
          <w:rFonts w:cs="Times New Roman"/>
          <w:szCs w:val="24"/>
        </w:rPr>
        <w:t>) for SrSO</w:t>
      </w:r>
      <w:r w:rsidRPr="00A240EA">
        <w:rPr>
          <w:rFonts w:cs="Times New Roman"/>
          <w:szCs w:val="24"/>
          <w:vertAlign w:val="subscript"/>
        </w:rPr>
        <w:t>4</w:t>
      </w:r>
      <w:r w:rsidRPr="00A240EA">
        <w:rPr>
          <w:rFonts w:cs="Times New Roman"/>
          <w:szCs w:val="24"/>
        </w:rPr>
        <w:t xml:space="preserve"> is consistent with experimental measurement</w:t>
      </w:r>
      <w:r w:rsidR="00C84931" w:rsidRPr="00A240EA">
        <w:rPr>
          <w:rFonts w:cs="Times New Roman"/>
          <w:szCs w:val="24"/>
        </w:rPr>
        <w:t>s</w:t>
      </w:r>
      <w:r w:rsidRPr="00A240EA">
        <w:rPr>
          <w:rFonts w:cs="Times New Roman"/>
          <w:szCs w:val="24"/>
        </w:rPr>
        <w:t xml:space="preserve"> (</w:t>
      </w:r>
      <w:r w:rsidR="00B729B9" w:rsidRPr="00A240EA">
        <w:rPr>
          <w:rFonts w:cs="Times New Roman"/>
          <w:szCs w:val="24"/>
        </w:rPr>
        <w:t>Δ</w:t>
      </w:r>
      <w:r w:rsidRPr="00A240EA">
        <w:rPr>
          <w:rFonts w:cs="Times New Roman"/>
          <w:szCs w:val="24"/>
        </w:rPr>
        <w:t>ν</w:t>
      </w:r>
      <w:r w:rsidRPr="00A240EA">
        <w:rPr>
          <w:rFonts w:cs="Times New Roman"/>
          <w:szCs w:val="24"/>
          <w:vertAlign w:val="subscript"/>
        </w:rPr>
        <w:t>1</w:t>
      </w:r>
      <w:r w:rsidRPr="00A240EA">
        <w:rPr>
          <w:rFonts w:cs="Times New Roman"/>
          <w:szCs w:val="24"/>
        </w:rPr>
        <w:t xml:space="preserve"> = </w:t>
      </w:r>
      <w:r w:rsidR="00B729B9" w:rsidRPr="00A240EA">
        <w:rPr>
          <w:rFonts w:cs="Times New Roman"/>
          <w:szCs w:val="24"/>
        </w:rPr>
        <w:t>+12</w:t>
      </w:r>
      <w:r w:rsidRPr="00A240EA">
        <w:rPr>
          <w:rFonts w:cs="Times New Roman"/>
          <w:szCs w:val="24"/>
        </w:rPr>
        <w:t xml:space="preserve"> </w:t>
      </w:r>
      <w:proofErr w:type="gramStart"/>
      <w:r w:rsidRPr="00A240EA">
        <w:rPr>
          <w:rFonts w:cs="Times New Roman"/>
          <w:szCs w:val="24"/>
        </w:rPr>
        <w:t>cm</w:t>
      </w:r>
      <w:r w:rsidRPr="00A240EA">
        <w:rPr>
          <w:rFonts w:cs="Times New Roman"/>
          <w:szCs w:val="24"/>
          <w:vertAlign w:val="superscript"/>
        </w:rPr>
        <w:t>-1</w:t>
      </w:r>
      <w:proofErr w:type="gramEnd"/>
      <w:r w:rsidRPr="00A240EA">
        <w:rPr>
          <w:rFonts w:cs="Times New Roman"/>
          <w:szCs w:val="24"/>
        </w:rPr>
        <w:t xml:space="preserve">) it can be expected </w:t>
      </w:r>
      <w:r w:rsidR="00C84931" w:rsidRPr="00A240EA">
        <w:rPr>
          <w:rFonts w:cs="Times New Roman"/>
          <w:szCs w:val="24"/>
        </w:rPr>
        <w:t xml:space="preserve">that the </w:t>
      </w:r>
      <w:r w:rsidRPr="00A240EA">
        <w:rPr>
          <w:rFonts w:cs="Times New Roman"/>
          <w:szCs w:val="24"/>
        </w:rPr>
        <w:t>ν</w:t>
      </w:r>
      <w:r w:rsidRPr="00A240EA">
        <w:rPr>
          <w:rFonts w:cs="Times New Roman"/>
          <w:szCs w:val="24"/>
          <w:vertAlign w:val="subscript"/>
        </w:rPr>
        <w:t>1</w:t>
      </w:r>
      <w:r w:rsidRPr="00A240EA">
        <w:rPr>
          <w:rFonts w:cs="Times New Roman"/>
          <w:szCs w:val="24"/>
        </w:rPr>
        <w:t xml:space="preserve"> (SO</w:t>
      </w:r>
      <w:r w:rsidRPr="00A240EA">
        <w:rPr>
          <w:rFonts w:cs="Times New Roman"/>
          <w:szCs w:val="24"/>
          <w:vertAlign w:val="subscript"/>
        </w:rPr>
        <w:t>4</w:t>
      </w:r>
      <w:r w:rsidRPr="00A240EA">
        <w:rPr>
          <w:rFonts w:cs="Times New Roman"/>
          <w:szCs w:val="24"/>
        </w:rPr>
        <w:t>) position in the Raman spectrum of RaSO</w:t>
      </w:r>
      <w:r w:rsidRPr="00A240EA">
        <w:rPr>
          <w:rFonts w:cs="Times New Roman"/>
          <w:szCs w:val="24"/>
          <w:vertAlign w:val="subscript"/>
        </w:rPr>
        <w:t>4</w:t>
      </w:r>
      <w:r w:rsidRPr="00A240EA">
        <w:rPr>
          <w:rFonts w:cs="Times New Roman"/>
          <w:szCs w:val="24"/>
        </w:rPr>
        <w:t xml:space="preserve"> is located at </w:t>
      </w:r>
      <w:bookmarkStart w:id="14" w:name="_Hlk151986976"/>
      <w:r w:rsidRPr="00A240EA">
        <w:rPr>
          <w:rFonts w:cs="Times New Roman"/>
          <w:szCs w:val="24"/>
        </w:rPr>
        <w:t>ν</w:t>
      </w:r>
      <w:r w:rsidRPr="00A240EA">
        <w:rPr>
          <w:rFonts w:cs="Times New Roman"/>
          <w:szCs w:val="24"/>
          <w:vertAlign w:val="subscript"/>
        </w:rPr>
        <w:t>1</w:t>
      </w:r>
      <w:bookmarkEnd w:id="14"/>
      <w:r w:rsidRPr="00A240EA">
        <w:rPr>
          <w:rFonts w:cs="Times New Roman"/>
          <w:szCs w:val="24"/>
        </w:rPr>
        <w:t xml:space="preserve"> = 977 cm </w:t>
      </w:r>
      <w:r w:rsidRPr="00A240EA">
        <w:rPr>
          <w:rFonts w:cs="Times New Roman"/>
          <w:szCs w:val="24"/>
          <w:vertAlign w:val="superscript"/>
        </w:rPr>
        <w:t>-1</w:t>
      </w:r>
      <w:r w:rsidRPr="00A240EA">
        <w:rPr>
          <w:rFonts w:cs="Times New Roman"/>
          <w:szCs w:val="24"/>
        </w:rPr>
        <w:t>. We therefore consider in our analysis that the ν</w:t>
      </w:r>
      <w:r w:rsidRPr="00A240EA">
        <w:rPr>
          <w:rFonts w:cs="Times New Roman"/>
          <w:szCs w:val="24"/>
          <w:vertAlign w:val="subscript"/>
        </w:rPr>
        <w:t>1</w:t>
      </w:r>
      <w:r w:rsidRPr="00A240EA">
        <w:rPr>
          <w:rFonts w:cs="Times New Roman"/>
          <w:szCs w:val="24"/>
        </w:rPr>
        <w:t xml:space="preserve"> band of RaSO</w:t>
      </w:r>
      <w:r w:rsidRPr="00A240EA">
        <w:rPr>
          <w:rFonts w:cs="Times New Roman"/>
          <w:szCs w:val="24"/>
          <w:vertAlign w:val="subscript"/>
        </w:rPr>
        <w:t>4</w:t>
      </w:r>
      <w:r w:rsidRPr="00A240EA">
        <w:rPr>
          <w:rFonts w:cs="Times New Roman"/>
          <w:szCs w:val="24"/>
        </w:rPr>
        <w:t xml:space="preserve"> is located at 977 </w:t>
      </w:r>
      <w:proofErr w:type="gramStart"/>
      <w:r w:rsidRPr="00A240EA">
        <w:rPr>
          <w:rFonts w:cs="Times New Roman"/>
          <w:szCs w:val="24"/>
        </w:rPr>
        <w:t>cm</w:t>
      </w:r>
      <w:r w:rsidRPr="00A240EA">
        <w:rPr>
          <w:rFonts w:cs="Times New Roman"/>
          <w:szCs w:val="24"/>
          <w:vertAlign w:val="superscript"/>
        </w:rPr>
        <w:t>-1</w:t>
      </w:r>
      <w:proofErr w:type="gramEnd"/>
      <w:r w:rsidRPr="00A240EA">
        <w:rPr>
          <w:rFonts w:cs="Times New Roman"/>
          <w:szCs w:val="24"/>
        </w:rPr>
        <w:t>.</w:t>
      </w:r>
    </w:p>
    <w:p w14:paraId="32C027D6" w14:textId="2232072A" w:rsidR="002B094C" w:rsidRPr="00A240EA" w:rsidRDefault="002B094C" w:rsidP="002B094C">
      <w:pPr>
        <w:pStyle w:val="Caption"/>
        <w:keepNext/>
        <w:rPr>
          <w:rFonts w:ascii="Times New Roman" w:hAnsi="Times New Roman"/>
          <w:i w:val="0"/>
          <w:iCs w:val="0"/>
          <w:color w:val="auto"/>
          <w:sz w:val="24"/>
          <w:szCs w:val="24"/>
        </w:rPr>
      </w:pPr>
      <w:r w:rsidRPr="00A240EA">
        <w:rPr>
          <w:rFonts w:ascii="Times New Roman" w:hAnsi="Times New Roman"/>
          <w:b/>
          <w:bCs/>
          <w:i w:val="0"/>
          <w:iCs w:val="0"/>
          <w:color w:val="auto"/>
          <w:sz w:val="24"/>
          <w:szCs w:val="24"/>
        </w:rPr>
        <w:t>Table S1</w:t>
      </w:r>
      <w:r w:rsidRPr="00A240EA">
        <w:rPr>
          <w:rFonts w:ascii="Times New Roman" w:hAnsi="Times New Roman"/>
          <w:i w:val="0"/>
          <w:iCs w:val="0"/>
          <w:color w:val="auto"/>
          <w:sz w:val="24"/>
          <w:szCs w:val="24"/>
        </w:rPr>
        <w:t xml:space="preserve"> Comparison of cell volume</w:t>
      </w:r>
      <w:r w:rsidR="00C84931" w:rsidRPr="00A240EA">
        <w:rPr>
          <w:rFonts w:ascii="Times New Roman" w:hAnsi="Times New Roman"/>
          <w:i w:val="0"/>
          <w:iCs w:val="0"/>
          <w:color w:val="auto"/>
          <w:sz w:val="24"/>
          <w:szCs w:val="24"/>
        </w:rPr>
        <w:t>s</w:t>
      </w:r>
      <w:r w:rsidRPr="00A240EA">
        <w:rPr>
          <w:rFonts w:ascii="Times New Roman" w:hAnsi="Times New Roman"/>
          <w:i w:val="0"/>
          <w:iCs w:val="0"/>
          <w:color w:val="auto"/>
          <w:sz w:val="24"/>
          <w:szCs w:val="24"/>
        </w:rPr>
        <w:t xml:space="preserve"> and </w:t>
      </w:r>
      <w:r w:rsidR="00B729B9" w:rsidRPr="00A240EA">
        <w:rPr>
          <w:rFonts w:ascii="Times New Roman" w:hAnsi="Times New Roman"/>
          <w:i w:val="0"/>
          <w:iCs w:val="0"/>
          <w:color w:val="auto"/>
          <w:sz w:val="24"/>
          <w:szCs w:val="24"/>
        </w:rPr>
        <w:t xml:space="preserve">main Raman peak </w:t>
      </w:r>
      <w:r w:rsidR="001F59A1" w:rsidRPr="00A240EA">
        <w:rPr>
          <w:rFonts w:ascii="Times New Roman" w:hAnsi="Times New Roman"/>
          <w:i w:val="0"/>
          <w:iCs w:val="0"/>
          <w:color w:val="auto"/>
          <w:sz w:val="24"/>
          <w:szCs w:val="24"/>
        </w:rPr>
        <w:t>frequency</w:t>
      </w:r>
      <w:r w:rsidR="007D1D7D" w:rsidRPr="00A240EA">
        <w:rPr>
          <w:color w:val="auto"/>
        </w:rPr>
        <w:t xml:space="preserve"> </w:t>
      </w:r>
      <w:r w:rsidR="007D1D7D" w:rsidRPr="00A240EA">
        <w:rPr>
          <w:rFonts w:ascii="Times New Roman" w:hAnsi="Times New Roman"/>
          <w:i w:val="0"/>
          <w:iCs w:val="0"/>
          <w:color w:val="auto"/>
          <w:sz w:val="24"/>
          <w:szCs w:val="24"/>
        </w:rPr>
        <w:t>ν</w:t>
      </w:r>
      <w:r w:rsidR="007D1D7D" w:rsidRPr="00A240EA">
        <w:rPr>
          <w:rFonts w:ascii="Times New Roman" w:hAnsi="Times New Roman"/>
          <w:i w:val="0"/>
          <w:iCs w:val="0"/>
          <w:color w:val="auto"/>
          <w:sz w:val="24"/>
          <w:szCs w:val="24"/>
          <w:vertAlign w:val="subscript"/>
        </w:rPr>
        <w:t>1</w:t>
      </w:r>
      <w:r w:rsidR="007D1D7D" w:rsidRPr="00A240EA">
        <w:rPr>
          <w:rFonts w:ascii="Times New Roman" w:hAnsi="Times New Roman"/>
          <w:i w:val="0"/>
          <w:iCs w:val="0"/>
          <w:color w:val="auto"/>
          <w:sz w:val="24"/>
          <w:szCs w:val="24"/>
        </w:rPr>
        <w:t xml:space="preserve"> (SO</w:t>
      </w:r>
      <w:r w:rsidR="007D1D7D" w:rsidRPr="00A240EA">
        <w:rPr>
          <w:rFonts w:ascii="Times New Roman" w:hAnsi="Times New Roman"/>
          <w:i w:val="0"/>
          <w:iCs w:val="0"/>
          <w:color w:val="auto"/>
          <w:sz w:val="24"/>
          <w:szCs w:val="24"/>
          <w:vertAlign w:val="subscript"/>
        </w:rPr>
        <w:t>4</w:t>
      </w:r>
      <w:r w:rsidR="007D1D7D" w:rsidRPr="00A240EA">
        <w:rPr>
          <w:rFonts w:ascii="Times New Roman" w:hAnsi="Times New Roman"/>
          <w:i w:val="0"/>
          <w:iCs w:val="0"/>
          <w:color w:val="auto"/>
          <w:sz w:val="24"/>
          <w:szCs w:val="24"/>
        </w:rPr>
        <w:t xml:space="preserve">) </w:t>
      </w:r>
      <w:r w:rsidR="001F59A1" w:rsidRPr="00A240EA">
        <w:rPr>
          <w:rFonts w:ascii="Times New Roman" w:hAnsi="Times New Roman"/>
          <w:i w:val="0"/>
          <w:iCs w:val="0"/>
          <w:color w:val="auto"/>
          <w:sz w:val="24"/>
          <w:szCs w:val="24"/>
        </w:rPr>
        <w:t>of</w:t>
      </w:r>
      <w:r w:rsidRPr="00A240EA">
        <w:rPr>
          <w:rFonts w:ascii="Times New Roman" w:hAnsi="Times New Roman"/>
          <w:i w:val="0"/>
          <w:iCs w:val="0"/>
          <w:color w:val="auto"/>
          <w:sz w:val="24"/>
          <w:szCs w:val="24"/>
        </w:rPr>
        <w:t xml:space="preserve"> BaSO</w:t>
      </w:r>
      <w:r w:rsidRPr="00A240EA">
        <w:rPr>
          <w:rFonts w:ascii="Times New Roman" w:hAnsi="Times New Roman"/>
          <w:i w:val="0"/>
          <w:iCs w:val="0"/>
          <w:color w:val="auto"/>
          <w:sz w:val="24"/>
          <w:szCs w:val="24"/>
          <w:vertAlign w:val="subscript"/>
        </w:rPr>
        <w:t>4</w:t>
      </w:r>
      <w:r w:rsidRPr="00A240EA">
        <w:rPr>
          <w:rFonts w:ascii="Times New Roman" w:hAnsi="Times New Roman"/>
          <w:i w:val="0"/>
          <w:iCs w:val="0"/>
          <w:color w:val="auto"/>
          <w:sz w:val="24"/>
          <w:szCs w:val="24"/>
        </w:rPr>
        <w:t>, RaSO</w:t>
      </w:r>
      <w:r w:rsidRPr="00A240EA">
        <w:rPr>
          <w:rFonts w:ascii="Times New Roman" w:hAnsi="Times New Roman"/>
          <w:i w:val="0"/>
          <w:iCs w:val="0"/>
          <w:color w:val="auto"/>
          <w:sz w:val="24"/>
          <w:szCs w:val="24"/>
          <w:vertAlign w:val="subscript"/>
        </w:rPr>
        <w:t>4</w:t>
      </w:r>
      <w:r w:rsidRPr="00A240EA">
        <w:rPr>
          <w:rFonts w:ascii="Times New Roman" w:hAnsi="Times New Roman"/>
          <w:i w:val="0"/>
          <w:iCs w:val="0"/>
          <w:color w:val="auto"/>
          <w:sz w:val="24"/>
          <w:szCs w:val="24"/>
        </w:rPr>
        <w:t xml:space="preserve"> and SrSO</w:t>
      </w:r>
      <w:r w:rsidRPr="00A240EA">
        <w:rPr>
          <w:rFonts w:ascii="Times New Roman" w:hAnsi="Times New Roman"/>
          <w:i w:val="0"/>
          <w:iCs w:val="0"/>
          <w:color w:val="auto"/>
          <w:sz w:val="24"/>
          <w:szCs w:val="24"/>
          <w:vertAlign w:val="subscript"/>
        </w:rPr>
        <w:t>4</w:t>
      </w:r>
    </w:p>
    <w:tbl>
      <w:tblPr>
        <w:tblW w:w="9247" w:type="dxa"/>
        <w:tblInd w:w="108" w:type="dxa"/>
        <w:tblLayout w:type="fixed"/>
        <w:tblLook w:val="0000" w:firstRow="0" w:lastRow="0" w:firstColumn="0" w:lastColumn="0" w:noHBand="0" w:noVBand="0"/>
      </w:tblPr>
      <w:tblGrid>
        <w:gridCol w:w="1237"/>
        <w:gridCol w:w="990"/>
        <w:gridCol w:w="1530"/>
        <w:gridCol w:w="990"/>
        <w:gridCol w:w="1440"/>
        <w:gridCol w:w="1530"/>
        <w:gridCol w:w="1530"/>
      </w:tblGrid>
      <w:tr w:rsidR="00A240EA" w:rsidRPr="00A240EA" w14:paraId="2183A5E7" w14:textId="1597951F" w:rsidTr="00DD411A">
        <w:trPr>
          <w:trHeight w:val="320"/>
        </w:trPr>
        <w:tc>
          <w:tcPr>
            <w:tcW w:w="1237" w:type="dxa"/>
            <w:tcBorders>
              <w:top w:val="single" w:sz="4" w:space="0" w:color="000000"/>
              <w:left w:val="single" w:sz="4" w:space="0" w:color="000000"/>
              <w:bottom w:val="single" w:sz="4" w:space="0" w:color="000000"/>
            </w:tcBorders>
            <w:shd w:val="clear" w:color="auto" w:fill="auto"/>
          </w:tcPr>
          <w:p w14:paraId="10C51DA1" w14:textId="77777777" w:rsidR="0031501C" w:rsidRPr="00A240EA" w:rsidRDefault="0031501C" w:rsidP="002B13F1">
            <w:r w:rsidRPr="00A240EA">
              <w:rPr>
                <w:sz w:val="22"/>
              </w:rPr>
              <w:t>Compound</w:t>
            </w:r>
          </w:p>
        </w:tc>
        <w:tc>
          <w:tcPr>
            <w:tcW w:w="2520" w:type="dxa"/>
            <w:gridSpan w:val="2"/>
            <w:tcBorders>
              <w:top w:val="single" w:sz="4" w:space="0" w:color="000000"/>
              <w:left w:val="single" w:sz="4" w:space="0" w:color="000000"/>
              <w:bottom w:val="single" w:sz="4" w:space="0" w:color="000000"/>
            </w:tcBorders>
            <w:shd w:val="clear" w:color="auto" w:fill="auto"/>
          </w:tcPr>
          <w:p w14:paraId="750E57A4" w14:textId="77777777" w:rsidR="0031501C" w:rsidRPr="00A240EA" w:rsidRDefault="0031501C" w:rsidP="002B13F1">
            <w:r w:rsidRPr="00A240EA">
              <w:rPr>
                <w:sz w:val="22"/>
              </w:rPr>
              <w:t>cell volume [A</w:t>
            </w:r>
            <w:r w:rsidRPr="00A240EA">
              <w:rPr>
                <w:sz w:val="22"/>
                <w:vertAlign w:val="superscript"/>
              </w:rPr>
              <w:t>3</w:t>
            </w:r>
            <w:r w:rsidRPr="00A240EA">
              <w:rPr>
                <w:sz w:val="22"/>
              </w:rPr>
              <w:t>]</w:t>
            </w:r>
          </w:p>
        </w:tc>
        <w:tc>
          <w:tcPr>
            <w:tcW w:w="2430" w:type="dxa"/>
            <w:gridSpan w:val="2"/>
            <w:tcBorders>
              <w:top w:val="single" w:sz="4" w:space="0" w:color="000000"/>
              <w:left w:val="single" w:sz="4" w:space="0" w:color="000000"/>
              <w:bottom w:val="single" w:sz="4" w:space="0" w:color="000000"/>
            </w:tcBorders>
            <w:shd w:val="clear" w:color="auto" w:fill="auto"/>
          </w:tcPr>
          <w:p w14:paraId="3A5D6DE2" w14:textId="05F95406" w:rsidR="0031501C" w:rsidRPr="00A240EA" w:rsidRDefault="0031501C" w:rsidP="002B13F1">
            <w:pPr>
              <w:rPr>
                <w:sz w:val="22"/>
              </w:rPr>
            </w:pPr>
            <w:r w:rsidRPr="00A240EA">
              <w:rPr>
                <w:sz w:val="22"/>
              </w:rPr>
              <w:t xml:space="preserve">Wavenumber of </w:t>
            </w:r>
            <w:r w:rsidR="00C91180" w:rsidRPr="00A240EA">
              <w:rPr>
                <w:i/>
                <w:iCs/>
                <w:sz w:val="22"/>
              </w:rPr>
              <w:t>ν</w:t>
            </w:r>
            <w:r w:rsidRPr="00A240EA">
              <w:rPr>
                <w:sz w:val="22"/>
              </w:rPr>
              <w:t>1</w:t>
            </w:r>
            <w:r w:rsidR="00C91180" w:rsidRPr="00A240EA">
              <w:rPr>
                <w:sz w:val="22"/>
              </w:rPr>
              <w:t xml:space="preserve"> band</w:t>
            </w:r>
            <w:r w:rsidRPr="00A240EA">
              <w:rPr>
                <w:sz w:val="22"/>
              </w:rPr>
              <w:t xml:space="preserve"> [</w:t>
            </w:r>
            <w:proofErr w:type="gramStart"/>
            <w:r w:rsidRPr="00A240EA">
              <w:rPr>
                <w:sz w:val="22"/>
              </w:rPr>
              <w:t>cm</w:t>
            </w:r>
            <w:r w:rsidRPr="00A240EA">
              <w:rPr>
                <w:sz w:val="22"/>
                <w:vertAlign w:val="superscript"/>
              </w:rPr>
              <w:t>-1</w:t>
            </w:r>
            <w:proofErr w:type="gramEnd"/>
            <w:r w:rsidRPr="00A240EA">
              <w:rPr>
                <w:sz w:val="22"/>
              </w:rPr>
              <w:t>]</w:t>
            </w:r>
          </w:p>
        </w:tc>
        <w:tc>
          <w:tcPr>
            <w:tcW w:w="3060" w:type="dxa"/>
            <w:gridSpan w:val="2"/>
            <w:tcBorders>
              <w:top w:val="single" w:sz="4" w:space="0" w:color="000000"/>
              <w:left w:val="single" w:sz="4" w:space="0" w:color="000000"/>
              <w:bottom w:val="single" w:sz="4" w:space="0" w:color="000000"/>
              <w:right w:val="single" w:sz="4" w:space="0" w:color="000000"/>
            </w:tcBorders>
          </w:tcPr>
          <w:p w14:paraId="727F87A4" w14:textId="4B497489" w:rsidR="0031501C" w:rsidRPr="00A240EA" w:rsidRDefault="0031501C" w:rsidP="002B13F1">
            <w:r w:rsidRPr="00A240EA">
              <w:rPr>
                <w:sz w:val="22"/>
              </w:rPr>
              <w:t>calculated deviation from BaSO</w:t>
            </w:r>
            <w:r w:rsidRPr="00A240EA">
              <w:rPr>
                <w:sz w:val="22"/>
                <w:vertAlign w:val="subscript"/>
              </w:rPr>
              <w:t>4</w:t>
            </w:r>
            <w:r w:rsidRPr="00A240EA">
              <w:rPr>
                <w:sz w:val="22"/>
              </w:rPr>
              <w:t xml:space="preserve"> </w:t>
            </w:r>
            <w:r w:rsidR="00E654C5" w:rsidRPr="00A240EA">
              <w:rPr>
                <w:rFonts w:cs="Times New Roman"/>
                <w:szCs w:val="24"/>
              </w:rPr>
              <w:t>ν</w:t>
            </w:r>
            <w:r w:rsidR="00E654C5" w:rsidRPr="00A240EA">
              <w:rPr>
                <w:rFonts w:cs="Times New Roman"/>
                <w:szCs w:val="24"/>
                <w:vertAlign w:val="subscript"/>
              </w:rPr>
              <w:t>1</w:t>
            </w:r>
            <w:r w:rsidRPr="00A240EA">
              <w:rPr>
                <w:sz w:val="22"/>
              </w:rPr>
              <w:t xml:space="preserve"> [</w:t>
            </w:r>
            <w:proofErr w:type="gramStart"/>
            <w:r w:rsidRPr="00A240EA">
              <w:rPr>
                <w:sz w:val="22"/>
              </w:rPr>
              <w:t>cm</w:t>
            </w:r>
            <w:r w:rsidRPr="00A240EA">
              <w:rPr>
                <w:sz w:val="22"/>
                <w:vertAlign w:val="superscript"/>
              </w:rPr>
              <w:t>-1</w:t>
            </w:r>
            <w:proofErr w:type="gramEnd"/>
            <w:r w:rsidRPr="00A240EA">
              <w:rPr>
                <w:sz w:val="22"/>
              </w:rPr>
              <w:t>]</w:t>
            </w:r>
          </w:p>
        </w:tc>
      </w:tr>
      <w:tr w:rsidR="00A240EA" w:rsidRPr="00A240EA" w14:paraId="24DE591D" w14:textId="4B43DD51" w:rsidTr="00DD411A">
        <w:trPr>
          <w:trHeight w:val="320"/>
        </w:trPr>
        <w:tc>
          <w:tcPr>
            <w:tcW w:w="1237" w:type="dxa"/>
            <w:tcBorders>
              <w:top w:val="single" w:sz="4" w:space="0" w:color="000000"/>
              <w:left w:val="single" w:sz="4" w:space="0" w:color="000000"/>
              <w:bottom w:val="single" w:sz="4" w:space="0" w:color="000000"/>
            </w:tcBorders>
            <w:shd w:val="clear" w:color="auto" w:fill="auto"/>
          </w:tcPr>
          <w:p w14:paraId="52804431" w14:textId="77777777" w:rsidR="00DD411A" w:rsidRPr="00A240EA" w:rsidRDefault="00DD411A" w:rsidP="002B13F1">
            <w:pPr>
              <w:snapToGrid w:val="0"/>
              <w:rPr>
                <w:sz w:val="22"/>
              </w:rPr>
            </w:pPr>
          </w:p>
        </w:tc>
        <w:tc>
          <w:tcPr>
            <w:tcW w:w="990" w:type="dxa"/>
            <w:tcBorders>
              <w:top w:val="single" w:sz="4" w:space="0" w:color="000000"/>
              <w:left w:val="single" w:sz="4" w:space="0" w:color="000000"/>
              <w:bottom w:val="single" w:sz="4" w:space="0" w:color="000000"/>
            </w:tcBorders>
            <w:shd w:val="clear" w:color="auto" w:fill="auto"/>
          </w:tcPr>
          <w:p w14:paraId="26822C8D" w14:textId="1DC2F58E" w:rsidR="00DD411A" w:rsidRPr="00A240EA" w:rsidRDefault="00DD411A" w:rsidP="002B13F1">
            <w:proofErr w:type="spellStart"/>
            <w:r w:rsidRPr="00A240EA">
              <w:rPr>
                <w:sz w:val="22"/>
              </w:rPr>
              <w:t>PBEsol</w:t>
            </w:r>
            <w:proofErr w:type="spellEnd"/>
          </w:p>
        </w:tc>
        <w:tc>
          <w:tcPr>
            <w:tcW w:w="1530" w:type="dxa"/>
            <w:tcBorders>
              <w:top w:val="single" w:sz="4" w:space="0" w:color="000000"/>
              <w:left w:val="single" w:sz="4" w:space="0" w:color="000000"/>
              <w:bottom w:val="single" w:sz="4" w:space="0" w:color="000000"/>
            </w:tcBorders>
            <w:shd w:val="clear" w:color="auto" w:fill="auto"/>
          </w:tcPr>
          <w:p w14:paraId="6AF3F470" w14:textId="77777777" w:rsidR="00DD411A" w:rsidRPr="00A240EA" w:rsidRDefault="00DD411A" w:rsidP="002B13F1">
            <w:r w:rsidRPr="00A240EA">
              <w:rPr>
                <w:sz w:val="22"/>
              </w:rPr>
              <w:t>experimental</w:t>
            </w:r>
          </w:p>
        </w:tc>
        <w:tc>
          <w:tcPr>
            <w:tcW w:w="990" w:type="dxa"/>
            <w:tcBorders>
              <w:top w:val="single" w:sz="4" w:space="0" w:color="000000"/>
              <w:left w:val="single" w:sz="4" w:space="0" w:color="000000"/>
              <w:bottom w:val="single" w:sz="4" w:space="0" w:color="000000"/>
            </w:tcBorders>
            <w:shd w:val="clear" w:color="auto" w:fill="auto"/>
          </w:tcPr>
          <w:p w14:paraId="7E17DE56" w14:textId="5B531A55" w:rsidR="00DD411A" w:rsidRPr="00A240EA" w:rsidRDefault="00DD411A" w:rsidP="002B13F1">
            <w:proofErr w:type="spellStart"/>
            <w:r w:rsidRPr="00A240EA">
              <w:rPr>
                <w:sz w:val="22"/>
              </w:rPr>
              <w:t>PBEsol</w:t>
            </w:r>
            <w:proofErr w:type="spellEnd"/>
          </w:p>
        </w:tc>
        <w:tc>
          <w:tcPr>
            <w:tcW w:w="1440" w:type="dxa"/>
            <w:tcBorders>
              <w:top w:val="single" w:sz="4" w:space="0" w:color="000000"/>
              <w:left w:val="single" w:sz="4" w:space="0" w:color="000000"/>
              <w:bottom w:val="single" w:sz="4" w:space="0" w:color="000000"/>
              <w:right w:val="single" w:sz="4" w:space="0" w:color="000000"/>
            </w:tcBorders>
          </w:tcPr>
          <w:p w14:paraId="09F9014C" w14:textId="1FD06579" w:rsidR="00DD411A" w:rsidRPr="00A240EA" w:rsidRDefault="00DD411A" w:rsidP="002B13F1">
            <w:pPr>
              <w:rPr>
                <w:sz w:val="22"/>
              </w:rPr>
            </w:pPr>
            <w:r w:rsidRPr="00A240EA">
              <w:rPr>
                <w:sz w:val="22"/>
              </w:rPr>
              <w:t>experimental</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A316AE4" w14:textId="1E260F3D" w:rsidR="00DD411A" w:rsidRPr="00A240EA" w:rsidRDefault="00DD411A" w:rsidP="002B13F1">
            <w:proofErr w:type="spellStart"/>
            <w:r w:rsidRPr="00A240EA">
              <w:rPr>
                <w:sz w:val="22"/>
              </w:rPr>
              <w:t>PBEsol</w:t>
            </w:r>
            <w:proofErr w:type="spellEnd"/>
          </w:p>
        </w:tc>
        <w:tc>
          <w:tcPr>
            <w:tcW w:w="1530" w:type="dxa"/>
            <w:tcBorders>
              <w:top w:val="single" w:sz="4" w:space="0" w:color="000000"/>
              <w:left w:val="single" w:sz="4" w:space="0" w:color="000000"/>
              <w:bottom w:val="single" w:sz="4" w:space="0" w:color="000000"/>
              <w:right w:val="single" w:sz="4" w:space="0" w:color="000000"/>
            </w:tcBorders>
          </w:tcPr>
          <w:p w14:paraId="058E478B" w14:textId="29BADD97" w:rsidR="00DD411A" w:rsidRPr="00A240EA" w:rsidRDefault="00DD411A" w:rsidP="002B13F1">
            <w:pPr>
              <w:rPr>
                <w:sz w:val="22"/>
              </w:rPr>
            </w:pPr>
            <w:r w:rsidRPr="00A240EA">
              <w:rPr>
                <w:sz w:val="22"/>
              </w:rPr>
              <w:t>experimental</w:t>
            </w:r>
          </w:p>
        </w:tc>
      </w:tr>
      <w:tr w:rsidR="00A240EA" w:rsidRPr="00A240EA" w14:paraId="7D19A6C0" w14:textId="3E5B4E2D" w:rsidTr="00DD411A">
        <w:trPr>
          <w:trHeight w:val="320"/>
        </w:trPr>
        <w:tc>
          <w:tcPr>
            <w:tcW w:w="1237" w:type="dxa"/>
            <w:tcBorders>
              <w:top w:val="single" w:sz="4" w:space="0" w:color="000000"/>
              <w:left w:val="single" w:sz="4" w:space="0" w:color="000000"/>
              <w:bottom w:val="single" w:sz="4" w:space="0" w:color="000000"/>
            </w:tcBorders>
            <w:shd w:val="clear" w:color="auto" w:fill="auto"/>
          </w:tcPr>
          <w:p w14:paraId="010D6E6D" w14:textId="77777777" w:rsidR="00DD411A" w:rsidRPr="00A240EA" w:rsidRDefault="00DD411A" w:rsidP="002B13F1">
            <w:r w:rsidRPr="00A240EA">
              <w:rPr>
                <w:sz w:val="22"/>
              </w:rPr>
              <w:t>BaSO</w:t>
            </w:r>
            <w:r w:rsidRPr="00A240EA">
              <w:rPr>
                <w:sz w:val="22"/>
                <w:vertAlign w:val="subscript"/>
              </w:rPr>
              <w:t>4</w:t>
            </w:r>
          </w:p>
        </w:tc>
        <w:tc>
          <w:tcPr>
            <w:tcW w:w="990" w:type="dxa"/>
            <w:tcBorders>
              <w:top w:val="single" w:sz="4" w:space="0" w:color="000000"/>
              <w:left w:val="single" w:sz="4" w:space="0" w:color="000000"/>
              <w:bottom w:val="single" w:sz="4" w:space="0" w:color="000000"/>
            </w:tcBorders>
            <w:shd w:val="clear" w:color="auto" w:fill="auto"/>
          </w:tcPr>
          <w:p w14:paraId="156DF9A9" w14:textId="77777777" w:rsidR="00DD411A" w:rsidRPr="00A240EA" w:rsidRDefault="00DD411A" w:rsidP="002B13F1">
            <w:r w:rsidRPr="00A240EA">
              <w:rPr>
                <w:sz w:val="22"/>
              </w:rPr>
              <w:t>346</w:t>
            </w:r>
          </w:p>
        </w:tc>
        <w:tc>
          <w:tcPr>
            <w:tcW w:w="1530" w:type="dxa"/>
            <w:tcBorders>
              <w:top w:val="single" w:sz="4" w:space="0" w:color="000000"/>
              <w:left w:val="single" w:sz="4" w:space="0" w:color="000000"/>
              <w:bottom w:val="single" w:sz="4" w:space="0" w:color="000000"/>
            </w:tcBorders>
            <w:shd w:val="clear" w:color="auto" w:fill="auto"/>
          </w:tcPr>
          <w:p w14:paraId="370F987E" w14:textId="77777777" w:rsidR="00DD411A" w:rsidRPr="00A240EA" w:rsidRDefault="00DD411A" w:rsidP="002B13F1">
            <w:r w:rsidRPr="00A240EA">
              <w:rPr>
                <w:sz w:val="22"/>
              </w:rPr>
              <w:t>343</w:t>
            </w:r>
          </w:p>
        </w:tc>
        <w:tc>
          <w:tcPr>
            <w:tcW w:w="990" w:type="dxa"/>
            <w:tcBorders>
              <w:top w:val="single" w:sz="4" w:space="0" w:color="000000"/>
              <w:left w:val="single" w:sz="4" w:space="0" w:color="000000"/>
              <w:bottom w:val="single" w:sz="4" w:space="0" w:color="000000"/>
            </w:tcBorders>
            <w:shd w:val="clear" w:color="auto" w:fill="auto"/>
          </w:tcPr>
          <w:p w14:paraId="52E37432" w14:textId="77777777" w:rsidR="00DD411A" w:rsidRPr="00A240EA" w:rsidRDefault="00DD411A" w:rsidP="002B13F1">
            <w:r w:rsidRPr="00A240EA">
              <w:rPr>
                <w:sz w:val="22"/>
              </w:rPr>
              <w:t>945</w:t>
            </w:r>
          </w:p>
        </w:tc>
        <w:tc>
          <w:tcPr>
            <w:tcW w:w="1440" w:type="dxa"/>
            <w:tcBorders>
              <w:top w:val="single" w:sz="4" w:space="0" w:color="000000"/>
              <w:left w:val="single" w:sz="4" w:space="0" w:color="000000"/>
              <w:bottom w:val="single" w:sz="4" w:space="0" w:color="000000"/>
              <w:right w:val="single" w:sz="4" w:space="0" w:color="000000"/>
            </w:tcBorders>
          </w:tcPr>
          <w:p w14:paraId="6DCA150F" w14:textId="16FB6753" w:rsidR="00DD411A" w:rsidRPr="00A240EA" w:rsidRDefault="00DD411A" w:rsidP="002B13F1">
            <w:pPr>
              <w:rPr>
                <w:sz w:val="22"/>
              </w:rPr>
            </w:pPr>
            <w:r w:rsidRPr="00A240EA">
              <w:rPr>
                <w:sz w:val="22"/>
              </w:rPr>
              <w:t>989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6336796" w14:textId="77777777" w:rsidR="00DD411A" w:rsidRPr="00A240EA" w:rsidRDefault="00DD411A" w:rsidP="002B13F1">
            <w:r w:rsidRPr="00A240EA">
              <w:rPr>
                <w:sz w:val="22"/>
              </w:rPr>
              <w:t>-</w:t>
            </w:r>
          </w:p>
        </w:tc>
        <w:tc>
          <w:tcPr>
            <w:tcW w:w="1530" w:type="dxa"/>
            <w:tcBorders>
              <w:top w:val="single" w:sz="4" w:space="0" w:color="000000"/>
              <w:left w:val="single" w:sz="4" w:space="0" w:color="000000"/>
              <w:bottom w:val="single" w:sz="4" w:space="0" w:color="000000"/>
              <w:right w:val="single" w:sz="4" w:space="0" w:color="000000"/>
            </w:tcBorders>
          </w:tcPr>
          <w:p w14:paraId="4FD2F468" w14:textId="53A1D7C9" w:rsidR="00DD411A" w:rsidRPr="00A240EA" w:rsidRDefault="00DD411A" w:rsidP="002B13F1">
            <w:pPr>
              <w:rPr>
                <w:sz w:val="22"/>
              </w:rPr>
            </w:pPr>
            <w:r w:rsidRPr="00A240EA">
              <w:rPr>
                <w:sz w:val="22"/>
              </w:rPr>
              <w:t>-</w:t>
            </w:r>
          </w:p>
        </w:tc>
      </w:tr>
      <w:tr w:rsidR="00A240EA" w:rsidRPr="00A240EA" w14:paraId="457A00FB" w14:textId="6AF70E5F" w:rsidTr="00DD411A">
        <w:trPr>
          <w:trHeight w:val="320"/>
        </w:trPr>
        <w:tc>
          <w:tcPr>
            <w:tcW w:w="1237" w:type="dxa"/>
            <w:tcBorders>
              <w:top w:val="single" w:sz="4" w:space="0" w:color="000000"/>
              <w:left w:val="single" w:sz="4" w:space="0" w:color="000000"/>
              <w:bottom w:val="single" w:sz="4" w:space="0" w:color="000000"/>
            </w:tcBorders>
            <w:shd w:val="clear" w:color="auto" w:fill="auto"/>
          </w:tcPr>
          <w:p w14:paraId="5C1F1BF8" w14:textId="77777777" w:rsidR="00DD411A" w:rsidRPr="00A240EA" w:rsidRDefault="00DD411A" w:rsidP="002B13F1">
            <w:r w:rsidRPr="00A240EA">
              <w:rPr>
                <w:sz w:val="22"/>
              </w:rPr>
              <w:t>RaSO</w:t>
            </w:r>
            <w:r w:rsidRPr="00A240EA">
              <w:rPr>
                <w:sz w:val="22"/>
                <w:vertAlign w:val="subscript"/>
              </w:rPr>
              <w:t>4</w:t>
            </w:r>
          </w:p>
        </w:tc>
        <w:tc>
          <w:tcPr>
            <w:tcW w:w="990" w:type="dxa"/>
            <w:tcBorders>
              <w:top w:val="single" w:sz="4" w:space="0" w:color="000000"/>
              <w:left w:val="single" w:sz="4" w:space="0" w:color="000000"/>
              <w:bottom w:val="single" w:sz="4" w:space="0" w:color="000000"/>
            </w:tcBorders>
            <w:shd w:val="clear" w:color="auto" w:fill="auto"/>
          </w:tcPr>
          <w:p w14:paraId="5A765D7E" w14:textId="77777777" w:rsidR="00DD411A" w:rsidRPr="00A240EA" w:rsidRDefault="00DD411A" w:rsidP="002B13F1">
            <w:r w:rsidRPr="00A240EA">
              <w:rPr>
                <w:sz w:val="22"/>
              </w:rPr>
              <w:t>377</w:t>
            </w:r>
          </w:p>
        </w:tc>
        <w:tc>
          <w:tcPr>
            <w:tcW w:w="1530" w:type="dxa"/>
            <w:tcBorders>
              <w:top w:val="single" w:sz="4" w:space="0" w:color="000000"/>
              <w:left w:val="single" w:sz="4" w:space="0" w:color="000000"/>
              <w:bottom w:val="single" w:sz="4" w:space="0" w:color="000000"/>
            </w:tcBorders>
            <w:shd w:val="clear" w:color="auto" w:fill="auto"/>
          </w:tcPr>
          <w:p w14:paraId="09ED98D9" w14:textId="77777777" w:rsidR="00DD411A" w:rsidRPr="00A240EA" w:rsidRDefault="00DD411A" w:rsidP="002B13F1">
            <w:r w:rsidRPr="00A240EA">
              <w:rPr>
                <w:sz w:val="22"/>
              </w:rPr>
              <w:t>364</w:t>
            </w:r>
          </w:p>
        </w:tc>
        <w:tc>
          <w:tcPr>
            <w:tcW w:w="990" w:type="dxa"/>
            <w:tcBorders>
              <w:top w:val="single" w:sz="4" w:space="0" w:color="000000"/>
              <w:left w:val="single" w:sz="4" w:space="0" w:color="000000"/>
              <w:bottom w:val="single" w:sz="4" w:space="0" w:color="000000"/>
            </w:tcBorders>
            <w:shd w:val="clear" w:color="auto" w:fill="auto"/>
          </w:tcPr>
          <w:p w14:paraId="4CA0439F" w14:textId="77777777" w:rsidR="00DD411A" w:rsidRPr="00A240EA" w:rsidRDefault="00DD411A" w:rsidP="002B13F1">
            <w:r w:rsidRPr="00A240EA">
              <w:rPr>
                <w:sz w:val="22"/>
              </w:rPr>
              <w:t>933</w:t>
            </w:r>
          </w:p>
        </w:tc>
        <w:tc>
          <w:tcPr>
            <w:tcW w:w="1440" w:type="dxa"/>
            <w:tcBorders>
              <w:top w:val="single" w:sz="4" w:space="0" w:color="000000"/>
              <w:left w:val="single" w:sz="4" w:space="0" w:color="000000"/>
              <w:bottom w:val="single" w:sz="4" w:space="0" w:color="000000"/>
              <w:right w:val="single" w:sz="4" w:space="0" w:color="000000"/>
            </w:tcBorders>
          </w:tcPr>
          <w:p w14:paraId="43CAB1B1" w14:textId="02E01489" w:rsidR="00DD411A" w:rsidRPr="00A240EA" w:rsidRDefault="00DD411A" w:rsidP="002B13F1">
            <w:pPr>
              <w:rPr>
                <w:sz w:val="22"/>
              </w:rPr>
            </w:pPr>
            <w:r w:rsidRPr="00A240EA">
              <w:rPr>
                <w:sz w:val="22"/>
              </w:rPr>
              <w: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635EC35F" w14:textId="77777777" w:rsidR="00DD411A" w:rsidRPr="00A240EA" w:rsidRDefault="00DD411A" w:rsidP="002B13F1">
            <w:r w:rsidRPr="00A240EA">
              <w:rPr>
                <w:sz w:val="22"/>
              </w:rPr>
              <w:t>-12</w:t>
            </w:r>
          </w:p>
        </w:tc>
        <w:tc>
          <w:tcPr>
            <w:tcW w:w="1530" w:type="dxa"/>
            <w:tcBorders>
              <w:top w:val="single" w:sz="4" w:space="0" w:color="000000"/>
              <w:left w:val="single" w:sz="4" w:space="0" w:color="000000"/>
              <w:bottom w:val="single" w:sz="4" w:space="0" w:color="000000"/>
              <w:right w:val="single" w:sz="4" w:space="0" w:color="000000"/>
            </w:tcBorders>
          </w:tcPr>
          <w:p w14:paraId="22EF557D" w14:textId="22D800C2" w:rsidR="00DD411A" w:rsidRPr="00A240EA" w:rsidRDefault="00DD411A" w:rsidP="002B13F1">
            <w:pPr>
              <w:rPr>
                <w:sz w:val="22"/>
              </w:rPr>
            </w:pPr>
            <w:r w:rsidRPr="00A240EA">
              <w:rPr>
                <w:sz w:val="22"/>
              </w:rPr>
              <w:t>-</w:t>
            </w:r>
          </w:p>
        </w:tc>
      </w:tr>
      <w:tr w:rsidR="00A240EA" w:rsidRPr="00A240EA" w14:paraId="5F8D686D" w14:textId="52AF635E" w:rsidTr="00DD411A">
        <w:trPr>
          <w:trHeight w:val="320"/>
        </w:trPr>
        <w:tc>
          <w:tcPr>
            <w:tcW w:w="1237" w:type="dxa"/>
            <w:tcBorders>
              <w:top w:val="single" w:sz="4" w:space="0" w:color="000000"/>
              <w:left w:val="single" w:sz="4" w:space="0" w:color="000000"/>
              <w:bottom w:val="single" w:sz="4" w:space="0" w:color="000000"/>
            </w:tcBorders>
            <w:shd w:val="clear" w:color="auto" w:fill="auto"/>
          </w:tcPr>
          <w:p w14:paraId="7484857B" w14:textId="77777777" w:rsidR="00DD411A" w:rsidRPr="00A240EA" w:rsidRDefault="00DD411A" w:rsidP="002B13F1">
            <w:r w:rsidRPr="00A240EA">
              <w:rPr>
                <w:sz w:val="22"/>
              </w:rPr>
              <w:t>SrSO</w:t>
            </w:r>
            <w:r w:rsidRPr="00A240EA">
              <w:rPr>
                <w:sz w:val="22"/>
                <w:vertAlign w:val="subscript"/>
              </w:rPr>
              <w:t>4</w:t>
            </w:r>
          </w:p>
        </w:tc>
        <w:tc>
          <w:tcPr>
            <w:tcW w:w="990" w:type="dxa"/>
            <w:tcBorders>
              <w:top w:val="single" w:sz="4" w:space="0" w:color="000000"/>
              <w:left w:val="single" w:sz="4" w:space="0" w:color="000000"/>
              <w:bottom w:val="single" w:sz="4" w:space="0" w:color="000000"/>
            </w:tcBorders>
            <w:shd w:val="clear" w:color="auto" w:fill="auto"/>
          </w:tcPr>
          <w:p w14:paraId="2C45438F" w14:textId="77777777" w:rsidR="00DD411A" w:rsidRPr="00A240EA" w:rsidRDefault="00DD411A" w:rsidP="002B13F1">
            <w:r w:rsidRPr="00A240EA">
              <w:rPr>
                <w:sz w:val="22"/>
              </w:rPr>
              <w:t>307</w:t>
            </w:r>
          </w:p>
        </w:tc>
        <w:tc>
          <w:tcPr>
            <w:tcW w:w="1530" w:type="dxa"/>
            <w:tcBorders>
              <w:top w:val="single" w:sz="4" w:space="0" w:color="000000"/>
              <w:left w:val="single" w:sz="4" w:space="0" w:color="000000"/>
              <w:bottom w:val="single" w:sz="4" w:space="0" w:color="000000"/>
            </w:tcBorders>
            <w:shd w:val="clear" w:color="auto" w:fill="auto"/>
          </w:tcPr>
          <w:p w14:paraId="783D95B8" w14:textId="77777777" w:rsidR="00DD411A" w:rsidRPr="00A240EA" w:rsidRDefault="00DD411A" w:rsidP="002B13F1">
            <w:r w:rsidRPr="00A240EA">
              <w:rPr>
                <w:sz w:val="22"/>
              </w:rPr>
              <w:t>308</w:t>
            </w:r>
          </w:p>
        </w:tc>
        <w:tc>
          <w:tcPr>
            <w:tcW w:w="990" w:type="dxa"/>
            <w:tcBorders>
              <w:top w:val="single" w:sz="4" w:space="0" w:color="000000"/>
              <w:left w:val="single" w:sz="4" w:space="0" w:color="000000"/>
              <w:bottom w:val="single" w:sz="4" w:space="0" w:color="000000"/>
            </w:tcBorders>
            <w:shd w:val="clear" w:color="auto" w:fill="auto"/>
          </w:tcPr>
          <w:p w14:paraId="07DF4EC9" w14:textId="77777777" w:rsidR="00DD411A" w:rsidRPr="00A240EA" w:rsidRDefault="00DD411A" w:rsidP="002B13F1">
            <w:r w:rsidRPr="00A240EA">
              <w:rPr>
                <w:sz w:val="22"/>
              </w:rPr>
              <w:t>956</w:t>
            </w:r>
          </w:p>
        </w:tc>
        <w:tc>
          <w:tcPr>
            <w:tcW w:w="1440" w:type="dxa"/>
            <w:tcBorders>
              <w:top w:val="single" w:sz="4" w:space="0" w:color="000000"/>
              <w:left w:val="single" w:sz="4" w:space="0" w:color="000000"/>
              <w:bottom w:val="single" w:sz="4" w:space="0" w:color="000000"/>
              <w:right w:val="single" w:sz="4" w:space="0" w:color="000000"/>
            </w:tcBorders>
          </w:tcPr>
          <w:p w14:paraId="3C10AB2B" w14:textId="7156A78B" w:rsidR="00DD411A" w:rsidRPr="00A240EA" w:rsidRDefault="00DD411A" w:rsidP="002B13F1">
            <w:pPr>
              <w:rPr>
                <w:sz w:val="22"/>
              </w:rPr>
            </w:pPr>
            <w:r w:rsidRPr="00A240EA">
              <w:rPr>
                <w:sz w:val="22"/>
              </w:rPr>
              <w:t>1001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1009B5BA" w14:textId="77777777" w:rsidR="00DD411A" w:rsidRPr="00A240EA" w:rsidRDefault="00DD411A" w:rsidP="002B13F1">
            <w:r w:rsidRPr="00A240EA">
              <w:rPr>
                <w:sz w:val="22"/>
              </w:rPr>
              <w:t>11</w:t>
            </w:r>
          </w:p>
        </w:tc>
        <w:tc>
          <w:tcPr>
            <w:tcW w:w="153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2D83E783" w14:textId="0B4F0700" w:rsidR="00DD411A" w:rsidRPr="00A240EA" w:rsidRDefault="00DD411A" w:rsidP="002B13F1">
            <w:pPr>
              <w:rPr>
                <w:sz w:val="22"/>
              </w:rPr>
            </w:pPr>
            <w:r w:rsidRPr="00A240EA">
              <w:rPr>
                <w:sz w:val="22"/>
              </w:rPr>
              <w:t>12</w:t>
            </w:r>
          </w:p>
        </w:tc>
      </w:tr>
    </w:tbl>
    <w:p w14:paraId="4E079E46" w14:textId="6D796F82" w:rsidR="002B094C" w:rsidRPr="00A240EA" w:rsidRDefault="006431B8" w:rsidP="006431B8">
      <w:pPr>
        <w:jc w:val="center"/>
      </w:pPr>
      <w:r w:rsidRPr="00A240EA">
        <w:rPr>
          <w:noProof/>
        </w:rPr>
        <w:lastRenderedPageBreak/>
        <w:drawing>
          <wp:inline distT="0" distB="0" distL="0" distR="0" wp14:anchorId="3EF7A074" wp14:editId="2DB92640">
            <wp:extent cx="5804828" cy="4332100"/>
            <wp:effectExtent l="0" t="0" r="5715" b="0"/>
            <wp:docPr id="564910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29214" cy="4350299"/>
                    </a:xfrm>
                    <a:prstGeom prst="rect">
                      <a:avLst/>
                    </a:prstGeom>
                    <a:noFill/>
                  </pic:spPr>
                </pic:pic>
              </a:graphicData>
            </a:graphic>
          </wp:inline>
        </w:drawing>
      </w:r>
    </w:p>
    <w:p w14:paraId="3169C717" w14:textId="4D514C04" w:rsidR="006431B8" w:rsidRPr="00A240EA" w:rsidRDefault="006431B8" w:rsidP="006431B8">
      <w:pPr>
        <w:jc w:val="center"/>
      </w:pPr>
      <w:r w:rsidRPr="00A240EA">
        <w:rPr>
          <w:b/>
          <w:bCs/>
        </w:rPr>
        <w:t xml:space="preserve">Figure </w:t>
      </w:r>
      <w:r w:rsidR="00D10227" w:rsidRPr="00A240EA">
        <w:rPr>
          <w:b/>
          <w:bCs/>
        </w:rPr>
        <w:t>S3</w:t>
      </w:r>
      <w:r w:rsidRPr="00A240EA">
        <w:rPr>
          <w:b/>
          <w:bCs/>
        </w:rPr>
        <w:t xml:space="preserve">: </w:t>
      </w:r>
      <w:r w:rsidR="001F59A1" w:rsidRPr="00A240EA">
        <w:t xml:space="preserve">Computed </w:t>
      </w:r>
      <w:r w:rsidRPr="00A240EA">
        <w:t>Raman spectra for BaSO</w:t>
      </w:r>
      <w:r w:rsidRPr="00A240EA">
        <w:rPr>
          <w:vertAlign w:val="subscript"/>
        </w:rPr>
        <w:t>4</w:t>
      </w:r>
      <w:r w:rsidRPr="00A240EA">
        <w:t>, RaSO</w:t>
      </w:r>
      <w:r w:rsidRPr="00A240EA">
        <w:rPr>
          <w:vertAlign w:val="subscript"/>
        </w:rPr>
        <w:t>4</w:t>
      </w:r>
      <w:r w:rsidRPr="00A240EA">
        <w:t xml:space="preserve"> and SrSO</w:t>
      </w:r>
      <w:r w:rsidRPr="00A240EA">
        <w:rPr>
          <w:vertAlign w:val="subscript"/>
        </w:rPr>
        <w:t>4</w:t>
      </w:r>
      <w:r w:rsidRPr="00A240EA">
        <w:t xml:space="preserve"> </w:t>
      </w:r>
      <w:r w:rsidR="001F59A1" w:rsidRPr="00A240EA">
        <w:t>compounds.</w:t>
      </w:r>
    </w:p>
    <w:p w14:paraId="7AC8595D" w14:textId="77777777" w:rsidR="0088164B" w:rsidRPr="00A240EA" w:rsidRDefault="0088164B">
      <w:pPr>
        <w:spacing w:before="0" w:after="160"/>
        <w:jc w:val="left"/>
      </w:pPr>
      <w:r w:rsidRPr="00A240EA">
        <w:br w:type="page"/>
      </w:r>
    </w:p>
    <w:p w14:paraId="160BD44D" w14:textId="39611537" w:rsidR="0088164B" w:rsidRPr="00A240EA" w:rsidRDefault="0088164B" w:rsidP="0088164B">
      <w:pPr>
        <w:pStyle w:val="Heading2"/>
        <w:rPr>
          <w:color w:val="auto"/>
        </w:rPr>
      </w:pPr>
      <w:r w:rsidRPr="00A240EA">
        <w:rPr>
          <w:color w:val="auto"/>
        </w:rPr>
        <w:lastRenderedPageBreak/>
        <w:t xml:space="preserve">Supplementary Note </w:t>
      </w:r>
      <w:r w:rsidR="00D40A9B" w:rsidRPr="00A240EA">
        <w:rPr>
          <w:color w:val="auto"/>
        </w:rPr>
        <w:t>5</w:t>
      </w:r>
    </w:p>
    <w:p w14:paraId="5EDC4E56" w14:textId="3D068D48" w:rsidR="0088164B" w:rsidRPr="00A240EA" w:rsidRDefault="0088164B" w:rsidP="0088164B">
      <w:pPr>
        <w:rPr>
          <w:b/>
          <w:bCs/>
        </w:rPr>
      </w:pPr>
      <w:r w:rsidRPr="00A240EA">
        <w:rPr>
          <w:b/>
          <w:bCs/>
        </w:rPr>
        <w:t>Comparison of our results with Hedström et al. et al</w:t>
      </w:r>
      <w:r w:rsidRPr="00A240EA">
        <w:rPr>
          <w:b/>
          <w:bCs/>
          <w:vertAlign w:val="superscript"/>
        </w:rPr>
        <w:fldChar w:fldCharType="begin"/>
      </w:r>
      <w:r w:rsidRPr="00A240EA">
        <w:rPr>
          <w:b/>
          <w:bCs/>
          <w:vertAlign w:val="superscript"/>
        </w:rPr>
        <w:instrText xml:space="preserve"> ADDIN EN.CITE &lt;EndNote&gt;&lt;Cite&gt;&lt;Author&gt;Hedström&lt;/Author&gt;&lt;Year&gt;2013&lt;/Year&gt;&lt;RecNum&gt;310&lt;/RecNum&gt;&lt;DisplayText&gt;&lt;style face="superscript"&gt;10&lt;/style&gt;&lt;/DisplayText&gt;&lt;record&gt;&lt;rec-number&gt;310&lt;/rec-number&gt;&lt;foreign-keys&gt;&lt;key app="EN" db-id="t0vpswfv59fp5gefxd2v9pau50pwewe9rxdz" timestamp="1712352305"&gt;310&lt;/key&gt;&lt;/foreign-keys&gt;&lt;ref-type name="Journal Article"&gt;17&lt;/ref-type&gt;&lt;contributors&gt;&lt;authors&gt;&lt;author&gt;Hedström, Hanna&lt;/author&gt;&lt;author&gt;Ramebäck, Henrik&lt;/author&gt;&lt;author&gt;Ekberg, Christian&lt;/author&gt;&lt;/authors&gt;&lt;/contributors&gt;&lt;titles&gt;&lt;title&gt;A study of the Arrhenius behavior of the co-precipitation of radium, barium and strontium sulfate&lt;/title&gt;&lt;secondary-title&gt;Journal of Radioanalytical and Nuclear Chemistry&lt;/secondary-title&gt;&lt;/titles&gt;&lt;periodical&gt;&lt;full-title&gt;Journal of Radioanalytical and Nuclear Chemistry&lt;/full-title&gt;&lt;abbr-1&gt;J. Radioanal. Nucl. Chem.&lt;/abbr-1&gt;&lt;/periodical&gt;&lt;pages&gt;847-852&lt;/pages&gt;&lt;volume&gt;298&lt;/volume&gt;&lt;number&gt;2&lt;/number&gt;&lt;dates&gt;&lt;year&gt;2013&lt;/year&gt;&lt;pub-dates&gt;&lt;date&gt;2013/11/01&lt;/date&gt;&lt;/pub-dates&gt;&lt;/dates&gt;&lt;isbn&gt;1588-2780&lt;/isbn&gt;&lt;urls&gt;&lt;related-urls&gt;&lt;url&gt;https://doi.org/10.1007/s10967-013-2431-0&lt;/url&gt;&lt;/related-urls&gt;&lt;/urls&gt;&lt;electronic-resource-num&gt;10.1007/s10967-013-2431-0&lt;/electronic-resource-num&gt;&lt;/record&gt;&lt;/Cite&gt;&lt;/EndNote&gt;</w:instrText>
      </w:r>
      <w:r w:rsidRPr="00A240EA">
        <w:rPr>
          <w:b/>
          <w:bCs/>
          <w:vertAlign w:val="superscript"/>
        </w:rPr>
        <w:fldChar w:fldCharType="separate"/>
      </w:r>
      <w:r w:rsidRPr="00A240EA">
        <w:rPr>
          <w:b/>
          <w:bCs/>
          <w:vertAlign w:val="superscript"/>
        </w:rPr>
        <w:t>10</w:t>
      </w:r>
      <w:r w:rsidRPr="00A240EA">
        <w:rPr>
          <w:b/>
          <w:bCs/>
          <w:vertAlign w:val="superscript"/>
        </w:rPr>
        <w:fldChar w:fldCharType="end"/>
      </w:r>
    </w:p>
    <w:p w14:paraId="1A991406" w14:textId="109EA830" w:rsidR="0088164B" w:rsidRPr="00A240EA" w:rsidRDefault="0088164B" w:rsidP="008C7C2A">
      <w:pPr>
        <w:spacing w:before="0" w:after="160"/>
      </w:pPr>
      <w:r w:rsidRPr="00A240EA">
        <w:t>A direct comparison of the kinetic rate reported in this work and Hedström et al.</w:t>
      </w:r>
      <w:r w:rsidRPr="00A240EA">
        <w:rPr>
          <w:vertAlign w:val="superscript"/>
        </w:rPr>
        <w:fldChar w:fldCharType="begin"/>
      </w:r>
      <w:r w:rsidRPr="00A240EA">
        <w:rPr>
          <w:vertAlign w:val="superscript"/>
        </w:rPr>
        <w:instrText xml:space="preserve"> ADDIN EN.CITE &lt;EndNote&gt;&lt;Cite&gt;&lt;Author&gt;Hedström&lt;/Author&gt;&lt;Year&gt;2013&lt;/Year&gt;&lt;RecNum&gt;310&lt;/RecNum&gt;&lt;DisplayText&gt;&lt;style face="superscript"&gt;10&lt;/style&gt;&lt;/DisplayText&gt;&lt;record&gt;&lt;rec-number&gt;310&lt;/rec-number&gt;&lt;foreign-keys&gt;&lt;key app="EN" db-id="t0vpswfv59fp5gefxd2v9pau50pwewe9rxdz" timestamp="1712352305"&gt;310&lt;/key&gt;&lt;/foreign-keys&gt;&lt;ref-type name="Journal Article"&gt;17&lt;/ref-type&gt;&lt;contributors&gt;&lt;authors&gt;&lt;author&gt;Hedström, Hanna&lt;/author&gt;&lt;author&gt;Ramebäck, Henrik&lt;/author&gt;&lt;author&gt;Ekberg, Christian&lt;/author&gt;&lt;/authors&gt;&lt;/contributors&gt;&lt;titles&gt;&lt;title&gt;A study of the Arrhenius behavior of the co-precipitation of radium, barium and strontium sulfate&lt;/title&gt;&lt;secondary-title&gt;Journal of Radioanalytical and Nuclear Chemistry&lt;/secondary-title&gt;&lt;/titles&gt;&lt;periodical&gt;&lt;full-title&gt;Journal of Radioanalytical and Nuclear Chemistry&lt;/full-title&gt;&lt;abbr-1&gt;J. Radioanal. Nucl. Chem.&lt;/abbr-1&gt;&lt;/periodical&gt;&lt;pages&gt;847-852&lt;/pages&gt;&lt;volume&gt;298&lt;/volume&gt;&lt;number&gt;2&lt;/number&gt;&lt;dates&gt;&lt;year&gt;2013&lt;/year&gt;&lt;pub-dates&gt;&lt;date&gt;2013/11/01&lt;/date&gt;&lt;/pub-dates&gt;&lt;/dates&gt;&lt;isbn&gt;1588-2780&lt;/isbn&gt;&lt;urls&gt;&lt;related-urls&gt;&lt;url&gt;https://doi.org/10.1007/s10967-013-2431-0&lt;/url&gt;&lt;/related-urls&gt;&lt;/urls&gt;&lt;electronic-resource-num&gt;10.1007/s10967-013-2431-0&lt;/electronic-resource-num&gt;&lt;/record&gt;&lt;/Cite&gt;&lt;/EndNote&gt;</w:instrText>
      </w:r>
      <w:r w:rsidRPr="00A240EA">
        <w:rPr>
          <w:vertAlign w:val="superscript"/>
        </w:rPr>
        <w:fldChar w:fldCharType="separate"/>
      </w:r>
      <w:r w:rsidRPr="00A240EA">
        <w:rPr>
          <w:vertAlign w:val="superscript"/>
        </w:rPr>
        <w:t>10</w:t>
      </w:r>
      <w:r w:rsidRPr="00A240EA">
        <w:rPr>
          <w:vertAlign w:val="superscript"/>
        </w:rPr>
        <w:fldChar w:fldCharType="end"/>
      </w:r>
      <w:r w:rsidRPr="00A240EA">
        <w:t xml:space="preserve"> is not possible, as the rate is not given as a function of supersaturation ratio and is not normalized to the surface area as in </w:t>
      </w:r>
      <w:r w:rsidR="00D10227" w:rsidRPr="00A240EA">
        <w:t>the current</w:t>
      </w:r>
      <w:r w:rsidRPr="00A240EA">
        <w:t xml:space="preserve"> work and commonly reported in the geoscience community (e.g. </w:t>
      </w:r>
      <w:hyperlink r:id="rId20" w:history="1">
        <w:r w:rsidR="008C7C2A" w:rsidRPr="00A240EA">
          <w:rPr>
            <w:rStyle w:val="Hyperlink"/>
            <w:color w:val="auto"/>
          </w:rPr>
          <w:t>https://pubs.usgs.gov/of/2004/1068/</w:t>
        </w:r>
      </w:hyperlink>
      <w:r w:rsidRPr="00A240EA">
        <w:t>). Moreover, the absence of chemical characterization of the precipitates by standard tools like XRD/SEM or Raman makes it difficult to determine if a solid solution of the same chemical composition was synthesized in Hedström et al.</w:t>
      </w:r>
      <w:bookmarkStart w:id="15" w:name="_Hlk163386377"/>
      <w:r w:rsidR="00E4334C" w:rsidRPr="00A240EA">
        <w:fldChar w:fldCharType="begin"/>
      </w:r>
      <w:r w:rsidR="00E4334C" w:rsidRPr="00A240EA">
        <w:instrText xml:space="preserve"> ADDIN EN.CITE &lt;EndNote&gt;&lt;Cite&gt;&lt;Author&gt;Hedström&lt;/Author&gt;&lt;Year&gt;2013&lt;/Year&gt;&lt;RecNum&gt;310&lt;/RecNum&gt;&lt;DisplayText&gt;&lt;style face="superscript"&gt;10&lt;/style&gt;&lt;/DisplayText&gt;&lt;record&gt;&lt;rec-number&gt;310&lt;/rec-number&gt;&lt;foreign-keys&gt;&lt;key app="EN" db-id="t0vpswfv59fp5gefxd2v9pau50pwewe9rxdz" timestamp="1712352305"&gt;310&lt;/key&gt;&lt;/foreign-keys&gt;&lt;ref-type name="Journal Article"&gt;17&lt;/ref-type&gt;&lt;contributors&gt;&lt;authors&gt;&lt;author&gt;Hedström, Hanna&lt;/author&gt;&lt;author&gt;Ramebäck, Henrik&lt;/author&gt;&lt;author&gt;Ekberg, Christian&lt;/author&gt;&lt;/authors&gt;&lt;/contributors&gt;&lt;titles&gt;&lt;title&gt;A study of the Arrhenius behavior of the co-precipitation of radium, barium and strontium sulfate&lt;/title&gt;&lt;secondary-title&gt;Journal of Radioanalytical and Nuclear Chemistry&lt;/secondary-title&gt;&lt;/titles&gt;&lt;periodical&gt;&lt;full-title&gt;Journal of Radioanalytical and Nuclear Chemistry&lt;/full-title&gt;&lt;abbr-1&gt;J. Radioanal. Nucl. Chem.&lt;/abbr-1&gt;&lt;/periodical&gt;&lt;pages&gt;847-852&lt;/pages&gt;&lt;volume&gt;298&lt;/volume&gt;&lt;number&gt;2&lt;/number&gt;&lt;dates&gt;&lt;year&gt;2013&lt;/year&gt;&lt;pub-dates&gt;&lt;date&gt;2013/11/01&lt;/date&gt;&lt;/pub-dates&gt;&lt;/dates&gt;&lt;isbn&gt;1588-2780&lt;/isbn&gt;&lt;urls&gt;&lt;related-urls&gt;&lt;url&gt;https://doi.org/10.1007/s10967-013-2431-0&lt;/url&gt;&lt;/related-urls&gt;&lt;/urls&gt;&lt;electronic-resource-num&gt;10.1007/s10967-013-2431-0&lt;/electronic-resource-num&gt;&lt;/record&gt;&lt;/Cite&gt;&lt;/EndNote&gt;</w:instrText>
      </w:r>
      <w:r w:rsidR="00E4334C" w:rsidRPr="00A240EA">
        <w:fldChar w:fldCharType="separate"/>
      </w:r>
      <w:r w:rsidR="00E4334C" w:rsidRPr="00A240EA">
        <w:rPr>
          <w:noProof/>
          <w:vertAlign w:val="superscript"/>
        </w:rPr>
        <w:t>10</w:t>
      </w:r>
      <w:r w:rsidR="00E4334C" w:rsidRPr="00A240EA">
        <w:fldChar w:fldCharType="end"/>
      </w:r>
      <w:bookmarkEnd w:id="15"/>
      <w:r w:rsidRPr="00A240EA">
        <w:t>. The data needed for further processing.</w:t>
      </w:r>
    </w:p>
    <w:p w14:paraId="5BC99EDB" w14:textId="29AD189A" w:rsidR="00BF1B2D" w:rsidRPr="00A240EA" w:rsidRDefault="00BF1B2D" w:rsidP="008C7C2A">
      <w:pPr>
        <w:spacing w:before="0" w:after="160"/>
      </w:pPr>
      <w:r w:rsidRPr="00A240EA">
        <w:t>Using Equation 1 and coefficients from Table 1 by Hedström et al.</w:t>
      </w:r>
      <w:r w:rsidR="00D10227" w:rsidRPr="00A240EA">
        <w:fldChar w:fldCharType="begin"/>
      </w:r>
      <w:r w:rsidR="00D10227" w:rsidRPr="00A240EA">
        <w:instrText xml:space="preserve"> ADDIN EN.CITE &lt;EndNote&gt;&lt;Cite&gt;&lt;Author&gt;Hedström&lt;/Author&gt;&lt;Year&gt;2013&lt;/Year&gt;&lt;RecNum&gt;310&lt;/RecNum&gt;&lt;DisplayText&gt;&lt;style face="superscript"&gt;10&lt;/style&gt;&lt;/DisplayText&gt;&lt;record&gt;&lt;rec-number&gt;310&lt;/rec-number&gt;&lt;foreign-keys&gt;&lt;key app="EN" db-id="t0vpswfv59fp5gefxd2v9pau50pwewe9rxdz" timestamp="1712352305"&gt;310&lt;/key&gt;&lt;/foreign-keys&gt;&lt;ref-type name="Journal Article"&gt;17&lt;/ref-type&gt;&lt;contributors&gt;&lt;authors&gt;&lt;author&gt;Hedström, Hanna&lt;/author&gt;&lt;author&gt;Ramebäck, Henrik&lt;/author&gt;&lt;author&gt;Ekberg, Christian&lt;/author&gt;&lt;/authors&gt;&lt;/contributors&gt;&lt;titles&gt;&lt;title&gt;A study of the Arrhenius behavior of the co-precipitation of radium, barium and strontium sulfate&lt;/title&gt;&lt;secondary-title&gt;Journal of Radioanalytical and Nuclear Chemistry&lt;/secondary-title&gt;&lt;/titles&gt;&lt;periodical&gt;&lt;full-title&gt;Journal of Radioanalytical and Nuclear Chemistry&lt;/full-title&gt;&lt;abbr-1&gt;J. Radioanal. Nucl. Chem.&lt;/abbr-1&gt;&lt;/periodical&gt;&lt;pages&gt;847-852&lt;/pages&gt;&lt;volume&gt;298&lt;/volume&gt;&lt;number&gt;2&lt;/number&gt;&lt;dates&gt;&lt;year&gt;2013&lt;/year&gt;&lt;pub-dates&gt;&lt;date&gt;2013/11/01&lt;/date&gt;&lt;/pub-dates&gt;&lt;/dates&gt;&lt;isbn&gt;1588-2780&lt;/isbn&gt;&lt;urls&gt;&lt;related-urls&gt;&lt;url&gt;https://doi.org/10.1007/s10967-013-2431-0&lt;/url&gt;&lt;/related-urls&gt;&lt;/urls&gt;&lt;electronic-resource-num&gt;10.1007/s10967-013-2431-0&lt;/electronic-resource-num&gt;&lt;/record&gt;&lt;/Cite&gt;&lt;/EndNote&gt;</w:instrText>
      </w:r>
      <w:r w:rsidR="00D10227" w:rsidRPr="00A240EA">
        <w:fldChar w:fldCharType="separate"/>
      </w:r>
      <w:r w:rsidR="00D10227" w:rsidRPr="00A240EA">
        <w:rPr>
          <w:noProof/>
          <w:vertAlign w:val="superscript"/>
        </w:rPr>
        <w:t>10</w:t>
      </w:r>
      <w:r w:rsidR="00D10227" w:rsidRPr="00A240EA">
        <w:fldChar w:fldCharType="end"/>
      </w:r>
      <w:r w:rsidRPr="00A240EA">
        <w:t>, the kinetic constant at 293.15K is calculated to be 4.6</w:t>
      </w:r>
      <w:r w:rsidRPr="00A240EA">
        <w:rPr>
          <w:rFonts w:eastAsiaTheme="minorEastAsia"/>
        </w:rPr>
        <w:t> </w:t>
      </w:r>
      <w:r w:rsidRPr="00A240EA">
        <w:t>x</w:t>
      </w:r>
      <w:r w:rsidRPr="00A240EA">
        <w:rPr>
          <w:rFonts w:eastAsiaTheme="minorEastAsia"/>
        </w:rPr>
        <w:t> </w:t>
      </w:r>
      <w:r w:rsidRPr="00A240EA">
        <w:t>10</w:t>
      </w:r>
      <w:r w:rsidRPr="00A240EA">
        <w:rPr>
          <w:rFonts w:eastAsiaTheme="minorEastAsia"/>
        </w:rPr>
        <w:t> </w:t>
      </w:r>
      <w:r w:rsidRPr="00A240EA">
        <w:rPr>
          <w:vertAlign w:val="superscript"/>
        </w:rPr>
        <w:t>-6</w:t>
      </w:r>
      <w:r w:rsidRPr="00A240EA">
        <w:rPr>
          <w:rFonts w:eastAsiaTheme="minorEastAsia"/>
        </w:rPr>
        <w:t> </w:t>
      </w:r>
      <w:r w:rsidRPr="00A240EA">
        <w:t>mol</w:t>
      </w:r>
      <w:r w:rsidRPr="00A240EA">
        <w:rPr>
          <w:rFonts w:eastAsiaTheme="minorEastAsia"/>
        </w:rPr>
        <w:t> </w:t>
      </w:r>
      <w:r w:rsidRPr="00A240EA">
        <w:t>s</w:t>
      </w:r>
      <w:r w:rsidRPr="00A240EA">
        <w:rPr>
          <w:vertAlign w:val="superscript"/>
        </w:rPr>
        <w:t>-1</w:t>
      </w:r>
      <w:r w:rsidRPr="00A240EA">
        <w:t>. Assuming a specific surface area of 0.5</w:t>
      </w:r>
      <w:r w:rsidRPr="00A240EA">
        <w:rPr>
          <w:rFonts w:eastAsiaTheme="minorEastAsia"/>
        </w:rPr>
        <w:t> </w:t>
      </w:r>
      <w:r w:rsidRPr="00A240EA">
        <w:t>m</w:t>
      </w:r>
      <w:r w:rsidRPr="00A240EA">
        <w:rPr>
          <w:vertAlign w:val="superscript"/>
        </w:rPr>
        <w:t>2</w:t>
      </w:r>
      <w:r w:rsidRPr="00A240EA">
        <w:rPr>
          <w:rFonts w:eastAsiaTheme="minorEastAsia"/>
        </w:rPr>
        <w:t> </w:t>
      </w:r>
      <w:r w:rsidRPr="00A240EA">
        <w:t>g</w:t>
      </w:r>
      <w:r w:rsidRPr="00A240EA">
        <w:rPr>
          <w:vertAlign w:val="superscript"/>
        </w:rPr>
        <w:t>-1</w:t>
      </w:r>
      <w:r w:rsidRPr="00A240EA">
        <w:t xml:space="preserve"> (BET surface area reported for barite from Bosbach et al.</w:t>
      </w:r>
      <w:r w:rsidRPr="00A240EA">
        <w:fldChar w:fldCharType="begin"/>
      </w:r>
      <w:r w:rsidRPr="00A240EA">
        <w:instrText xml:space="preserve"> ADDIN EN.CITE &lt;EndNote&gt;&lt;Cite&gt;&lt;Author&gt;Bosbach&lt;/Author&gt;&lt;Year&gt;2002&lt;/Year&gt;&lt;RecNum&gt;159&lt;/RecNum&gt;&lt;DisplayText&gt;&lt;style face="superscript"&gt;11&lt;/style&gt;&lt;/DisplayText&gt;&lt;record&gt;&lt;rec-number&gt;159&lt;/rec-number&gt;&lt;foreign-keys&gt;&lt;key app="EN" db-id="t0vpswfv59fp5gefxd2v9pau50pwewe9rxdz" timestamp="1699975030"&gt;159&lt;/key&gt;&lt;/foreign-keys&gt;&lt;ref-type name="Book Section"&gt;5&lt;/ref-type&gt;&lt;contributors&gt;&lt;authors&gt;&lt;author&gt;Bosbach, Dirk&lt;/author&gt;&lt;/authors&gt;&lt;secondary-authors&gt;&lt;author&gt;Hellmann, Roland; Wood, Scott A.&lt;/author&gt;&lt;/secondary-authors&gt;&lt;/contributors&gt;&lt;titles&gt;&lt;title&gt;Linking molecular scale barite precipitation mechanisms with macroscopic reaction rates&lt;/title&gt;&lt;secondary-title&gt;Water-rock interactions, ore deposits, and environmental geochemistry:  A tribute to David A. Crerar&lt;/secondary-title&gt;&lt;/titles&gt;&lt;pages&gt;97-110&lt;/pages&gt;&lt;volume&gt;7&lt;/volume&gt;&lt;dates&gt;&lt;year&gt;2002&lt;/year&gt;&lt;/dates&gt;&lt;pub-location&gt;St Louis&lt;/pub-location&gt;&lt;publisher&gt;Geochemical Society special publication&lt;/publisher&gt;&lt;urls&gt;&lt;/urls&gt;&lt;electronic-resource-num&gt;https://www.geochemsoc.org/files/8014/1270/4638/SP-7_097-110_Bosbach.pdf&lt;/electronic-resource-num&gt;&lt;/record&gt;&lt;/Cite&gt;&lt;/EndNote&gt;</w:instrText>
      </w:r>
      <w:r w:rsidRPr="00A240EA">
        <w:fldChar w:fldCharType="separate"/>
      </w:r>
      <w:r w:rsidRPr="00A240EA">
        <w:rPr>
          <w:noProof/>
          <w:vertAlign w:val="superscript"/>
        </w:rPr>
        <w:t>11</w:t>
      </w:r>
      <w:r w:rsidRPr="00A240EA">
        <w:fldChar w:fldCharType="end"/>
      </w:r>
      <w:r w:rsidRPr="00A240EA">
        <w:t>), re-evaluated to 138.9</w:t>
      </w:r>
      <w:r w:rsidRPr="00A240EA">
        <w:rPr>
          <w:rFonts w:eastAsiaTheme="minorEastAsia"/>
        </w:rPr>
        <w:t> </w:t>
      </w:r>
      <w:r w:rsidRPr="00A240EA">
        <w:t xml:space="preserve"> m</w:t>
      </w:r>
      <w:r w:rsidRPr="00A240EA">
        <w:rPr>
          <w:vertAlign w:val="superscript"/>
        </w:rPr>
        <w:t>2</w:t>
      </w:r>
      <w:r w:rsidRPr="00A240EA">
        <w:rPr>
          <w:rFonts w:eastAsiaTheme="minorEastAsia"/>
        </w:rPr>
        <w:t> </w:t>
      </w:r>
      <w:r w:rsidRPr="00A240EA">
        <w:t>mol</w:t>
      </w:r>
      <w:r w:rsidRPr="00A240EA">
        <w:rPr>
          <w:vertAlign w:val="superscript"/>
        </w:rPr>
        <w:t>-1</w:t>
      </w:r>
      <w:r w:rsidRPr="00A240EA">
        <w:t xml:space="preserve"> for Ba</w:t>
      </w:r>
      <w:r w:rsidRPr="00A240EA">
        <w:rPr>
          <w:vertAlign w:val="subscript"/>
        </w:rPr>
        <w:t>0.5</w:t>
      </w:r>
      <w:r w:rsidRPr="00A240EA">
        <w:t>Ra</w:t>
      </w:r>
      <w:r w:rsidRPr="00A240EA">
        <w:rPr>
          <w:vertAlign w:val="subscript"/>
        </w:rPr>
        <w:t>0.5</w:t>
      </w:r>
      <w:r w:rsidRPr="00A240EA">
        <w:t>SO</w:t>
      </w:r>
      <w:r w:rsidRPr="00A240EA">
        <w:rPr>
          <w:vertAlign w:val="subscript"/>
        </w:rPr>
        <w:t>4</w:t>
      </w:r>
      <w:r w:rsidRPr="00A240EA">
        <w:t>, we estimated a precipitation rate normalized to the surface area as 2.3</w:t>
      </w:r>
      <w:r w:rsidRPr="00A240EA">
        <w:rPr>
          <w:rFonts w:eastAsiaTheme="minorEastAsia"/>
        </w:rPr>
        <w:t> </w:t>
      </w:r>
      <w:r w:rsidRPr="00A240EA">
        <w:t xml:space="preserve"> x</w:t>
      </w:r>
      <w:r w:rsidRPr="00A240EA">
        <w:rPr>
          <w:rFonts w:eastAsiaTheme="minorEastAsia"/>
        </w:rPr>
        <w:t> </w:t>
      </w:r>
      <w:r w:rsidRPr="00A240EA">
        <w:t>10</w:t>
      </w:r>
      <w:r w:rsidRPr="00A240EA">
        <w:rPr>
          <w:vertAlign w:val="superscript"/>
        </w:rPr>
        <w:t>-8</w:t>
      </w:r>
      <w:r w:rsidRPr="00A240EA">
        <w:t xml:space="preserve"> mol</w:t>
      </w:r>
      <w:r w:rsidRPr="00A240EA">
        <w:rPr>
          <w:rFonts w:eastAsiaTheme="minorEastAsia"/>
        </w:rPr>
        <w:t> </w:t>
      </w:r>
      <w:r w:rsidRPr="00A240EA">
        <w:t xml:space="preserve"> m</w:t>
      </w:r>
      <w:r w:rsidRPr="00A240EA">
        <w:rPr>
          <w:vertAlign w:val="superscript"/>
        </w:rPr>
        <w:t>-2</w:t>
      </w:r>
      <w:r w:rsidRPr="00A240EA">
        <w:rPr>
          <w:rFonts w:eastAsiaTheme="minorEastAsia"/>
        </w:rPr>
        <w:t> </w:t>
      </w:r>
      <w:r w:rsidRPr="00A240EA">
        <w:t xml:space="preserve"> s</w:t>
      </w:r>
      <w:r w:rsidRPr="00A240EA">
        <w:rPr>
          <w:vertAlign w:val="superscript"/>
        </w:rPr>
        <w:t>-1</w:t>
      </w:r>
      <w:r w:rsidRPr="00A240EA">
        <w:t>.</w:t>
      </w:r>
    </w:p>
    <w:p w14:paraId="5D948108" w14:textId="77777777" w:rsidR="000D3D0E" w:rsidRPr="00A240EA" w:rsidRDefault="00E4334C" w:rsidP="00E4334C">
      <w:pPr>
        <w:spacing w:before="0" w:after="160"/>
      </w:pPr>
      <w:r w:rsidRPr="00A240EA">
        <w:t xml:space="preserve">The kinetic rate in our study, being a function of supersaturation, requires re-evaluation for comparison. We computed the geochemical speciation of the solution and the stoichiometric saturation function, </w:t>
      </w:r>
      <w:proofErr w:type="spellStart"/>
      <w:r w:rsidRPr="00A240EA">
        <w:t>Ωst</w:t>
      </w:r>
      <w:proofErr w:type="spellEnd"/>
      <w:r w:rsidRPr="00A240EA">
        <w:t>, based on the data provided in Hedström et al.</w:t>
      </w:r>
      <w:r w:rsidRPr="00A240EA">
        <w:fldChar w:fldCharType="begin"/>
      </w:r>
      <w:r w:rsidRPr="00A240EA">
        <w:instrText xml:space="preserve"> ADDIN EN.CITE &lt;EndNote&gt;&lt;Cite&gt;&lt;Author&gt;Hedström&lt;/Author&gt;&lt;Year&gt;2013&lt;/Year&gt;&lt;RecNum&gt;310&lt;/RecNum&gt;&lt;DisplayText&gt;&lt;style face="superscript"&gt;10&lt;/style&gt;&lt;/DisplayText&gt;&lt;record&gt;&lt;rec-number&gt;310&lt;/rec-number&gt;&lt;foreign-keys&gt;&lt;key app="EN" db-id="t0vpswfv59fp5gefxd2v9pau50pwewe9rxdz" timestamp="1712352305"&gt;310&lt;/key&gt;&lt;/foreign-keys&gt;&lt;ref-type name="Journal Article"&gt;17&lt;/ref-type&gt;&lt;contributors&gt;&lt;authors&gt;&lt;author&gt;Hedström, Hanna&lt;/author&gt;&lt;author&gt;Ramebäck, Henrik&lt;/author&gt;&lt;author&gt;Ekberg, Christian&lt;/author&gt;&lt;/authors&gt;&lt;/contributors&gt;&lt;titles&gt;&lt;title&gt;A study of the Arrhenius behavior of the co-precipitation of radium, barium and strontium sulfate&lt;/title&gt;&lt;secondary-title&gt;Journal of Radioanalytical and Nuclear Chemistry&lt;/secondary-title&gt;&lt;/titles&gt;&lt;periodical&gt;&lt;full-title&gt;Journal of Radioanalytical and Nuclear Chemistry&lt;/full-title&gt;&lt;abbr-1&gt;J. Radioanal. Nucl. Chem.&lt;/abbr-1&gt;&lt;/periodical&gt;&lt;pages&gt;847-852&lt;/pages&gt;&lt;volume&gt;298&lt;/volume&gt;&lt;number&gt;2&lt;/number&gt;&lt;dates&gt;&lt;year&gt;2013&lt;/year&gt;&lt;pub-dates&gt;&lt;date&gt;2013/11/01&lt;/date&gt;&lt;/pub-dates&gt;&lt;/dates&gt;&lt;isbn&gt;1588-2780&lt;/isbn&gt;&lt;urls&gt;&lt;related-urls&gt;&lt;url&gt;https://doi.org/10.1007/s10967-013-2431-0&lt;/url&gt;&lt;/related-urls&gt;&lt;/urls&gt;&lt;electronic-resource-num&gt;10.1007/s10967-013-2431-0&lt;/electronic-resource-num&gt;&lt;/record&gt;&lt;/Cite&gt;&lt;/EndNote&gt;</w:instrText>
      </w:r>
      <w:r w:rsidRPr="00A240EA">
        <w:fldChar w:fldCharType="separate"/>
      </w:r>
      <w:r w:rsidRPr="00A240EA">
        <w:rPr>
          <w:noProof/>
          <w:vertAlign w:val="superscript"/>
        </w:rPr>
        <w:t>10</w:t>
      </w:r>
      <w:r w:rsidRPr="00A240EA">
        <w:fldChar w:fldCharType="end"/>
      </w:r>
      <w:r w:rsidRPr="00A240EA">
        <w:t xml:space="preserve"> (RaCl</w:t>
      </w:r>
      <w:r w:rsidRPr="00A240EA">
        <w:rPr>
          <w:vertAlign w:val="subscript"/>
        </w:rPr>
        <w:t>2</w:t>
      </w:r>
      <w:r w:rsidRPr="00A240EA">
        <w:t xml:space="preserve"> 7</w:t>
      </w:r>
      <w:r w:rsidRPr="00A240EA">
        <w:rPr>
          <w:rFonts w:eastAsiaTheme="minorEastAsia"/>
        </w:rPr>
        <w:t xml:space="preserve">  </w:t>
      </w:r>
      <w:r w:rsidRPr="00A240EA">
        <w:t>x</w:t>
      </w:r>
      <w:r w:rsidRPr="00A240EA">
        <w:rPr>
          <w:rFonts w:eastAsiaTheme="minorEastAsia"/>
        </w:rPr>
        <w:t> </w:t>
      </w:r>
      <w:r w:rsidRPr="00A240EA">
        <w:t>10</w:t>
      </w:r>
      <w:r w:rsidRPr="00A240EA">
        <w:rPr>
          <w:rFonts w:eastAsiaTheme="minorEastAsia"/>
        </w:rPr>
        <w:t> </w:t>
      </w:r>
      <w:r w:rsidRPr="00A240EA">
        <w:rPr>
          <w:rFonts w:eastAsiaTheme="minorEastAsia"/>
          <w:vertAlign w:val="superscript"/>
        </w:rPr>
        <w:t>-7</w:t>
      </w:r>
      <w:r w:rsidRPr="00A240EA">
        <w:rPr>
          <w:rFonts w:eastAsiaTheme="minorEastAsia"/>
        </w:rPr>
        <w:t> </w:t>
      </w:r>
      <w:r w:rsidRPr="00A240EA">
        <w:t>M; Ba(NO</w:t>
      </w:r>
      <w:r w:rsidRPr="00A240EA">
        <w:rPr>
          <w:vertAlign w:val="subscript"/>
        </w:rPr>
        <w:t>3</w:t>
      </w:r>
      <w:r w:rsidRPr="00A240EA">
        <w:t>) 7</w:t>
      </w:r>
      <w:r w:rsidRPr="00A240EA">
        <w:rPr>
          <w:rFonts w:eastAsiaTheme="minorEastAsia"/>
        </w:rPr>
        <w:t xml:space="preserve">  </w:t>
      </w:r>
      <w:r w:rsidRPr="00A240EA">
        <w:t>x</w:t>
      </w:r>
      <w:r w:rsidRPr="00A240EA">
        <w:rPr>
          <w:rFonts w:eastAsiaTheme="minorEastAsia"/>
        </w:rPr>
        <w:t> </w:t>
      </w:r>
      <w:r w:rsidRPr="00A240EA">
        <w:t>10</w:t>
      </w:r>
      <w:r w:rsidRPr="00A240EA">
        <w:rPr>
          <w:rFonts w:eastAsiaTheme="minorEastAsia"/>
        </w:rPr>
        <w:t> </w:t>
      </w:r>
      <w:r w:rsidRPr="00A240EA">
        <w:rPr>
          <w:rFonts w:eastAsiaTheme="minorEastAsia"/>
          <w:vertAlign w:val="superscript"/>
        </w:rPr>
        <w:t>-7</w:t>
      </w:r>
      <w:r w:rsidRPr="00A240EA">
        <w:rPr>
          <w:rFonts w:eastAsiaTheme="minorEastAsia"/>
        </w:rPr>
        <w:t> </w:t>
      </w:r>
      <w:r w:rsidRPr="00A240EA">
        <w:t>M; Na</w:t>
      </w:r>
      <w:r w:rsidRPr="00A240EA">
        <w:rPr>
          <w:vertAlign w:val="subscript"/>
        </w:rPr>
        <w:t>2</w:t>
      </w:r>
      <w:r w:rsidRPr="00A240EA">
        <w:t>SO</w:t>
      </w:r>
      <w:r w:rsidRPr="00A240EA">
        <w:rPr>
          <w:vertAlign w:val="subscript"/>
        </w:rPr>
        <w:t>4</w:t>
      </w:r>
      <w:r w:rsidRPr="00A240EA">
        <w:t xml:space="preserve"> 2</w:t>
      </w:r>
      <w:r w:rsidRPr="00A240EA">
        <w:rPr>
          <w:rFonts w:eastAsiaTheme="minorEastAsia"/>
        </w:rPr>
        <w:t xml:space="preserve">  </w:t>
      </w:r>
      <w:r w:rsidRPr="00A240EA">
        <w:t>x</w:t>
      </w:r>
      <w:r w:rsidRPr="00A240EA">
        <w:rPr>
          <w:rFonts w:eastAsiaTheme="minorEastAsia"/>
        </w:rPr>
        <w:t> </w:t>
      </w:r>
      <w:r w:rsidRPr="00A240EA">
        <w:t>10</w:t>
      </w:r>
      <w:r w:rsidRPr="00A240EA">
        <w:rPr>
          <w:rFonts w:eastAsiaTheme="minorEastAsia"/>
        </w:rPr>
        <w:t> </w:t>
      </w:r>
      <w:r w:rsidRPr="00A240EA">
        <w:rPr>
          <w:rFonts w:eastAsiaTheme="minorEastAsia"/>
          <w:vertAlign w:val="superscript"/>
        </w:rPr>
        <w:t>-2</w:t>
      </w:r>
      <w:r w:rsidRPr="00A240EA">
        <w:rPr>
          <w:rFonts w:eastAsiaTheme="minorEastAsia"/>
        </w:rPr>
        <w:t> </w:t>
      </w:r>
      <w:r w:rsidRPr="00A240EA">
        <w:t xml:space="preserve">M; pH 3; temperature 293.15K). The </w:t>
      </w:r>
      <w:proofErr w:type="spellStart"/>
      <w:r w:rsidRPr="00A240EA">
        <w:t>Ωst</w:t>
      </w:r>
      <w:proofErr w:type="spellEnd"/>
      <w:r w:rsidRPr="00A240EA">
        <w:t xml:space="preserve"> of the solution is 17.21 with respect to Ba</w:t>
      </w:r>
      <w:r w:rsidRPr="00A240EA">
        <w:rPr>
          <w:vertAlign w:val="subscript"/>
        </w:rPr>
        <w:t>0.5</w:t>
      </w:r>
      <w:r w:rsidRPr="00A240EA">
        <w:t>Ra</w:t>
      </w:r>
      <w:r w:rsidRPr="00A240EA">
        <w:rPr>
          <w:vertAlign w:val="subscript"/>
        </w:rPr>
        <w:t>0.5</w:t>
      </w:r>
      <w:r w:rsidRPr="00A240EA">
        <w:t>SO</w:t>
      </w:r>
      <w:r w:rsidRPr="00A240EA">
        <w:rPr>
          <w:vertAlign w:val="subscript"/>
        </w:rPr>
        <w:t>4</w:t>
      </w:r>
      <w:r w:rsidRPr="00A240EA">
        <w:t>. Utilizing Equation 7 from the main manuscript, the rate associated with the solution composition of Hedström et al. can be computed as 1.23</w:t>
      </w:r>
      <w:r w:rsidRPr="00A240EA">
        <w:rPr>
          <w:rFonts w:eastAsiaTheme="minorEastAsia"/>
        </w:rPr>
        <w:t> </w:t>
      </w:r>
      <w:r w:rsidRPr="00A240EA">
        <w:t>×</w:t>
      </w:r>
      <w:r w:rsidRPr="00A240EA">
        <w:rPr>
          <w:rFonts w:eastAsiaTheme="minorEastAsia"/>
        </w:rPr>
        <w:t> </w:t>
      </w:r>
      <w:r w:rsidRPr="00A240EA">
        <w:t>10</w:t>
      </w:r>
      <w:r w:rsidRPr="00A240EA">
        <w:rPr>
          <w:rFonts w:eastAsiaTheme="minorEastAsia"/>
        </w:rPr>
        <w:t> </w:t>
      </w:r>
      <w:r w:rsidRPr="00A240EA">
        <w:rPr>
          <w:vertAlign w:val="superscript"/>
        </w:rPr>
        <w:t xml:space="preserve">-10 </w:t>
      </w:r>
      <w:r w:rsidRPr="00A240EA">
        <w:t>× (1-17.2)</w:t>
      </w:r>
      <w:r w:rsidRPr="00A240EA">
        <w:rPr>
          <w:vertAlign w:val="superscript"/>
        </w:rPr>
        <w:t>2</w:t>
      </w:r>
      <w:r w:rsidRPr="00A240EA">
        <w:t xml:space="preserve"> = </w:t>
      </w:r>
      <w:proofErr w:type="gramStart"/>
      <w:r w:rsidRPr="00A240EA">
        <w:t>3.2</w:t>
      </w:r>
      <w:r w:rsidRPr="00A240EA">
        <w:rPr>
          <w:rFonts w:eastAsiaTheme="minorEastAsia"/>
        </w:rPr>
        <w:t> </w:t>
      </w:r>
      <w:r w:rsidRPr="00A240EA">
        <w:t xml:space="preserve"> ×</w:t>
      </w:r>
      <w:proofErr w:type="gramEnd"/>
      <w:r w:rsidRPr="00A240EA">
        <w:rPr>
          <w:rFonts w:eastAsiaTheme="minorEastAsia"/>
        </w:rPr>
        <w:t> </w:t>
      </w:r>
      <w:r w:rsidRPr="00A240EA">
        <w:t>10</w:t>
      </w:r>
      <w:r w:rsidRPr="00A240EA">
        <w:rPr>
          <w:vertAlign w:val="superscript"/>
        </w:rPr>
        <w:t>-8</w:t>
      </w:r>
      <w:r w:rsidRPr="00A240EA">
        <w:t xml:space="preserve"> mol</w:t>
      </w:r>
      <w:r w:rsidRPr="00A240EA">
        <w:rPr>
          <w:rFonts w:eastAsiaTheme="minorEastAsia"/>
        </w:rPr>
        <w:t> </w:t>
      </w:r>
      <w:r w:rsidRPr="00A240EA">
        <w:t>m</w:t>
      </w:r>
      <w:r w:rsidRPr="00A240EA">
        <w:rPr>
          <w:rFonts w:eastAsiaTheme="minorEastAsia"/>
        </w:rPr>
        <w:t> </w:t>
      </w:r>
      <w:r w:rsidRPr="00A240EA">
        <w:rPr>
          <w:vertAlign w:val="superscript"/>
        </w:rPr>
        <w:t>-2</w:t>
      </w:r>
      <w:r w:rsidRPr="00A240EA">
        <w:t xml:space="preserve"> s</w:t>
      </w:r>
      <w:r w:rsidRPr="00A240EA">
        <w:rPr>
          <w:vertAlign w:val="superscript"/>
        </w:rPr>
        <w:t>-1</w:t>
      </w:r>
      <w:r w:rsidRPr="00A240EA">
        <w:t>.</w:t>
      </w:r>
    </w:p>
    <w:p w14:paraId="4216384F" w14:textId="1A215E2A" w:rsidR="006C3E66" w:rsidRPr="00A240EA" w:rsidRDefault="000D3D0E" w:rsidP="008C7C2A">
      <w:pPr>
        <w:spacing w:before="0" w:after="160"/>
      </w:pPr>
      <w:r w:rsidRPr="00A240EA">
        <w:rPr>
          <w:rFonts w:eastAsiaTheme="minorEastAsia"/>
        </w:rPr>
        <w:t xml:space="preserve">These findings demonstrate a significant consistency between our calculated precipitation rate and the experimental data provided by </w:t>
      </w:r>
      <w:proofErr w:type="spellStart"/>
      <w:r w:rsidRPr="00A240EA">
        <w:rPr>
          <w:rFonts w:eastAsiaTheme="minorEastAsia"/>
        </w:rPr>
        <w:t>Hedstroem</w:t>
      </w:r>
      <w:proofErr w:type="spellEnd"/>
      <w:r w:rsidRPr="00A240EA">
        <w:rPr>
          <w:rFonts w:eastAsiaTheme="minorEastAsia"/>
        </w:rPr>
        <w:t xml:space="preserve"> et al.</w:t>
      </w:r>
      <w:r w:rsidR="00021112" w:rsidRPr="00A240EA">
        <w:fldChar w:fldCharType="begin"/>
      </w:r>
      <w:r w:rsidR="00021112" w:rsidRPr="00A240EA">
        <w:instrText xml:space="preserve"> ADDIN EN.CITE &lt;EndNote&gt;&lt;Cite&gt;&lt;Author&gt;Hedström&lt;/Author&gt;&lt;Year&gt;2013&lt;/Year&gt;&lt;RecNum&gt;310&lt;/RecNum&gt;&lt;DisplayText&gt;&lt;style face="superscript"&gt;10&lt;/style&gt;&lt;/DisplayText&gt;&lt;record&gt;&lt;rec-number&gt;310&lt;/rec-number&gt;&lt;foreign-keys&gt;&lt;key app="EN" db-id="t0vpswfv59fp5gefxd2v9pau50pwewe9rxdz" timestamp="1712352305"&gt;310&lt;/key&gt;&lt;/foreign-keys&gt;&lt;ref-type name="Journal Article"&gt;17&lt;/ref-type&gt;&lt;contributors&gt;&lt;authors&gt;&lt;author&gt;Hedström, Hanna&lt;/author&gt;&lt;author&gt;Ramebäck, Henrik&lt;/author&gt;&lt;author&gt;Ekberg, Christian&lt;/author&gt;&lt;/authors&gt;&lt;/contributors&gt;&lt;titles&gt;&lt;title&gt;A study of the Arrhenius behavior of the co-precipitation of radium, barium and strontium sulfate&lt;/title&gt;&lt;secondary-title&gt;Journal of Radioanalytical and Nuclear Chemistry&lt;/secondary-title&gt;&lt;/titles&gt;&lt;periodical&gt;&lt;full-title&gt;Journal of Radioanalytical and Nuclear Chemistry&lt;/full-title&gt;&lt;abbr-1&gt;J. Radioanal. Nucl. Chem.&lt;/abbr-1&gt;&lt;/periodical&gt;&lt;pages&gt;847-852&lt;/pages&gt;&lt;volume&gt;298&lt;/volume&gt;&lt;number&gt;2&lt;/number&gt;&lt;dates&gt;&lt;year&gt;2013&lt;/year&gt;&lt;pub-dates&gt;&lt;date&gt;2013/11/01&lt;/date&gt;&lt;/pub-dates&gt;&lt;/dates&gt;&lt;isbn&gt;1588-2780&lt;/isbn&gt;&lt;urls&gt;&lt;related-urls&gt;&lt;url&gt;https://doi.org/10.1007/s10967-013-2431-0&lt;/url&gt;&lt;/related-urls&gt;&lt;/urls&gt;&lt;electronic-resource-num&gt;10.1007/s10967-013-2431-0&lt;/electronic-resource-num&gt;&lt;/record&gt;&lt;/Cite&gt;&lt;/EndNote&gt;</w:instrText>
      </w:r>
      <w:r w:rsidR="00021112" w:rsidRPr="00A240EA">
        <w:fldChar w:fldCharType="separate"/>
      </w:r>
      <w:r w:rsidR="00021112" w:rsidRPr="00A240EA">
        <w:rPr>
          <w:noProof/>
          <w:vertAlign w:val="superscript"/>
        </w:rPr>
        <w:t>10</w:t>
      </w:r>
      <w:r w:rsidR="00021112" w:rsidRPr="00A240EA">
        <w:fldChar w:fldCharType="end"/>
      </w:r>
      <w:r w:rsidRPr="00A240EA">
        <w:rPr>
          <w:rFonts w:eastAsiaTheme="minorEastAsia"/>
        </w:rPr>
        <w:t xml:space="preserve">. </w:t>
      </w:r>
      <w:r w:rsidR="006C3E66" w:rsidRPr="00A240EA">
        <w:br w:type="page"/>
      </w:r>
    </w:p>
    <w:p w14:paraId="22FD195B" w14:textId="0390CAF3" w:rsidR="006431B8" w:rsidRPr="00A240EA" w:rsidRDefault="00E654C5" w:rsidP="006431B8">
      <w:pPr>
        <w:rPr>
          <w:b/>
          <w:bCs/>
        </w:rPr>
      </w:pPr>
      <w:r w:rsidRPr="00A240EA">
        <w:rPr>
          <w:b/>
          <w:bCs/>
        </w:rPr>
        <w:lastRenderedPageBreak/>
        <w:t>References</w:t>
      </w:r>
    </w:p>
    <w:p w14:paraId="1459AED6" w14:textId="77777777" w:rsidR="00D10227" w:rsidRPr="00A240EA" w:rsidRDefault="006431B8" w:rsidP="00D10227">
      <w:pPr>
        <w:pStyle w:val="EndNoteBibliography"/>
        <w:spacing w:after="0"/>
        <w:ind w:left="720" w:hanging="720"/>
      </w:pPr>
      <w:r w:rsidRPr="00A240EA">
        <w:fldChar w:fldCharType="begin"/>
      </w:r>
      <w:r w:rsidRPr="00A240EA">
        <w:instrText xml:space="preserve"> ADDIN EN.REFLIST </w:instrText>
      </w:r>
      <w:r w:rsidRPr="00A240EA">
        <w:fldChar w:fldCharType="separate"/>
      </w:r>
      <w:r w:rsidR="00D10227" w:rsidRPr="00A240EA">
        <w:t>1</w:t>
      </w:r>
      <w:r w:rsidR="00D10227" w:rsidRPr="00A240EA">
        <w:tab/>
        <w:t xml:space="preserve">Lasaga, A. C. The treatment of multi-component diffusion and ion pairs in diagenetic fluxes. </w:t>
      </w:r>
      <w:r w:rsidR="00D10227" w:rsidRPr="00A240EA">
        <w:rPr>
          <w:i/>
        </w:rPr>
        <w:t>Am. J. Sci.</w:t>
      </w:r>
      <w:r w:rsidR="00D10227" w:rsidRPr="00A240EA">
        <w:t xml:space="preserve"> </w:t>
      </w:r>
      <w:r w:rsidR="00D10227" w:rsidRPr="00A240EA">
        <w:rPr>
          <w:b/>
        </w:rPr>
        <w:t>279</w:t>
      </w:r>
      <w:r w:rsidR="00D10227" w:rsidRPr="00A240EA">
        <w:t>, 324-346 (1979).</w:t>
      </w:r>
    </w:p>
    <w:p w14:paraId="22F4B3D1" w14:textId="77777777" w:rsidR="00D10227" w:rsidRPr="00A240EA" w:rsidRDefault="00D10227" w:rsidP="00D10227">
      <w:pPr>
        <w:pStyle w:val="EndNoteBibliography"/>
        <w:spacing w:after="0"/>
        <w:ind w:left="720" w:hanging="720"/>
      </w:pPr>
      <w:r w:rsidRPr="00A240EA">
        <w:t>2</w:t>
      </w:r>
      <w:r w:rsidRPr="00A240EA">
        <w:tab/>
        <w:t xml:space="preserve">Gonzalez, R. &amp; Faisal, Z. </w:t>
      </w:r>
      <w:r w:rsidRPr="00A240EA">
        <w:rPr>
          <w:i/>
        </w:rPr>
        <w:t>Digital Image Processing Second Edition</w:t>
      </w:r>
      <w:r w:rsidRPr="00A240EA">
        <w:t>.  (2019).</w:t>
      </w:r>
    </w:p>
    <w:p w14:paraId="3E98D37E" w14:textId="77777777" w:rsidR="00D10227" w:rsidRPr="00A240EA" w:rsidRDefault="00D10227" w:rsidP="00D10227">
      <w:pPr>
        <w:pStyle w:val="EndNoteBibliography"/>
        <w:spacing w:after="0"/>
        <w:ind w:left="720" w:hanging="720"/>
      </w:pPr>
      <w:r w:rsidRPr="00A240EA">
        <w:t>3</w:t>
      </w:r>
      <w:r w:rsidRPr="00A240EA">
        <w:tab/>
        <w:t xml:space="preserve">Sezgin, M. &amp; Sankur, B. Survey over image thresholding techniques and quantitative performance evaluation. </w:t>
      </w:r>
      <w:r w:rsidRPr="00A240EA">
        <w:rPr>
          <w:i/>
        </w:rPr>
        <w:t>J Electron Imaging</w:t>
      </w:r>
      <w:r w:rsidRPr="00A240EA">
        <w:t xml:space="preserve"> </w:t>
      </w:r>
      <w:r w:rsidRPr="00A240EA">
        <w:rPr>
          <w:b/>
        </w:rPr>
        <w:t>13</w:t>
      </w:r>
      <w:r w:rsidRPr="00A240EA">
        <w:t>, 146-168, doi:10.1117/1.1631315 (2004).</w:t>
      </w:r>
    </w:p>
    <w:p w14:paraId="135CE543" w14:textId="77777777" w:rsidR="00D10227" w:rsidRPr="00A240EA" w:rsidRDefault="00D10227" w:rsidP="00D10227">
      <w:pPr>
        <w:pStyle w:val="EndNoteBibliography"/>
        <w:spacing w:after="0"/>
        <w:ind w:left="720" w:hanging="720"/>
      </w:pPr>
      <w:r w:rsidRPr="00A240EA">
        <w:t>4</w:t>
      </w:r>
      <w:r w:rsidRPr="00A240EA">
        <w:tab/>
        <w:t xml:space="preserve">Jain, A. K. </w:t>
      </w:r>
      <w:r w:rsidRPr="00A240EA">
        <w:rPr>
          <w:i/>
        </w:rPr>
        <w:t>Fundamentals of digital image processing</w:t>
      </w:r>
      <w:r w:rsidRPr="00A240EA">
        <w:t>.  (Prentice-Hall, Inc., 1989).</w:t>
      </w:r>
    </w:p>
    <w:p w14:paraId="4D9F7A40" w14:textId="77777777" w:rsidR="00D10227" w:rsidRPr="00A240EA" w:rsidRDefault="00D10227" w:rsidP="00D10227">
      <w:pPr>
        <w:pStyle w:val="EndNoteBibliography"/>
        <w:spacing w:after="0"/>
        <w:ind w:left="720" w:hanging="720"/>
      </w:pPr>
      <w:r w:rsidRPr="00A240EA">
        <w:t>5</w:t>
      </w:r>
      <w:r w:rsidRPr="00A240EA">
        <w:tab/>
        <w:t xml:space="preserve">Marr, D., Hildreth, E. &amp; Brenner, S. Theory of edge detection. </w:t>
      </w:r>
      <w:r w:rsidRPr="00A240EA">
        <w:rPr>
          <w:i/>
        </w:rPr>
        <w:t>Proceedings of the Royal Society of London. Series B. Biological Sciences</w:t>
      </w:r>
      <w:r w:rsidRPr="00A240EA">
        <w:t xml:space="preserve"> </w:t>
      </w:r>
      <w:r w:rsidRPr="00A240EA">
        <w:rPr>
          <w:b/>
        </w:rPr>
        <w:t>207</w:t>
      </w:r>
      <w:r w:rsidRPr="00A240EA">
        <w:t>, 187-217, doi:doi:10.1098/rspb.1980.0020 (1980).</w:t>
      </w:r>
    </w:p>
    <w:p w14:paraId="69B96153" w14:textId="77777777" w:rsidR="00D10227" w:rsidRPr="00A240EA" w:rsidRDefault="00D10227" w:rsidP="00D10227">
      <w:pPr>
        <w:pStyle w:val="EndNoteBibliography"/>
        <w:spacing w:after="0"/>
        <w:ind w:left="720" w:hanging="720"/>
      </w:pPr>
      <w:r w:rsidRPr="00A240EA">
        <w:t>6</w:t>
      </w:r>
      <w:r w:rsidRPr="00A240EA">
        <w:tab/>
        <w:t>Giannozzi, P.</w:t>
      </w:r>
      <w:r w:rsidRPr="00A240EA">
        <w:rPr>
          <w:i/>
        </w:rPr>
        <w:t xml:space="preserve"> et al.</w:t>
      </w:r>
      <w:r w:rsidRPr="00A240EA">
        <w:t xml:space="preserve"> QUANTUM ESPRESSO: a modular and open-source software project for quantum simulations of materials. </w:t>
      </w:r>
      <w:r w:rsidRPr="00A240EA">
        <w:rPr>
          <w:i/>
        </w:rPr>
        <w:t>J. Condens. Matter Phys.</w:t>
      </w:r>
      <w:r w:rsidRPr="00A240EA">
        <w:t xml:space="preserve"> </w:t>
      </w:r>
      <w:r w:rsidRPr="00A240EA">
        <w:rPr>
          <w:b/>
        </w:rPr>
        <w:t>21</w:t>
      </w:r>
      <w:r w:rsidRPr="00A240EA">
        <w:t>, 395502, doi:10.1088/0953-8984/21/39/395502 (2009).</w:t>
      </w:r>
    </w:p>
    <w:p w14:paraId="72A63A12" w14:textId="77777777" w:rsidR="00D10227" w:rsidRPr="00A240EA" w:rsidRDefault="00D10227" w:rsidP="00D10227">
      <w:pPr>
        <w:pStyle w:val="EndNoteBibliography"/>
        <w:spacing w:after="0"/>
        <w:ind w:left="720" w:hanging="720"/>
      </w:pPr>
      <w:r w:rsidRPr="00A240EA">
        <w:t>7</w:t>
      </w:r>
      <w:r w:rsidRPr="00A240EA">
        <w:tab/>
        <w:t>Perdew, J. P.</w:t>
      </w:r>
      <w:r w:rsidRPr="00A240EA">
        <w:rPr>
          <w:i/>
        </w:rPr>
        <w:t xml:space="preserve"> et al.</w:t>
      </w:r>
      <w:r w:rsidRPr="00A240EA">
        <w:t xml:space="preserve"> Restoring the Density-Gradient Expansion for Exchange in Solids and Surfaces. </w:t>
      </w:r>
      <w:r w:rsidRPr="00A240EA">
        <w:rPr>
          <w:i/>
        </w:rPr>
        <w:t>Phys. Rev. Lett.</w:t>
      </w:r>
      <w:r w:rsidRPr="00A240EA">
        <w:t xml:space="preserve"> </w:t>
      </w:r>
      <w:r w:rsidRPr="00A240EA">
        <w:rPr>
          <w:b/>
        </w:rPr>
        <w:t>100</w:t>
      </w:r>
      <w:r w:rsidRPr="00A240EA">
        <w:t>, 136406, doi:10.1103/PhysRevLett.100.136406 (2008).</w:t>
      </w:r>
    </w:p>
    <w:p w14:paraId="44FDDD08" w14:textId="77777777" w:rsidR="00D10227" w:rsidRPr="00A240EA" w:rsidRDefault="00D10227" w:rsidP="00D10227">
      <w:pPr>
        <w:pStyle w:val="EndNoteBibliography"/>
        <w:spacing w:after="0"/>
        <w:ind w:left="720" w:hanging="720"/>
      </w:pPr>
      <w:r w:rsidRPr="00A240EA">
        <w:t>8</w:t>
      </w:r>
      <w:r w:rsidRPr="00A240EA">
        <w:tab/>
        <w:t xml:space="preserve">Monkhorst, H. J. &amp; Pack, J. D. Special points for Brillouin-zone integrations. </w:t>
      </w:r>
      <w:r w:rsidRPr="00A240EA">
        <w:rPr>
          <w:i/>
        </w:rPr>
        <w:t>Phys. Rev. B</w:t>
      </w:r>
      <w:r w:rsidRPr="00A240EA">
        <w:t xml:space="preserve"> </w:t>
      </w:r>
      <w:r w:rsidRPr="00A240EA">
        <w:rPr>
          <w:b/>
        </w:rPr>
        <w:t>13</w:t>
      </w:r>
      <w:r w:rsidRPr="00A240EA">
        <w:t>, 5188-5192, doi:10.1103/PhysRevB.13.5188 (1976).</w:t>
      </w:r>
    </w:p>
    <w:p w14:paraId="14D93D91" w14:textId="77777777" w:rsidR="00D10227" w:rsidRPr="00A240EA" w:rsidRDefault="00D10227" w:rsidP="00D10227">
      <w:pPr>
        <w:pStyle w:val="EndNoteBibliography"/>
        <w:spacing w:after="0"/>
        <w:ind w:left="720" w:hanging="720"/>
      </w:pPr>
      <w:r w:rsidRPr="00A240EA">
        <w:t>9</w:t>
      </w:r>
      <w:r w:rsidRPr="00A240EA">
        <w:tab/>
        <w:t xml:space="preserve">Jahn, S. &amp; Kowalski, P. M. Theoretical Approaches to Structure and Spectroscopy of Earth Materials. </w:t>
      </w:r>
      <w:r w:rsidRPr="00A240EA">
        <w:rPr>
          <w:i/>
        </w:rPr>
        <w:t>Rev. Mineral. Geochem.</w:t>
      </w:r>
      <w:r w:rsidRPr="00A240EA">
        <w:t xml:space="preserve"> </w:t>
      </w:r>
      <w:r w:rsidRPr="00A240EA">
        <w:rPr>
          <w:b/>
        </w:rPr>
        <w:t>78</w:t>
      </w:r>
      <w:r w:rsidRPr="00A240EA">
        <w:t>, 691-743, doi:10.2138/rmg.2014.78.17 (2014).</w:t>
      </w:r>
    </w:p>
    <w:p w14:paraId="65BD224E" w14:textId="77777777" w:rsidR="00D10227" w:rsidRPr="00A240EA" w:rsidRDefault="00D10227" w:rsidP="00D10227">
      <w:pPr>
        <w:pStyle w:val="EndNoteBibliography"/>
        <w:spacing w:after="0"/>
        <w:ind w:left="720" w:hanging="720"/>
      </w:pPr>
      <w:r w:rsidRPr="00A240EA">
        <w:t>10</w:t>
      </w:r>
      <w:r w:rsidRPr="00A240EA">
        <w:tab/>
        <w:t xml:space="preserve">Hedström, H., Ramebäck, H. &amp; Ekberg, C. A study of the Arrhenius behavior of the co-precipitation of radium, barium and strontium sulfate. </w:t>
      </w:r>
      <w:r w:rsidRPr="00A240EA">
        <w:rPr>
          <w:i/>
        </w:rPr>
        <w:t>J. Radioanal. Nucl. Chem.</w:t>
      </w:r>
      <w:r w:rsidRPr="00A240EA">
        <w:t xml:space="preserve"> </w:t>
      </w:r>
      <w:r w:rsidRPr="00A240EA">
        <w:rPr>
          <w:b/>
        </w:rPr>
        <w:t>298</w:t>
      </w:r>
      <w:r w:rsidRPr="00A240EA">
        <w:t>, 847-852, doi:10.1007/s10967-013-2431-0 (2013).</w:t>
      </w:r>
    </w:p>
    <w:p w14:paraId="4DEF490C" w14:textId="77777777" w:rsidR="00D10227" w:rsidRPr="00A240EA" w:rsidRDefault="00D10227" w:rsidP="00D10227">
      <w:pPr>
        <w:pStyle w:val="EndNoteBibliography"/>
        <w:ind w:left="720" w:hanging="720"/>
      </w:pPr>
      <w:r w:rsidRPr="00A240EA">
        <w:t>11</w:t>
      </w:r>
      <w:r w:rsidRPr="00A240EA">
        <w:tab/>
        <w:t xml:space="preserve">Bosbach, D. in </w:t>
      </w:r>
      <w:r w:rsidRPr="00A240EA">
        <w:rPr>
          <w:i/>
        </w:rPr>
        <w:t>Water-rock interactions, ore deposits, and environmental geochemistry:  A tribute to David A. Crerar</w:t>
      </w:r>
      <w:r w:rsidRPr="00A240EA">
        <w:t xml:space="preserve"> Vol. 7  (ed Roland; Wood Hellmann, Scott A.)  97-110 (Geochemical Society special publication, 2002).</w:t>
      </w:r>
    </w:p>
    <w:p w14:paraId="1D7CCA86" w14:textId="147F0FAF" w:rsidR="006431B8" w:rsidRPr="00A240EA" w:rsidRDefault="006431B8" w:rsidP="006431B8">
      <w:r w:rsidRPr="00A240EA">
        <w:fldChar w:fldCharType="end"/>
      </w:r>
    </w:p>
    <w:sectPr w:rsidR="006431B8" w:rsidRPr="00A240EA">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FC70E" w14:textId="77777777" w:rsidR="00731C3D" w:rsidRDefault="00731C3D">
      <w:pPr>
        <w:spacing w:before="0" w:after="0" w:line="240" w:lineRule="auto"/>
      </w:pPr>
      <w:r>
        <w:separator/>
      </w:r>
    </w:p>
  </w:endnote>
  <w:endnote w:type="continuationSeparator" w:id="0">
    <w:p w14:paraId="67338806" w14:textId="77777777" w:rsidR="00731C3D" w:rsidRDefault="00731C3D">
      <w:pPr>
        <w:spacing w:before="0" w:after="0" w:line="240" w:lineRule="auto"/>
      </w:pPr>
      <w:r>
        <w:continuationSeparator/>
      </w:r>
    </w:p>
  </w:endnote>
  <w:endnote w:type="continuationNotice" w:id="1">
    <w:p w14:paraId="05E2A88D" w14:textId="77777777" w:rsidR="00731C3D" w:rsidRDefault="00731C3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no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276500"/>
      <w:docPartObj>
        <w:docPartGallery w:val="Page Numbers (Bottom of Page)"/>
        <w:docPartUnique/>
      </w:docPartObj>
    </w:sdtPr>
    <w:sdtEndPr>
      <w:rPr>
        <w:noProof/>
      </w:rPr>
    </w:sdtEndPr>
    <w:sdtContent>
      <w:p w14:paraId="40047689" w14:textId="10292D14" w:rsidR="00B31BAB" w:rsidRDefault="00A71E6F">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14:paraId="06444F0C" w14:textId="77777777" w:rsidR="00B31BAB" w:rsidRDefault="00B31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ECD7F" w14:textId="77777777" w:rsidR="00731C3D" w:rsidRDefault="00731C3D">
      <w:pPr>
        <w:spacing w:before="0" w:after="0" w:line="240" w:lineRule="auto"/>
      </w:pPr>
      <w:r>
        <w:separator/>
      </w:r>
    </w:p>
  </w:footnote>
  <w:footnote w:type="continuationSeparator" w:id="0">
    <w:p w14:paraId="6BE0144C" w14:textId="77777777" w:rsidR="00731C3D" w:rsidRDefault="00731C3D">
      <w:pPr>
        <w:spacing w:before="0" w:after="0" w:line="240" w:lineRule="auto"/>
      </w:pPr>
      <w:r>
        <w:continuationSeparator/>
      </w:r>
    </w:p>
  </w:footnote>
  <w:footnote w:type="continuationNotice" w:id="1">
    <w:p w14:paraId="1F764800" w14:textId="77777777" w:rsidR="00731C3D" w:rsidRDefault="00731C3D">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223"/>
    <w:multiLevelType w:val="hybridMultilevel"/>
    <w:tmpl w:val="F398A52A"/>
    <w:lvl w:ilvl="0" w:tplc="A81A85C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1B20C6F"/>
    <w:multiLevelType w:val="hybridMultilevel"/>
    <w:tmpl w:val="CB9240F8"/>
    <w:lvl w:ilvl="0" w:tplc="7B4ECB94">
      <w:start w:val="1"/>
      <w:numFmt w:val="lowerLetter"/>
      <w:lvlText w:val="%1)"/>
      <w:lvlJc w:val="left"/>
      <w:pPr>
        <w:ind w:left="720" w:hanging="360"/>
      </w:pPr>
      <w:rPr>
        <w:rFonts w:hint="default"/>
      </w:rPr>
    </w:lvl>
    <w:lvl w:ilvl="1" w:tplc="67686A8C" w:tentative="1">
      <w:start w:val="1"/>
      <w:numFmt w:val="lowerLetter"/>
      <w:lvlText w:val="%2."/>
      <w:lvlJc w:val="left"/>
      <w:pPr>
        <w:ind w:left="1440" w:hanging="360"/>
      </w:pPr>
    </w:lvl>
    <w:lvl w:ilvl="2" w:tplc="E642F118" w:tentative="1">
      <w:start w:val="1"/>
      <w:numFmt w:val="lowerRoman"/>
      <w:lvlText w:val="%3."/>
      <w:lvlJc w:val="right"/>
      <w:pPr>
        <w:ind w:left="2160" w:hanging="180"/>
      </w:pPr>
    </w:lvl>
    <w:lvl w:ilvl="3" w:tplc="B8A41E2C" w:tentative="1">
      <w:start w:val="1"/>
      <w:numFmt w:val="decimal"/>
      <w:lvlText w:val="%4."/>
      <w:lvlJc w:val="left"/>
      <w:pPr>
        <w:ind w:left="2880" w:hanging="360"/>
      </w:pPr>
    </w:lvl>
    <w:lvl w:ilvl="4" w:tplc="01BE2952" w:tentative="1">
      <w:start w:val="1"/>
      <w:numFmt w:val="lowerLetter"/>
      <w:lvlText w:val="%5."/>
      <w:lvlJc w:val="left"/>
      <w:pPr>
        <w:ind w:left="3600" w:hanging="360"/>
      </w:pPr>
    </w:lvl>
    <w:lvl w:ilvl="5" w:tplc="8676D158" w:tentative="1">
      <w:start w:val="1"/>
      <w:numFmt w:val="lowerRoman"/>
      <w:lvlText w:val="%6."/>
      <w:lvlJc w:val="right"/>
      <w:pPr>
        <w:ind w:left="4320" w:hanging="180"/>
      </w:pPr>
    </w:lvl>
    <w:lvl w:ilvl="6" w:tplc="B5169950" w:tentative="1">
      <w:start w:val="1"/>
      <w:numFmt w:val="decimal"/>
      <w:lvlText w:val="%7."/>
      <w:lvlJc w:val="left"/>
      <w:pPr>
        <w:ind w:left="5040" w:hanging="360"/>
      </w:pPr>
    </w:lvl>
    <w:lvl w:ilvl="7" w:tplc="25127B48" w:tentative="1">
      <w:start w:val="1"/>
      <w:numFmt w:val="lowerLetter"/>
      <w:lvlText w:val="%8."/>
      <w:lvlJc w:val="left"/>
      <w:pPr>
        <w:ind w:left="5760" w:hanging="360"/>
      </w:pPr>
    </w:lvl>
    <w:lvl w:ilvl="8" w:tplc="F7BA4B2A" w:tentative="1">
      <w:start w:val="1"/>
      <w:numFmt w:val="lowerRoman"/>
      <w:lvlText w:val="%9."/>
      <w:lvlJc w:val="right"/>
      <w:pPr>
        <w:ind w:left="6480" w:hanging="180"/>
      </w:pPr>
    </w:lvl>
  </w:abstractNum>
  <w:abstractNum w:abstractNumId="2" w15:restartNumberingAfterBreak="0">
    <w:nsid w:val="121C687A"/>
    <w:multiLevelType w:val="hybridMultilevel"/>
    <w:tmpl w:val="084A3B74"/>
    <w:lvl w:ilvl="0" w:tplc="678E4402">
      <w:start w:val="1"/>
      <w:numFmt w:val="lowerLetter"/>
      <w:lvlText w:val="%1)"/>
      <w:lvlJc w:val="left"/>
      <w:pPr>
        <w:ind w:left="720" w:hanging="360"/>
      </w:pPr>
      <w:rPr>
        <w:rFonts w:hint="default"/>
      </w:rPr>
    </w:lvl>
    <w:lvl w:ilvl="1" w:tplc="8988C38A" w:tentative="1">
      <w:start w:val="1"/>
      <w:numFmt w:val="lowerLetter"/>
      <w:lvlText w:val="%2."/>
      <w:lvlJc w:val="left"/>
      <w:pPr>
        <w:ind w:left="1440" w:hanging="360"/>
      </w:pPr>
    </w:lvl>
    <w:lvl w:ilvl="2" w:tplc="1DB62960" w:tentative="1">
      <w:start w:val="1"/>
      <w:numFmt w:val="lowerRoman"/>
      <w:lvlText w:val="%3."/>
      <w:lvlJc w:val="right"/>
      <w:pPr>
        <w:ind w:left="2160" w:hanging="180"/>
      </w:pPr>
    </w:lvl>
    <w:lvl w:ilvl="3" w:tplc="B7C6DC16" w:tentative="1">
      <w:start w:val="1"/>
      <w:numFmt w:val="decimal"/>
      <w:lvlText w:val="%4."/>
      <w:lvlJc w:val="left"/>
      <w:pPr>
        <w:ind w:left="2880" w:hanging="360"/>
      </w:pPr>
    </w:lvl>
    <w:lvl w:ilvl="4" w:tplc="F1C0121E" w:tentative="1">
      <w:start w:val="1"/>
      <w:numFmt w:val="lowerLetter"/>
      <w:lvlText w:val="%5."/>
      <w:lvlJc w:val="left"/>
      <w:pPr>
        <w:ind w:left="3600" w:hanging="360"/>
      </w:pPr>
    </w:lvl>
    <w:lvl w:ilvl="5" w:tplc="72F826BE" w:tentative="1">
      <w:start w:val="1"/>
      <w:numFmt w:val="lowerRoman"/>
      <w:lvlText w:val="%6."/>
      <w:lvlJc w:val="right"/>
      <w:pPr>
        <w:ind w:left="4320" w:hanging="180"/>
      </w:pPr>
    </w:lvl>
    <w:lvl w:ilvl="6" w:tplc="8D3EF1FC" w:tentative="1">
      <w:start w:val="1"/>
      <w:numFmt w:val="decimal"/>
      <w:lvlText w:val="%7."/>
      <w:lvlJc w:val="left"/>
      <w:pPr>
        <w:ind w:left="5040" w:hanging="360"/>
      </w:pPr>
    </w:lvl>
    <w:lvl w:ilvl="7" w:tplc="EF7C01D2" w:tentative="1">
      <w:start w:val="1"/>
      <w:numFmt w:val="lowerLetter"/>
      <w:lvlText w:val="%8."/>
      <w:lvlJc w:val="left"/>
      <w:pPr>
        <w:ind w:left="5760" w:hanging="360"/>
      </w:pPr>
    </w:lvl>
    <w:lvl w:ilvl="8" w:tplc="4424A2A8" w:tentative="1">
      <w:start w:val="1"/>
      <w:numFmt w:val="lowerRoman"/>
      <w:lvlText w:val="%9."/>
      <w:lvlJc w:val="right"/>
      <w:pPr>
        <w:ind w:left="6480" w:hanging="180"/>
      </w:pPr>
    </w:lvl>
  </w:abstractNum>
  <w:abstractNum w:abstractNumId="3" w15:restartNumberingAfterBreak="0">
    <w:nsid w:val="141E7089"/>
    <w:multiLevelType w:val="hybridMultilevel"/>
    <w:tmpl w:val="2F4E0B1C"/>
    <w:lvl w:ilvl="0" w:tplc="74A67ADA">
      <w:start w:val="1"/>
      <w:numFmt w:val="bullet"/>
      <w:lvlText w:val=""/>
      <w:lvlJc w:val="left"/>
      <w:pPr>
        <w:ind w:left="720" w:hanging="360"/>
      </w:pPr>
      <w:rPr>
        <w:rFonts w:ascii="Symbol" w:hAnsi="Symbol" w:hint="default"/>
      </w:rPr>
    </w:lvl>
    <w:lvl w:ilvl="1" w:tplc="A236882C" w:tentative="1">
      <w:start w:val="1"/>
      <w:numFmt w:val="bullet"/>
      <w:lvlText w:val="o"/>
      <w:lvlJc w:val="left"/>
      <w:pPr>
        <w:ind w:left="1440" w:hanging="360"/>
      </w:pPr>
      <w:rPr>
        <w:rFonts w:ascii="Courier New" w:hAnsi="Courier New" w:cs="Courier New" w:hint="default"/>
      </w:rPr>
    </w:lvl>
    <w:lvl w:ilvl="2" w:tplc="A83231D8" w:tentative="1">
      <w:start w:val="1"/>
      <w:numFmt w:val="bullet"/>
      <w:lvlText w:val=""/>
      <w:lvlJc w:val="left"/>
      <w:pPr>
        <w:ind w:left="2160" w:hanging="360"/>
      </w:pPr>
      <w:rPr>
        <w:rFonts w:ascii="Wingdings" w:hAnsi="Wingdings" w:hint="default"/>
      </w:rPr>
    </w:lvl>
    <w:lvl w:ilvl="3" w:tplc="A142FCC4" w:tentative="1">
      <w:start w:val="1"/>
      <w:numFmt w:val="bullet"/>
      <w:lvlText w:val=""/>
      <w:lvlJc w:val="left"/>
      <w:pPr>
        <w:ind w:left="2880" w:hanging="360"/>
      </w:pPr>
      <w:rPr>
        <w:rFonts w:ascii="Symbol" w:hAnsi="Symbol" w:hint="default"/>
      </w:rPr>
    </w:lvl>
    <w:lvl w:ilvl="4" w:tplc="95406724" w:tentative="1">
      <w:start w:val="1"/>
      <w:numFmt w:val="bullet"/>
      <w:lvlText w:val="o"/>
      <w:lvlJc w:val="left"/>
      <w:pPr>
        <w:ind w:left="3600" w:hanging="360"/>
      </w:pPr>
      <w:rPr>
        <w:rFonts w:ascii="Courier New" w:hAnsi="Courier New" w:cs="Courier New" w:hint="default"/>
      </w:rPr>
    </w:lvl>
    <w:lvl w:ilvl="5" w:tplc="3800BE50" w:tentative="1">
      <w:start w:val="1"/>
      <w:numFmt w:val="bullet"/>
      <w:lvlText w:val=""/>
      <w:lvlJc w:val="left"/>
      <w:pPr>
        <w:ind w:left="4320" w:hanging="360"/>
      </w:pPr>
      <w:rPr>
        <w:rFonts w:ascii="Wingdings" w:hAnsi="Wingdings" w:hint="default"/>
      </w:rPr>
    </w:lvl>
    <w:lvl w:ilvl="6" w:tplc="979CB498" w:tentative="1">
      <w:start w:val="1"/>
      <w:numFmt w:val="bullet"/>
      <w:lvlText w:val=""/>
      <w:lvlJc w:val="left"/>
      <w:pPr>
        <w:ind w:left="5040" w:hanging="360"/>
      </w:pPr>
      <w:rPr>
        <w:rFonts w:ascii="Symbol" w:hAnsi="Symbol" w:hint="default"/>
      </w:rPr>
    </w:lvl>
    <w:lvl w:ilvl="7" w:tplc="E1FC2C10" w:tentative="1">
      <w:start w:val="1"/>
      <w:numFmt w:val="bullet"/>
      <w:lvlText w:val="o"/>
      <w:lvlJc w:val="left"/>
      <w:pPr>
        <w:ind w:left="5760" w:hanging="360"/>
      </w:pPr>
      <w:rPr>
        <w:rFonts w:ascii="Courier New" w:hAnsi="Courier New" w:cs="Courier New" w:hint="default"/>
      </w:rPr>
    </w:lvl>
    <w:lvl w:ilvl="8" w:tplc="B8E0E398" w:tentative="1">
      <w:start w:val="1"/>
      <w:numFmt w:val="bullet"/>
      <w:lvlText w:val=""/>
      <w:lvlJc w:val="left"/>
      <w:pPr>
        <w:ind w:left="6480" w:hanging="360"/>
      </w:pPr>
      <w:rPr>
        <w:rFonts w:ascii="Wingdings" w:hAnsi="Wingdings" w:hint="default"/>
      </w:rPr>
    </w:lvl>
  </w:abstractNum>
  <w:abstractNum w:abstractNumId="4" w15:restartNumberingAfterBreak="0">
    <w:nsid w:val="1B681F09"/>
    <w:multiLevelType w:val="multilevel"/>
    <w:tmpl w:val="1EE20D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73C89"/>
    <w:multiLevelType w:val="hybridMultilevel"/>
    <w:tmpl w:val="FF0E8AF0"/>
    <w:lvl w:ilvl="0" w:tplc="3A1CC63E">
      <w:start w:val="1"/>
      <w:numFmt w:val="bullet"/>
      <w:lvlText w:val=""/>
      <w:lvlJc w:val="left"/>
      <w:pPr>
        <w:ind w:left="810" w:hanging="360"/>
      </w:pPr>
      <w:rPr>
        <w:rFonts w:ascii="Symbol" w:hAnsi="Symbol" w:hint="default"/>
      </w:rPr>
    </w:lvl>
    <w:lvl w:ilvl="1" w:tplc="ADD43CA6" w:tentative="1">
      <w:start w:val="1"/>
      <w:numFmt w:val="bullet"/>
      <w:lvlText w:val="o"/>
      <w:lvlJc w:val="left"/>
      <w:pPr>
        <w:ind w:left="1530" w:hanging="360"/>
      </w:pPr>
      <w:rPr>
        <w:rFonts w:ascii="Courier New" w:hAnsi="Courier New" w:cs="Courier New" w:hint="default"/>
      </w:rPr>
    </w:lvl>
    <w:lvl w:ilvl="2" w:tplc="FC0AC598" w:tentative="1">
      <w:start w:val="1"/>
      <w:numFmt w:val="bullet"/>
      <w:lvlText w:val=""/>
      <w:lvlJc w:val="left"/>
      <w:pPr>
        <w:ind w:left="2250" w:hanging="360"/>
      </w:pPr>
      <w:rPr>
        <w:rFonts w:ascii="Wingdings" w:hAnsi="Wingdings" w:hint="default"/>
      </w:rPr>
    </w:lvl>
    <w:lvl w:ilvl="3" w:tplc="CA3AA2A8" w:tentative="1">
      <w:start w:val="1"/>
      <w:numFmt w:val="bullet"/>
      <w:lvlText w:val=""/>
      <w:lvlJc w:val="left"/>
      <w:pPr>
        <w:ind w:left="2970" w:hanging="360"/>
      </w:pPr>
      <w:rPr>
        <w:rFonts w:ascii="Symbol" w:hAnsi="Symbol" w:hint="default"/>
      </w:rPr>
    </w:lvl>
    <w:lvl w:ilvl="4" w:tplc="A9E411F2" w:tentative="1">
      <w:start w:val="1"/>
      <w:numFmt w:val="bullet"/>
      <w:lvlText w:val="o"/>
      <w:lvlJc w:val="left"/>
      <w:pPr>
        <w:ind w:left="3690" w:hanging="360"/>
      </w:pPr>
      <w:rPr>
        <w:rFonts w:ascii="Courier New" w:hAnsi="Courier New" w:cs="Courier New" w:hint="default"/>
      </w:rPr>
    </w:lvl>
    <w:lvl w:ilvl="5" w:tplc="E612E0E2" w:tentative="1">
      <w:start w:val="1"/>
      <w:numFmt w:val="bullet"/>
      <w:lvlText w:val=""/>
      <w:lvlJc w:val="left"/>
      <w:pPr>
        <w:ind w:left="4410" w:hanging="360"/>
      </w:pPr>
      <w:rPr>
        <w:rFonts w:ascii="Wingdings" w:hAnsi="Wingdings" w:hint="default"/>
      </w:rPr>
    </w:lvl>
    <w:lvl w:ilvl="6" w:tplc="BE3454B0" w:tentative="1">
      <w:start w:val="1"/>
      <w:numFmt w:val="bullet"/>
      <w:lvlText w:val=""/>
      <w:lvlJc w:val="left"/>
      <w:pPr>
        <w:ind w:left="5130" w:hanging="360"/>
      </w:pPr>
      <w:rPr>
        <w:rFonts w:ascii="Symbol" w:hAnsi="Symbol" w:hint="default"/>
      </w:rPr>
    </w:lvl>
    <w:lvl w:ilvl="7" w:tplc="78FCDACC" w:tentative="1">
      <w:start w:val="1"/>
      <w:numFmt w:val="bullet"/>
      <w:lvlText w:val="o"/>
      <w:lvlJc w:val="left"/>
      <w:pPr>
        <w:ind w:left="5850" w:hanging="360"/>
      </w:pPr>
      <w:rPr>
        <w:rFonts w:ascii="Courier New" w:hAnsi="Courier New" w:cs="Courier New" w:hint="default"/>
      </w:rPr>
    </w:lvl>
    <w:lvl w:ilvl="8" w:tplc="4C64F650" w:tentative="1">
      <w:start w:val="1"/>
      <w:numFmt w:val="bullet"/>
      <w:lvlText w:val=""/>
      <w:lvlJc w:val="left"/>
      <w:pPr>
        <w:ind w:left="6570" w:hanging="360"/>
      </w:pPr>
      <w:rPr>
        <w:rFonts w:ascii="Wingdings" w:hAnsi="Wingdings" w:hint="default"/>
      </w:rPr>
    </w:lvl>
  </w:abstractNum>
  <w:abstractNum w:abstractNumId="6" w15:restartNumberingAfterBreak="0">
    <w:nsid w:val="2FEC1E06"/>
    <w:multiLevelType w:val="hybridMultilevel"/>
    <w:tmpl w:val="75D4A05C"/>
    <w:lvl w:ilvl="0" w:tplc="ADD688C2">
      <w:start w:val="1"/>
      <w:numFmt w:val="lowerRoman"/>
      <w:lvlText w:val="(%1)"/>
      <w:lvlJc w:val="left"/>
      <w:pPr>
        <w:ind w:left="1080" w:hanging="720"/>
      </w:pPr>
      <w:rPr>
        <w:rFonts w:hint="default"/>
      </w:rPr>
    </w:lvl>
    <w:lvl w:ilvl="1" w:tplc="01AEAC0A" w:tentative="1">
      <w:start w:val="1"/>
      <w:numFmt w:val="lowerLetter"/>
      <w:lvlText w:val="%2."/>
      <w:lvlJc w:val="left"/>
      <w:pPr>
        <w:ind w:left="1440" w:hanging="360"/>
      </w:pPr>
    </w:lvl>
    <w:lvl w:ilvl="2" w:tplc="95960838" w:tentative="1">
      <w:start w:val="1"/>
      <w:numFmt w:val="lowerRoman"/>
      <w:lvlText w:val="%3."/>
      <w:lvlJc w:val="right"/>
      <w:pPr>
        <w:ind w:left="2160" w:hanging="180"/>
      </w:pPr>
    </w:lvl>
    <w:lvl w:ilvl="3" w:tplc="B10E1190" w:tentative="1">
      <w:start w:val="1"/>
      <w:numFmt w:val="decimal"/>
      <w:lvlText w:val="%4."/>
      <w:lvlJc w:val="left"/>
      <w:pPr>
        <w:ind w:left="2880" w:hanging="360"/>
      </w:pPr>
    </w:lvl>
    <w:lvl w:ilvl="4" w:tplc="3F18D9D6" w:tentative="1">
      <w:start w:val="1"/>
      <w:numFmt w:val="lowerLetter"/>
      <w:lvlText w:val="%5."/>
      <w:lvlJc w:val="left"/>
      <w:pPr>
        <w:ind w:left="3600" w:hanging="360"/>
      </w:pPr>
    </w:lvl>
    <w:lvl w:ilvl="5" w:tplc="9FB0924C" w:tentative="1">
      <w:start w:val="1"/>
      <w:numFmt w:val="lowerRoman"/>
      <w:lvlText w:val="%6."/>
      <w:lvlJc w:val="right"/>
      <w:pPr>
        <w:ind w:left="4320" w:hanging="180"/>
      </w:pPr>
    </w:lvl>
    <w:lvl w:ilvl="6" w:tplc="F8846D28" w:tentative="1">
      <w:start w:val="1"/>
      <w:numFmt w:val="decimal"/>
      <w:lvlText w:val="%7."/>
      <w:lvlJc w:val="left"/>
      <w:pPr>
        <w:ind w:left="5040" w:hanging="360"/>
      </w:pPr>
    </w:lvl>
    <w:lvl w:ilvl="7" w:tplc="0EC89372" w:tentative="1">
      <w:start w:val="1"/>
      <w:numFmt w:val="lowerLetter"/>
      <w:lvlText w:val="%8."/>
      <w:lvlJc w:val="left"/>
      <w:pPr>
        <w:ind w:left="5760" w:hanging="360"/>
      </w:pPr>
    </w:lvl>
    <w:lvl w:ilvl="8" w:tplc="13C6E1F8" w:tentative="1">
      <w:start w:val="1"/>
      <w:numFmt w:val="lowerRoman"/>
      <w:lvlText w:val="%9."/>
      <w:lvlJc w:val="right"/>
      <w:pPr>
        <w:ind w:left="6480" w:hanging="180"/>
      </w:pPr>
    </w:lvl>
  </w:abstractNum>
  <w:abstractNum w:abstractNumId="7" w15:restartNumberingAfterBreak="0">
    <w:nsid w:val="322A377A"/>
    <w:multiLevelType w:val="hybridMultilevel"/>
    <w:tmpl w:val="CDE2E34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3E04A94"/>
    <w:multiLevelType w:val="hybridMultilevel"/>
    <w:tmpl w:val="2C645352"/>
    <w:lvl w:ilvl="0" w:tplc="016276A8">
      <w:start w:val="1"/>
      <w:numFmt w:val="lowerLetter"/>
      <w:lvlText w:val="%1."/>
      <w:lvlJc w:val="left"/>
      <w:pPr>
        <w:ind w:left="720" w:hanging="360"/>
      </w:pPr>
      <w:rPr>
        <w:rFonts w:hint="default"/>
        <w:b/>
        <w:bCs/>
      </w:rPr>
    </w:lvl>
    <w:lvl w:ilvl="1" w:tplc="BFD000F4" w:tentative="1">
      <w:start w:val="1"/>
      <w:numFmt w:val="lowerLetter"/>
      <w:lvlText w:val="%2."/>
      <w:lvlJc w:val="left"/>
      <w:pPr>
        <w:ind w:left="1440" w:hanging="360"/>
      </w:pPr>
    </w:lvl>
    <w:lvl w:ilvl="2" w:tplc="E10643F8" w:tentative="1">
      <w:start w:val="1"/>
      <w:numFmt w:val="lowerRoman"/>
      <w:lvlText w:val="%3."/>
      <w:lvlJc w:val="right"/>
      <w:pPr>
        <w:ind w:left="2160" w:hanging="180"/>
      </w:pPr>
    </w:lvl>
    <w:lvl w:ilvl="3" w:tplc="013231F6" w:tentative="1">
      <w:start w:val="1"/>
      <w:numFmt w:val="decimal"/>
      <w:lvlText w:val="%4."/>
      <w:lvlJc w:val="left"/>
      <w:pPr>
        <w:ind w:left="2880" w:hanging="360"/>
      </w:pPr>
    </w:lvl>
    <w:lvl w:ilvl="4" w:tplc="19FC1A6E" w:tentative="1">
      <w:start w:val="1"/>
      <w:numFmt w:val="lowerLetter"/>
      <w:lvlText w:val="%5."/>
      <w:lvlJc w:val="left"/>
      <w:pPr>
        <w:ind w:left="3600" w:hanging="360"/>
      </w:pPr>
    </w:lvl>
    <w:lvl w:ilvl="5" w:tplc="667033A0" w:tentative="1">
      <w:start w:val="1"/>
      <w:numFmt w:val="lowerRoman"/>
      <w:lvlText w:val="%6."/>
      <w:lvlJc w:val="right"/>
      <w:pPr>
        <w:ind w:left="4320" w:hanging="180"/>
      </w:pPr>
    </w:lvl>
    <w:lvl w:ilvl="6" w:tplc="F0688922" w:tentative="1">
      <w:start w:val="1"/>
      <w:numFmt w:val="decimal"/>
      <w:lvlText w:val="%7."/>
      <w:lvlJc w:val="left"/>
      <w:pPr>
        <w:ind w:left="5040" w:hanging="360"/>
      </w:pPr>
    </w:lvl>
    <w:lvl w:ilvl="7" w:tplc="6E985396" w:tentative="1">
      <w:start w:val="1"/>
      <w:numFmt w:val="lowerLetter"/>
      <w:lvlText w:val="%8."/>
      <w:lvlJc w:val="left"/>
      <w:pPr>
        <w:ind w:left="5760" w:hanging="360"/>
      </w:pPr>
    </w:lvl>
    <w:lvl w:ilvl="8" w:tplc="233ADD3C" w:tentative="1">
      <w:start w:val="1"/>
      <w:numFmt w:val="lowerRoman"/>
      <w:lvlText w:val="%9."/>
      <w:lvlJc w:val="right"/>
      <w:pPr>
        <w:ind w:left="6480" w:hanging="180"/>
      </w:pPr>
    </w:lvl>
  </w:abstractNum>
  <w:abstractNum w:abstractNumId="9" w15:restartNumberingAfterBreak="0">
    <w:nsid w:val="518E048A"/>
    <w:multiLevelType w:val="hybridMultilevel"/>
    <w:tmpl w:val="B37E78E0"/>
    <w:lvl w:ilvl="0" w:tplc="48FE9E74">
      <w:start w:val="1"/>
      <w:numFmt w:val="bullet"/>
      <w:lvlText w:val=""/>
      <w:lvlJc w:val="left"/>
      <w:pPr>
        <w:ind w:left="720" w:hanging="360"/>
      </w:pPr>
      <w:rPr>
        <w:rFonts w:ascii="Symbol" w:hAnsi="Symbol" w:hint="default"/>
      </w:rPr>
    </w:lvl>
    <w:lvl w:ilvl="1" w:tplc="3DFEBE46" w:tentative="1">
      <w:start w:val="1"/>
      <w:numFmt w:val="bullet"/>
      <w:lvlText w:val="o"/>
      <w:lvlJc w:val="left"/>
      <w:pPr>
        <w:ind w:left="1440" w:hanging="360"/>
      </w:pPr>
      <w:rPr>
        <w:rFonts w:ascii="Courier New" w:hAnsi="Courier New" w:cs="Courier New" w:hint="default"/>
      </w:rPr>
    </w:lvl>
    <w:lvl w:ilvl="2" w:tplc="2A02F538" w:tentative="1">
      <w:start w:val="1"/>
      <w:numFmt w:val="bullet"/>
      <w:lvlText w:val=""/>
      <w:lvlJc w:val="left"/>
      <w:pPr>
        <w:ind w:left="2160" w:hanging="360"/>
      </w:pPr>
      <w:rPr>
        <w:rFonts w:ascii="Wingdings" w:hAnsi="Wingdings" w:hint="default"/>
      </w:rPr>
    </w:lvl>
    <w:lvl w:ilvl="3" w:tplc="2AE03EE4" w:tentative="1">
      <w:start w:val="1"/>
      <w:numFmt w:val="bullet"/>
      <w:lvlText w:val=""/>
      <w:lvlJc w:val="left"/>
      <w:pPr>
        <w:ind w:left="2880" w:hanging="360"/>
      </w:pPr>
      <w:rPr>
        <w:rFonts w:ascii="Symbol" w:hAnsi="Symbol" w:hint="default"/>
      </w:rPr>
    </w:lvl>
    <w:lvl w:ilvl="4" w:tplc="3C5ABD06" w:tentative="1">
      <w:start w:val="1"/>
      <w:numFmt w:val="bullet"/>
      <w:lvlText w:val="o"/>
      <w:lvlJc w:val="left"/>
      <w:pPr>
        <w:ind w:left="3600" w:hanging="360"/>
      </w:pPr>
      <w:rPr>
        <w:rFonts w:ascii="Courier New" w:hAnsi="Courier New" w:cs="Courier New" w:hint="default"/>
      </w:rPr>
    </w:lvl>
    <w:lvl w:ilvl="5" w:tplc="3C96BFD0" w:tentative="1">
      <w:start w:val="1"/>
      <w:numFmt w:val="bullet"/>
      <w:lvlText w:val=""/>
      <w:lvlJc w:val="left"/>
      <w:pPr>
        <w:ind w:left="4320" w:hanging="360"/>
      </w:pPr>
      <w:rPr>
        <w:rFonts w:ascii="Wingdings" w:hAnsi="Wingdings" w:hint="default"/>
      </w:rPr>
    </w:lvl>
    <w:lvl w:ilvl="6" w:tplc="3BAA5642" w:tentative="1">
      <w:start w:val="1"/>
      <w:numFmt w:val="bullet"/>
      <w:lvlText w:val=""/>
      <w:lvlJc w:val="left"/>
      <w:pPr>
        <w:ind w:left="5040" w:hanging="360"/>
      </w:pPr>
      <w:rPr>
        <w:rFonts w:ascii="Symbol" w:hAnsi="Symbol" w:hint="default"/>
      </w:rPr>
    </w:lvl>
    <w:lvl w:ilvl="7" w:tplc="9BA80370" w:tentative="1">
      <w:start w:val="1"/>
      <w:numFmt w:val="bullet"/>
      <w:lvlText w:val="o"/>
      <w:lvlJc w:val="left"/>
      <w:pPr>
        <w:ind w:left="5760" w:hanging="360"/>
      </w:pPr>
      <w:rPr>
        <w:rFonts w:ascii="Courier New" w:hAnsi="Courier New" w:cs="Courier New" w:hint="default"/>
      </w:rPr>
    </w:lvl>
    <w:lvl w:ilvl="8" w:tplc="3FEE0EDE" w:tentative="1">
      <w:start w:val="1"/>
      <w:numFmt w:val="bullet"/>
      <w:lvlText w:val=""/>
      <w:lvlJc w:val="left"/>
      <w:pPr>
        <w:ind w:left="6480" w:hanging="360"/>
      </w:pPr>
      <w:rPr>
        <w:rFonts w:ascii="Wingdings" w:hAnsi="Wingdings" w:hint="default"/>
      </w:rPr>
    </w:lvl>
  </w:abstractNum>
  <w:abstractNum w:abstractNumId="10" w15:restartNumberingAfterBreak="0">
    <w:nsid w:val="5A484EE7"/>
    <w:multiLevelType w:val="hybridMultilevel"/>
    <w:tmpl w:val="6974F0DA"/>
    <w:lvl w:ilvl="0" w:tplc="D94CE474">
      <w:start w:val="1"/>
      <w:numFmt w:val="decimal"/>
      <w:lvlText w:val="%1."/>
      <w:lvlJc w:val="left"/>
      <w:pPr>
        <w:ind w:left="720" w:hanging="360"/>
      </w:pPr>
    </w:lvl>
    <w:lvl w:ilvl="1" w:tplc="B3765828" w:tentative="1">
      <w:start w:val="1"/>
      <w:numFmt w:val="lowerLetter"/>
      <w:lvlText w:val="%2."/>
      <w:lvlJc w:val="left"/>
      <w:pPr>
        <w:ind w:left="1440" w:hanging="360"/>
      </w:pPr>
    </w:lvl>
    <w:lvl w:ilvl="2" w:tplc="79D09388" w:tentative="1">
      <w:start w:val="1"/>
      <w:numFmt w:val="lowerRoman"/>
      <w:lvlText w:val="%3."/>
      <w:lvlJc w:val="right"/>
      <w:pPr>
        <w:ind w:left="2160" w:hanging="180"/>
      </w:pPr>
    </w:lvl>
    <w:lvl w:ilvl="3" w:tplc="5F3CD9FC" w:tentative="1">
      <w:start w:val="1"/>
      <w:numFmt w:val="decimal"/>
      <w:lvlText w:val="%4."/>
      <w:lvlJc w:val="left"/>
      <w:pPr>
        <w:ind w:left="2880" w:hanging="360"/>
      </w:pPr>
    </w:lvl>
    <w:lvl w:ilvl="4" w:tplc="26EA2318" w:tentative="1">
      <w:start w:val="1"/>
      <w:numFmt w:val="lowerLetter"/>
      <w:lvlText w:val="%5."/>
      <w:lvlJc w:val="left"/>
      <w:pPr>
        <w:ind w:left="3600" w:hanging="360"/>
      </w:pPr>
    </w:lvl>
    <w:lvl w:ilvl="5" w:tplc="B60C9340" w:tentative="1">
      <w:start w:val="1"/>
      <w:numFmt w:val="lowerRoman"/>
      <w:lvlText w:val="%6."/>
      <w:lvlJc w:val="right"/>
      <w:pPr>
        <w:ind w:left="4320" w:hanging="180"/>
      </w:pPr>
    </w:lvl>
    <w:lvl w:ilvl="6" w:tplc="6158E08E" w:tentative="1">
      <w:start w:val="1"/>
      <w:numFmt w:val="decimal"/>
      <w:lvlText w:val="%7."/>
      <w:lvlJc w:val="left"/>
      <w:pPr>
        <w:ind w:left="5040" w:hanging="360"/>
      </w:pPr>
    </w:lvl>
    <w:lvl w:ilvl="7" w:tplc="31E48508" w:tentative="1">
      <w:start w:val="1"/>
      <w:numFmt w:val="lowerLetter"/>
      <w:lvlText w:val="%8."/>
      <w:lvlJc w:val="left"/>
      <w:pPr>
        <w:ind w:left="5760" w:hanging="360"/>
      </w:pPr>
    </w:lvl>
    <w:lvl w:ilvl="8" w:tplc="2D322BF0" w:tentative="1">
      <w:start w:val="1"/>
      <w:numFmt w:val="lowerRoman"/>
      <w:lvlText w:val="%9."/>
      <w:lvlJc w:val="right"/>
      <w:pPr>
        <w:ind w:left="6480" w:hanging="180"/>
      </w:pPr>
    </w:lvl>
  </w:abstractNum>
  <w:abstractNum w:abstractNumId="11" w15:restartNumberingAfterBreak="0">
    <w:nsid w:val="5CD93BFE"/>
    <w:multiLevelType w:val="hybridMultilevel"/>
    <w:tmpl w:val="7CD69766"/>
    <w:lvl w:ilvl="0" w:tplc="8804A24A">
      <w:start w:val="1"/>
      <w:numFmt w:val="bullet"/>
      <w:lvlText w:val=""/>
      <w:lvlJc w:val="left"/>
      <w:pPr>
        <w:ind w:left="720" w:hanging="360"/>
      </w:pPr>
      <w:rPr>
        <w:rFonts w:ascii="Symbol" w:hAnsi="Symbol" w:hint="default"/>
      </w:rPr>
    </w:lvl>
    <w:lvl w:ilvl="1" w:tplc="5BA2CF7E" w:tentative="1">
      <w:start w:val="1"/>
      <w:numFmt w:val="bullet"/>
      <w:lvlText w:val="o"/>
      <w:lvlJc w:val="left"/>
      <w:pPr>
        <w:ind w:left="1440" w:hanging="360"/>
      </w:pPr>
      <w:rPr>
        <w:rFonts w:ascii="Courier New" w:hAnsi="Courier New" w:cs="Courier New" w:hint="default"/>
      </w:rPr>
    </w:lvl>
    <w:lvl w:ilvl="2" w:tplc="A9B29480" w:tentative="1">
      <w:start w:val="1"/>
      <w:numFmt w:val="bullet"/>
      <w:lvlText w:val=""/>
      <w:lvlJc w:val="left"/>
      <w:pPr>
        <w:ind w:left="2160" w:hanging="360"/>
      </w:pPr>
      <w:rPr>
        <w:rFonts w:ascii="Wingdings" w:hAnsi="Wingdings" w:hint="default"/>
      </w:rPr>
    </w:lvl>
    <w:lvl w:ilvl="3" w:tplc="6A4EAE26" w:tentative="1">
      <w:start w:val="1"/>
      <w:numFmt w:val="bullet"/>
      <w:lvlText w:val=""/>
      <w:lvlJc w:val="left"/>
      <w:pPr>
        <w:ind w:left="2880" w:hanging="360"/>
      </w:pPr>
      <w:rPr>
        <w:rFonts w:ascii="Symbol" w:hAnsi="Symbol" w:hint="default"/>
      </w:rPr>
    </w:lvl>
    <w:lvl w:ilvl="4" w:tplc="94BC7D5A" w:tentative="1">
      <w:start w:val="1"/>
      <w:numFmt w:val="bullet"/>
      <w:lvlText w:val="o"/>
      <w:lvlJc w:val="left"/>
      <w:pPr>
        <w:ind w:left="3600" w:hanging="360"/>
      </w:pPr>
      <w:rPr>
        <w:rFonts w:ascii="Courier New" w:hAnsi="Courier New" w:cs="Courier New" w:hint="default"/>
      </w:rPr>
    </w:lvl>
    <w:lvl w:ilvl="5" w:tplc="737AAA1C" w:tentative="1">
      <w:start w:val="1"/>
      <w:numFmt w:val="bullet"/>
      <w:lvlText w:val=""/>
      <w:lvlJc w:val="left"/>
      <w:pPr>
        <w:ind w:left="4320" w:hanging="360"/>
      </w:pPr>
      <w:rPr>
        <w:rFonts w:ascii="Wingdings" w:hAnsi="Wingdings" w:hint="default"/>
      </w:rPr>
    </w:lvl>
    <w:lvl w:ilvl="6" w:tplc="80C20528" w:tentative="1">
      <w:start w:val="1"/>
      <w:numFmt w:val="bullet"/>
      <w:lvlText w:val=""/>
      <w:lvlJc w:val="left"/>
      <w:pPr>
        <w:ind w:left="5040" w:hanging="360"/>
      </w:pPr>
      <w:rPr>
        <w:rFonts w:ascii="Symbol" w:hAnsi="Symbol" w:hint="default"/>
      </w:rPr>
    </w:lvl>
    <w:lvl w:ilvl="7" w:tplc="475E7866" w:tentative="1">
      <w:start w:val="1"/>
      <w:numFmt w:val="bullet"/>
      <w:lvlText w:val="o"/>
      <w:lvlJc w:val="left"/>
      <w:pPr>
        <w:ind w:left="5760" w:hanging="360"/>
      </w:pPr>
      <w:rPr>
        <w:rFonts w:ascii="Courier New" w:hAnsi="Courier New" w:cs="Courier New" w:hint="default"/>
      </w:rPr>
    </w:lvl>
    <w:lvl w:ilvl="8" w:tplc="6602B198" w:tentative="1">
      <w:start w:val="1"/>
      <w:numFmt w:val="bullet"/>
      <w:lvlText w:val=""/>
      <w:lvlJc w:val="left"/>
      <w:pPr>
        <w:ind w:left="6480" w:hanging="360"/>
      </w:pPr>
      <w:rPr>
        <w:rFonts w:ascii="Wingdings" w:hAnsi="Wingdings" w:hint="default"/>
      </w:rPr>
    </w:lvl>
  </w:abstractNum>
  <w:abstractNum w:abstractNumId="12" w15:restartNumberingAfterBreak="0">
    <w:nsid w:val="6B031416"/>
    <w:multiLevelType w:val="hybridMultilevel"/>
    <w:tmpl w:val="C8444E5E"/>
    <w:lvl w:ilvl="0" w:tplc="F252FA3C">
      <w:start w:val="1"/>
      <w:numFmt w:val="bullet"/>
      <w:lvlText w:val=""/>
      <w:lvlJc w:val="left"/>
      <w:pPr>
        <w:ind w:left="720" w:hanging="360"/>
      </w:pPr>
      <w:rPr>
        <w:rFonts w:ascii="Symbol" w:hAnsi="Symbol" w:hint="default"/>
      </w:rPr>
    </w:lvl>
    <w:lvl w:ilvl="1" w:tplc="9978211E" w:tentative="1">
      <w:start w:val="1"/>
      <w:numFmt w:val="bullet"/>
      <w:lvlText w:val="o"/>
      <w:lvlJc w:val="left"/>
      <w:pPr>
        <w:ind w:left="1440" w:hanging="360"/>
      </w:pPr>
      <w:rPr>
        <w:rFonts w:ascii="Courier New" w:hAnsi="Courier New" w:cs="Courier New" w:hint="default"/>
      </w:rPr>
    </w:lvl>
    <w:lvl w:ilvl="2" w:tplc="EBCCA53C" w:tentative="1">
      <w:start w:val="1"/>
      <w:numFmt w:val="bullet"/>
      <w:lvlText w:val=""/>
      <w:lvlJc w:val="left"/>
      <w:pPr>
        <w:ind w:left="2160" w:hanging="360"/>
      </w:pPr>
      <w:rPr>
        <w:rFonts w:ascii="Wingdings" w:hAnsi="Wingdings" w:hint="default"/>
      </w:rPr>
    </w:lvl>
    <w:lvl w:ilvl="3" w:tplc="972A96D4" w:tentative="1">
      <w:start w:val="1"/>
      <w:numFmt w:val="bullet"/>
      <w:lvlText w:val=""/>
      <w:lvlJc w:val="left"/>
      <w:pPr>
        <w:ind w:left="2880" w:hanging="360"/>
      </w:pPr>
      <w:rPr>
        <w:rFonts w:ascii="Symbol" w:hAnsi="Symbol" w:hint="default"/>
      </w:rPr>
    </w:lvl>
    <w:lvl w:ilvl="4" w:tplc="D0920104" w:tentative="1">
      <w:start w:val="1"/>
      <w:numFmt w:val="bullet"/>
      <w:lvlText w:val="o"/>
      <w:lvlJc w:val="left"/>
      <w:pPr>
        <w:ind w:left="3600" w:hanging="360"/>
      </w:pPr>
      <w:rPr>
        <w:rFonts w:ascii="Courier New" w:hAnsi="Courier New" w:cs="Courier New" w:hint="default"/>
      </w:rPr>
    </w:lvl>
    <w:lvl w:ilvl="5" w:tplc="69E2868A" w:tentative="1">
      <w:start w:val="1"/>
      <w:numFmt w:val="bullet"/>
      <w:lvlText w:val=""/>
      <w:lvlJc w:val="left"/>
      <w:pPr>
        <w:ind w:left="4320" w:hanging="360"/>
      </w:pPr>
      <w:rPr>
        <w:rFonts w:ascii="Wingdings" w:hAnsi="Wingdings" w:hint="default"/>
      </w:rPr>
    </w:lvl>
    <w:lvl w:ilvl="6" w:tplc="BD2E3234" w:tentative="1">
      <w:start w:val="1"/>
      <w:numFmt w:val="bullet"/>
      <w:lvlText w:val=""/>
      <w:lvlJc w:val="left"/>
      <w:pPr>
        <w:ind w:left="5040" w:hanging="360"/>
      </w:pPr>
      <w:rPr>
        <w:rFonts w:ascii="Symbol" w:hAnsi="Symbol" w:hint="default"/>
      </w:rPr>
    </w:lvl>
    <w:lvl w:ilvl="7" w:tplc="82E63044" w:tentative="1">
      <w:start w:val="1"/>
      <w:numFmt w:val="bullet"/>
      <w:lvlText w:val="o"/>
      <w:lvlJc w:val="left"/>
      <w:pPr>
        <w:ind w:left="5760" w:hanging="360"/>
      </w:pPr>
      <w:rPr>
        <w:rFonts w:ascii="Courier New" w:hAnsi="Courier New" w:cs="Courier New" w:hint="default"/>
      </w:rPr>
    </w:lvl>
    <w:lvl w:ilvl="8" w:tplc="167E21BE" w:tentative="1">
      <w:start w:val="1"/>
      <w:numFmt w:val="bullet"/>
      <w:lvlText w:val=""/>
      <w:lvlJc w:val="left"/>
      <w:pPr>
        <w:ind w:left="6480" w:hanging="360"/>
      </w:pPr>
      <w:rPr>
        <w:rFonts w:ascii="Wingdings" w:hAnsi="Wingdings" w:hint="default"/>
      </w:rPr>
    </w:lvl>
  </w:abstractNum>
  <w:abstractNum w:abstractNumId="13" w15:restartNumberingAfterBreak="0">
    <w:nsid w:val="6CA1254D"/>
    <w:multiLevelType w:val="hybridMultilevel"/>
    <w:tmpl w:val="81C01456"/>
    <w:lvl w:ilvl="0" w:tplc="7B6A1F74">
      <w:start w:val="1"/>
      <w:numFmt w:val="bullet"/>
      <w:lvlText w:val=""/>
      <w:lvlJc w:val="left"/>
      <w:pPr>
        <w:ind w:left="720" w:hanging="360"/>
      </w:pPr>
      <w:rPr>
        <w:rFonts w:ascii="Symbol" w:hAnsi="Symbol" w:hint="default"/>
      </w:rPr>
    </w:lvl>
    <w:lvl w:ilvl="1" w:tplc="0E00693A" w:tentative="1">
      <w:start w:val="1"/>
      <w:numFmt w:val="bullet"/>
      <w:lvlText w:val="o"/>
      <w:lvlJc w:val="left"/>
      <w:pPr>
        <w:ind w:left="1440" w:hanging="360"/>
      </w:pPr>
      <w:rPr>
        <w:rFonts w:ascii="Courier New" w:hAnsi="Courier New" w:cs="Courier New" w:hint="default"/>
      </w:rPr>
    </w:lvl>
    <w:lvl w:ilvl="2" w:tplc="48DC7B64" w:tentative="1">
      <w:start w:val="1"/>
      <w:numFmt w:val="bullet"/>
      <w:lvlText w:val=""/>
      <w:lvlJc w:val="left"/>
      <w:pPr>
        <w:ind w:left="2160" w:hanging="360"/>
      </w:pPr>
      <w:rPr>
        <w:rFonts w:ascii="Wingdings" w:hAnsi="Wingdings" w:hint="default"/>
      </w:rPr>
    </w:lvl>
    <w:lvl w:ilvl="3" w:tplc="10A8624C" w:tentative="1">
      <w:start w:val="1"/>
      <w:numFmt w:val="bullet"/>
      <w:lvlText w:val=""/>
      <w:lvlJc w:val="left"/>
      <w:pPr>
        <w:ind w:left="2880" w:hanging="360"/>
      </w:pPr>
      <w:rPr>
        <w:rFonts w:ascii="Symbol" w:hAnsi="Symbol" w:hint="default"/>
      </w:rPr>
    </w:lvl>
    <w:lvl w:ilvl="4" w:tplc="831EAB56" w:tentative="1">
      <w:start w:val="1"/>
      <w:numFmt w:val="bullet"/>
      <w:lvlText w:val="o"/>
      <w:lvlJc w:val="left"/>
      <w:pPr>
        <w:ind w:left="3600" w:hanging="360"/>
      </w:pPr>
      <w:rPr>
        <w:rFonts w:ascii="Courier New" w:hAnsi="Courier New" w:cs="Courier New" w:hint="default"/>
      </w:rPr>
    </w:lvl>
    <w:lvl w:ilvl="5" w:tplc="9E20B49E" w:tentative="1">
      <w:start w:val="1"/>
      <w:numFmt w:val="bullet"/>
      <w:lvlText w:val=""/>
      <w:lvlJc w:val="left"/>
      <w:pPr>
        <w:ind w:left="4320" w:hanging="360"/>
      </w:pPr>
      <w:rPr>
        <w:rFonts w:ascii="Wingdings" w:hAnsi="Wingdings" w:hint="default"/>
      </w:rPr>
    </w:lvl>
    <w:lvl w:ilvl="6" w:tplc="A6B61506" w:tentative="1">
      <w:start w:val="1"/>
      <w:numFmt w:val="bullet"/>
      <w:lvlText w:val=""/>
      <w:lvlJc w:val="left"/>
      <w:pPr>
        <w:ind w:left="5040" w:hanging="360"/>
      </w:pPr>
      <w:rPr>
        <w:rFonts w:ascii="Symbol" w:hAnsi="Symbol" w:hint="default"/>
      </w:rPr>
    </w:lvl>
    <w:lvl w:ilvl="7" w:tplc="EB501272" w:tentative="1">
      <w:start w:val="1"/>
      <w:numFmt w:val="bullet"/>
      <w:lvlText w:val="o"/>
      <w:lvlJc w:val="left"/>
      <w:pPr>
        <w:ind w:left="5760" w:hanging="360"/>
      </w:pPr>
      <w:rPr>
        <w:rFonts w:ascii="Courier New" w:hAnsi="Courier New" w:cs="Courier New" w:hint="default"/>
      </w:rPr>
    </w:lvl>
    <w:lvl w:ilvl="8" w:tplc="EB9437C2" w:tentative="1">
      <w:start w:val="1"/>
      <w:numFmt w:val="bullet"/>
      <w:lvlText w:val=""/>
      <w:lvlJc w:val="left"/>
      <w:pPr>
        <w:ind w:left="6480" w:hanging="360"/>
      </w:pPr>
      <w:rPr>
        <w:rFonts w:ascii="Wingdings" w:hAnsi="Wingdings" w:hint="default"/>
      </w:rPr>
    </w:lvl>
  </w:abstractNum>
  <w:abstractNum w:abstractNumId="14" w15:restartNumberingAfterBreak="0">
    <w:nsid w:val="6E9E64FD"/>
    <w:multiLevelType w:val="hybridMultilevel"/>
    <w:tmpl w:val="33826A76"/>
    <w:lvl w:ilvl="0" w:tplc="D9C0370A">
      <w:start w:val="1"/>
      <w:numFmt w:val="bullet"/>
      <w:lvlText w:val=""/>
      <w:lvlJc w:val="left"/>
      <w:pPr>
        <w:ind w:left="781" w:hanging="360"/>
      </w:pPr>
      <w:rPr>
        <w:rFonts w:ascii="Symbol" w:hAnsi="Symbol" w:hint="default"/>
      </w:rPr>
    </w:lvl>
    <w:lvl w:ilvl="1" w:tplc="EC9262E0" w:tentative="1">
      <w:start w:val="1"/>
      <w:numFmt w:val="bullet"/>
      <w:lvlText w:val="o"/>
      <w:lvlJc w:val="left"/>
      <w:pPr>
        <w:ind w:left="1501" w:hanging="360"/>
      </w:pPr>
      <w:rPr>
        <w:rFonts w:ascii="Courier New" w:hAnsi="Courier New" w:cs="Courier New" w:hint="default"/>
      </w:rPr>
    </w:lvl>
    <w:lvl w:ilvl="2" w:tplc="86667D66" w:tentative="1">
      <w:start w:val="1"/>
      <w:numFmt w:val="bullet"/>
      <w:lvlText w:val=""/>
      <w:lvlJc w:val="left"/>
      <w:pPr>
        <w:ind w:left="2221" w:hanging="360"/>
      </w:pPr>
      <w:rPr>
        <w:rFonts w:ascii="Wingdings" w:hAnsi="Wingdings" w:hint="default"/>
      </w:rPr>
    </w:lvl>
    <w:lvl w:ilvl="3" w:tplc="21FE55B4" w:tentative="1">
      <w:start w:val="1"/>
      <w:numFmt w:val="bullet"/>
      <w:lvlText w:val=""/>
      <w:lvlJc w:val="left"/>
      <w:pPr>
        <w:ind w:left="2941" w:hanging="360"/>
      </w:pPr>
      <w:rPr>
        <w:rFonts w:ascii="Symbol" w:hAnsi="Symbol" w:hint="default"/>
      </w:rPr>
    </w:lvl>
    <w:lvl w:ilvl="4" w:tplc="2FBA7D12" w:tentative="1">
      <w:start w:val="1"/>
      <w:numFmt w:val="bullet"/>
      <w:lvlText w:val="o"/>
      <w:lvlJc w:val="left"/>
      <w:pPr>
        <w:ind w:left="3661" w:hanging="360"/>
      </w:pPr>
      <w:rPr>
        <w:rFonts w:ascii="Courier New" w:hAnsi="Courier New" w:cs="Courier New" w:hint="default"/>
      </w:rPr>
    </w:lvl>
    <w:lvl w:ilvl="5" w:tplc="863045BE" w:tentative="1">
      <w:start w:val="1"/>
      <w:numFmt w:val="bullet"/>
      <w:lvlText w:val=""/>
      <w:lvlJc w:val="left"/>
      <w:pPr>
        <w:ind w:left="4381" w:hanging="360"/>
      </w:pPr>
      <w:rPr>
        <w:rFonts w:ascii="Wingdings" w:hAnsi="Wingdings" w:hint="default"/>
      </w:rPr>
    </w:lvl>
    <w:lvl w:ilvl="6" w:tplc="F86C09BE" w:tentative="1">
      <w:start w:val="1"/>
      <w:numFmt w:val="bullet"/>
      <w:lvlText w:val=""/>
      <w:lvlJc w:val="left"/>
      <w:pPr>
        <w:ind w:left="5101" w:hanging="360"/>
      </w:pPr>
      <w:rPr>
        <w:rFonts w:ascii="Symbol" w:hAnsi="Symbol" w:hint="default"/>
      </w:rPr>
    </w:lvl>
    <w:lvl w:ilvl="7" w:tplc="3BA0EF2C" w:tentative="1">
      <w:start w:val="1"/>
      <w:numFmt w:val="bullet"/>
      <w:lvlText w:val="o"/>
      <w:lvlJc w:val="left"/>
      <w:pPr>
        <w:ind w:left="5821" w:hanging="360"/>
      </w:pPr>
      <w:rPr>
        <w:rFonts w:ascii="Courier New" w:hAnsi="Courier New" w:cs="Courier New" w:hint="default"/>
      </w:rPr>
    </w:lvl>
    <w:lvl w:ilvl="8" w:tplc="EE32BB7E" w:tentative="1">
      <w:start w:val="1"/>
      <w:numFmt w:val="bullet"/>
      <w:lvlText w:val=""/>
      <w:lvlJc w:val="left"/>
      <w:pPr>
        <w:ind w:left="6541" w:hanging="360"/>
      </w:pPr>
      <w:rPr>
        <w:rFonts w:ascii="Wingdings" w:hAnsi="Wingdings" w:hint="default"/>
      </w:rPr>
    </w:lvl>
  </w:abstractNum>
  <w:abstractNum w:abstractNumId="15" w15:restartNumberingAfterBreak="0">
    <w:nsid w:val="76823D16"/>
    <w:multiLevelType w:val="hybridMultilevel"/>
    <w:tmpl w:val="FA0AFC7C"/>
    <w:lvl w:ilvl="0" w:tplc="45729AFA">
      <w:start w:val="1"/>
      <w:numFmt w:val="lowerRoman"/>
      <w:lvlText w:val="(%1)"/>
      <w:lvlJc w:val="left"/>
      <w:pPr>
        <w:ind w:left="1080" w:hanging="720"/>
      </w:pPr>
      <w:rPr>
        <w:rFonts w:hint="default"/>
      </w:rPr>
    </w:lvl>
    <w:lvl w:ilvl="1" w:tplc="FFF860F4" w:tentative="1">
      <w:start w:val="1"/>
      <w:numFmt w:val="lowerLetter"/>
      <w:lvlText w:val="%2."/>
      <w:lvlJc w:val="left"/>
      <w:pPr>
        <w:ind w:left="1440" w:hanging="360"/>
      </w:pPr>
    </w:lvl>
    <w:lvl w:ilvl="2" w:tplc="C87CC462" w:tentative="1">
      <w:start w:val="1"/>
      <w:numFmt w:val="lowerRoman"/>
      <w:lvlText w:val="%3."/>
      <w:lvlJc w:val="right"/>
      <w:pPr>
        <w:ind w:left="2160" w:hanging="180"/>
      </w:pPr>
    </w:lvl>
    <w:lvl w:ilvl="3" w:tplc="76A6541E" w:tentative="1">
      <w:start w:val="1"/>
      <w:numFmt w:val="decimal"/>
      <w:lvlText w:val="%4."/>
      <w:lvlJc w:val="left"/>
      <w:pPr>
        <w:ind w:left="2880" w:hanging="360"/>
      </w:pPr>
    </w:lvl>
    <w:lvl w:ilvl="4" w:tplc="890C1598" w:tentative="1">
      <w:start w:val="1"/>
      <w:numFmt w:val="lowerLetter"/>
      <w:lvlText w:val="%5."/>
      <w:lvlJc w:val="left"/>
      <w:pPr>
        <w:ind w:left="3600" w:hanging="360"/>
      </w:pPr>
    </w:lvl>
    <w:lvl w:ilvl="5" w:tplc="DC3C9FB0" w:tentative="1">
      <w:start w:val="1"/>
      <w:numFmt w:val="lowerRoman"/>
      <w:lvlText w:val="%6."/>
      <w:lvlJc w:val="right"/>
      <w:pPr>
        <w:ind w:left="4320" w:hanging="180"/>
      </w:pPr>
    </w:lvl>
    <w:lvl w:ilvl="6" w:tplc="CA36EFE4" w:tentative="1">
      <w:start w:val="1"/>
      <w:numFmt w:val="decimal"/>
      <w:lvlText w:val="%7."/>
      <w:lvlJc w:val="left"/>
      <w:pPr>
        <w:ind w:left="5040" w:hanging="360"/>
      </w:pPr>
    </w:lvl>
    <w:lvl w:ilvl="7" w:tplc="9F68018A" w:tentative="1">
      <w:start w:val="1"/>
      <w:numFmt w:val="lowerLetter"/>
      <w:lvlText w:val="%8."/>
      <w:lvlJc w:val="left"/>
      <w:pPr>
        <w:ind w:left="5760" w:hanging="360"/>
      </w:pPr>
    </w:lvl>
    <w:lvl w:ilvl="8" w:tplc="55AAC640" w:tentative="1">
      <w:start w:val="1"/>
      <w:numFmt w:val="lowerRoman"/>
      <w:lvlText w:val="%9."/>
      <w:lvlJc w:val="right"/>
      <w:pPr>
        <w:ind w:left="6480" w:hanging="180"/>
      </w:pPr>
    </w:lvl>
  </w:abstractNum>
  <w:abstractNum w:abstractNumId="16" w15:restartNumberingAfterBreak="0">
    <w:nsid w:val="77787F9C"/>
    <w:multiLevelType w:val="hybridMultilevel"/>
    <w:tmpl w:val="A16C4826"/>
    <w:lvl w:ilvl="0" w:tplc="1D34D890">
      <w:start w:val="1"/>
      <w:numFmt w:val="bullet"/>
      <w:lvlText w:val=""/>
      <w:lvlJc w:val="left"/>
      <w:pPr>
        <w:ind w:left="720" w:hanging="360"/>
      </w:pPr>
      <w:rPr>
        <w:rFonts w:ascii="Symbol" w:hAnsi="Symbol" w:hint="default"/>
      </w:rPr>
    </w:lvl>
    <w:lvl w:ilvl="1" w:tplc="A38EFEEA" w:tentative="1">
      <w:start w:val="1"/>
      <w:numFmt w:val="bullet"/>
      <w:lvlText w:val="o"/>
      <w:lvlJc w:val="left"/>
      <w:pPr>
        <w:ind w:left="1440" w:hanging="360"/>
      </w:pPr>
      <w:rPr>
        <w:rFonts w:ascii="Courier New" w:hAnsi="Courier New" w:cs="Courier New" w:hint="default"/>
      </w:rPr>
    </w:lvl>
    <w:lvl w:ilvl="2" w:tplc="203643CE" w:tentative="1">
      <w:start w:val="1"/>
      <w:numFmt w:val="bullet"/>
      <w:lvlText w:val=""/>
      <w:lvlJc w:val="left"/>
      <w:pPr>
        <w:ind w:left="2160" w:hanging="360"/>
      </w:pPr>
      <w:rPr>
        <w:rFonts w:ascii="Wingdings" w:hAnsi="Wingdings" w:hint="default"/>
      </w:rPr>
    </w:lvl>
    <w:lvl w:ilvl="3" w:tplc="BB6A5AA8" w:tentative="1">
      <w:start w:val="1"/>
      <w:numFmt w:val="bullet"/>
      <w:lvlText w:val=""/>
      <w:lvlJc w:val="left"/>
      <w:pPr>
        <w:ind w:left="2880" w:hanging="360"/>
      </w:pPr>
      <w:rPr>
        <w:rFonts w:ascii="Symbol" w:hAnsi="Symbol" w:hint="default"/>
      </w:rPr>
    </w:lvl>
    <w:lvl w:ilvl="4" w:tplc="53FC501C" w:tentative="1">
      <w:start w:val="1"/>
      <w:numFmt w:val="bullet"/>
      <w:lvlText w:val="o"/>
      <w:lvlJc w:val="left"/>
      <w:pPr>
        <w:ind w:left="3600" w:hanging="360"/>
      </w:pPr>
      <w:rPr>
        <w:rFonts w:ascii="Courier New" w:hAnsi="Courier New" w:cs="Courier New" w:hint="default"/>
      </w:rPr>
    </w:lvl>
    <w:lvl w:ilvl="5" w:tplc="DB109B9A" w:tentative="1">
      <w:start w:val="1"/>
      <w:numFmt w:val="bullet"/>
      <w:lvlText w:val=""/>
      <w:lvlJc w:val="left"/>
      <w:pPr>
        <w:ind w:left="4320" w:hanging="360"/>
      </w:pPr>
      <w:rPr>
        <w:rFonts w:ascii="Wingdings" w:hAnsi="Wingdings" w:hint="default"/>
      </w:rPr>
    </w:lvl>
    <w:lvl w:ilvl="6" w:tplc="E52683E6" w:tentative="1">
      <w:start w:val="1"/>
      <w:numFmt w:val="bullet"/>
      <w:lvlText w:val=""/>
      <w:lvlJc w:val="left"/>
      <w:pPr>
        <w:ind w:left="5040" w:hanging="360"/>
      </w:pPr>
      <w:rPr>
        <w:rFonts w:ascii="Symbol" w:hAnsi="Symbol" w:hint="default"/>
      </w:rPr>
    </w:lvl>
    <w:lvl w:ilvl="7" w:tplc="941A14DA" w:tentative="1">
      <w:start w:val="1"/>
      <w:numFmt w:val="bullet"/>
      <w:lvlText w:val="o"/>
      <w:lvlJc w:val="left"/>
      <w:pPr>
        <w:ind w:left="5760" w:hanging="360"/>
      </w:pPr>
      <w:rPr>
        <w:rFonts w:ascii="Courier New" w:hAnsi="Courier New" w:cs="Courier New" w:hint="default"/>
      </w:rPr>
    </w:lvl>
    <w:lvl w:ilvl="8" w:tplc="39CE081C" w:tentative="1">
      <w:start w:val="1"/>
      <w:numFmt w:val="bullet"/>
      <w:lvlText w:val=""/>
      <w:lvlJc w:val="left"/>
      <w:pPr>
        <w:ind w:left="6480" w:hanging="360"/>
      </w:pPr>
      <w:rPr>
        <w:rFonts w:ascii="Wingdings" w:hAnsi="Wingdings" w:hint="default"/>
      </w:rPr>
    </w:lvl>
  </w:abstractNum>
  <w:abstractNum w:abstractNumId="17" w15:restartNumberingAfterBreak="0">
    <w:nsid w:val="7E381157"/>
    <w:multiLevelType w:val="hybridMultilevel"/>
    <w:tmpl w:val="24D420D2"/>
    <w:lvl w:ilvl="0" w:tplc="F35A77E2">
      <w:start w:val="1"/>
      <w:numFmt w:val="decimal"/>
      <w:lvlText w:val="%1."/>
      <w:lvlJc w:val="left"/>
      <w:pPr>
        <w:ind w:left="1080" w:hanging="360"/>
      </w:pPr>
      <w:rPr>
        <w:rFonts w:hint="default"/>
      </w:rPr>
    </w:lvl>
    <w:lvl w:ilvl="1" w:tplc="A852CC90" w:tentative="1">
      <w:start w:val="1"/>
      <w:numFmt w:val="lowerLetter"/>
      <w:lvlText w:val="%2."/>
      <w:lvlJc w:val="left"/>
      <w:pPr>
        <w:ind w:left="1800" w:hanging="360"/>
      </w:pPr>
    </w:lvl>
    <w:lvl w:ilvl="2" w:tplc="642EB49C" w:tentative="1">
      <w:start w:val="1"/>
      <w:numFmt w:val="lowerRoman"/>
      <w:lvlText w:val="%3."/>
      <w:lvlJc w:val="right"/>
      <w:pPr>
        <w:ind w:left="2520" w:hanging="180"/>
      </w:pPr>
    </w:lvl>
    <w:lvl w:ilvl="3" w:tplc="32042F7C" w:tentative="1">
      <w:start w:val="1"/>
      <w:numFmt w:val="decimal"/>
      <w:lvlText w:val="%4."/>
      <w:lvlJc w:val="left"/>
      <w:pPr>
        <w:ind w:left="3240" w:hanging="360"/>
      </w:pPr>
    </w:lvl>
    <w:lvl w:ilvl="4" w:tplc="FBD005A4" w:tentative="1">
      <w:start w:val="1"/>
      <w:numFmt w:val="lowerLetter"/>
      <w:lvlText w:val="%5."/>
      <w:lvlJc w:val="left"/>
      <w:pPr>
        <w:ind w:left="3960" w:hanging="360"/>
      </w:pPr>
    </w:lvl>
    <w:lvl w:ilvl="5" w:tplc="CACA3028" w:tentative="1">
      <w:start w:val="1"/>
      <w:numFmt w:val="lowerRoman"/>
      <w:lvlText w:val="%6."/>
      <w:lvlJc w:val="right"/>
      <w:pPr>
        <w:ind w:left="4680" w:hanging="180"/>
      </w:pPr>
    </w:lvl>
    <w:lvl w:ilvl="6" w:tplc="F704D6A6" w:tentative="1">
      <w:start w:val="1"/>
      <w:numFmt w:val="decimal"/>
      <w:lvlText w:val="%7."/>
      <w:lvlJc w:val="left"/>
      <w:pPr>
        <w:ind w:left="5400" w:hanging="360"/>
      </w:pPr>
    </w:lvl>
    <w:lvl w:ilvl="7" w:tplc="5366F79E" w:tentative="1">
      <w:start w:val="1"/>
      <w:numFmt w:val="lowerLetter"/>
      <w:lvlText w:val="%8."/>
      <w:lvlJc w:val="left"/>
      <w:pPr>
        <w:ind w:left="6120" w:hanging="360"/>
      </w:pPr>
    </w:lvl>
    <w:lvl w:ilvl="8" w:tplc="22F8C7FA" w:tentative="1">
      <w:start w:val="1"/>
      <w:numFmt w:val="lowerRoman"/>
      <w:lvlText w:val="%9."/>
      <w:lvlJc w:val="right"/>
      <w:pPr>
        <w:ind w:left="6840" w:hanging="180"/>
      </w:pPr>
    </w:lvl>
  </w:abstractNum>
  <w:abstractNum w:abstractNumId="18" w15:restartNumberingAfterBreak="0">
    <w:nsid w:val="7E554A96"/>
    <w:multiLevelType w:val="hybridMultilevel"/>
    <w:tmpl w:val="4EE40402"/>
    <w:lvl w:ilvl="0" w:tplc="7C703322">
      <w:start w:val="1"/>
      <w:numFmt w:val="bullet"/>
      <w:lvlText w:val=""/>
      <w:lvlJc w:val="left"/>
      <w:pPr>
        <w:ind w:left="780" w:hanging="360"/>
      </w:pPr>
      <w:rPr>
        <w:rFonts w:ascii="Symbol" w:hAnsi="Symbol" w:hint="default"/>
      </w:rPr>
    </w:lvl>
    <w:lvl w:ilvl="1" w:tplc="038A378E" w:tentative="1">
      <w:start w:val="1"/>
      <w:numFmt w:val="bullet"/>
      <w:lvlText w:val="o"/>
      <w:lvlJc w:val="left"/>
      <w:pPr>
        <w:ind w:left="1500" w:hanging="360"/>
      </w:pPr>
      <w:rPr>
        <w:rFonts w:ascii="Courier New" w:hAnsi="Courier New" w:cs="Courier New" w:hint="default"/>
      </w:rPr>
    </w:lvl>
    <w:lvl w:ilvl="2" w:tplc="9DDA532A" w:tentative="1">
      <w:start w:val="1"/>
      <w:numFmt w:val="bullet"/>
      <w:lvlText w:val=""/>
      <w:lvlJc w:val="left"/>
      <w:pPr>
        <w:ind w:left="2220" w:hanging="360"/>
      </w:pPr>
      <w:rPr>
        <w:rFonts w:ascii="Wingdings" w:hAnsi="Wingdings" w:hint="default"/>
      </w:rPr>
    </w:lvl>
    <w:lvl w:ilvl="3" w:tplc="C7BAC056" w:tentative="1">
      <w:start w:val="1"/>
      <w:numFmt w:val="bullet"/>
      <w:lvlText w:val=""/>
      <w:lvlJc w:val="left"/>
      <w:pPr>
        <w:ind w:left="2940" w:hanging="360"/>
      </w:pPr>
      <w:rPr>
        <w:rFonts w:ascii="Symbol" w:hAnsi="Symbol" w:hint="default"/>
      </w:rPr>
    </w:lvl>
    <w:lvl w:ilvl="4" w:tplc="2CEE2CB8" w:tentative="1">
      <w:start w:val="1"/>
      <w:numFmt w:val="bullet"/>
      <w:lvlText w:val="o"/>
      <w:lvlJc w:val="left"/>
      <w:pPr>
        <w:ind w:left="3660" w:hanging="360"/>
      </w:pPr>
      <w:rPr>
        <w:rFonts w:ascii="Courier New" w:hAnsi="Courier New" w:cs="Courier New" w:hint="default"/>
      </w:rPr>
    </w:lvl>
    <w:lvl w:ilvl="5" w:tplc="F5B6FE02" w:tentative="1">
      <w:start w:val="1"/>
      <w:numFmt w:val="bullet"/>
      <w:lvlText w:val=""/>
      <w:lvlJc w:val="left"/>
      <w:pPr>
        <w:ind w:left="4380" w:hanging="360"/>
      </w:pPr>
      <w:rPr>
        <w:rFonts w:ascii="Wingdings" w:hAnsi="Wingdings" w:hint="default"/>
      </w:rPr>
    </w:lvl>
    <w:lvl w:ilvl="6" w:tplc="199A7CDA" w:tentative="1">
      <w:start w:val="1"/>
      <w:numFmt w:val="bullet"/>
      <w:lvlText w:val=""/>
      <w:lvlJc w:val="left"/>
      <w:pPr>
        <w:ind w:left="5100" w:hanging="360"/>
      </w:pPr>
      <w:rPr>
        <w:rFonts w:ascii="Symbol" w:hAnsi="Symbol" w:hint="default"/>
      </w:rPr>
    </w:lvl>
    <w:lvl w:ilvl="7" w:tplc="56F09692" w:tentative="1">
      <w:start w:val="1"/>
      <w:numFmt w:val="bullet"/>
      <w:lvlText w:val="o"/>
      <w:lvlJc w:val="left"/>
      <w:pPr>
        <w:ind w:left="5820" w:hanging="360"/>
      </w:pPr>
      <w:rPr>
        <w:rFonts w:ascii="Courier New" w:hAnsi="Courier New" w:cs="Courier New" w:hint="default"/>
      </w:rPr>
    </w:lvl>
    <w:lvl w:ilvl="8" w:tplc="FD20382E" w:tentative="1">
      <w:start w:val="1"/>
      <w:numFmt w:val="bullet"/>
      <w:lvlText w:val=""/>
      <w:lvlJc w:val="left"/>
      <w:pPr>
        <w:ind w:left="6540" w:hanging="360"/>
      </w:pPr>
      <w:rPr>
        <w:rFonts w:ascii="Wingdings" w:hAnsi="Wingdings" w:hint="default"/>
      </w:rPr>
    </w:lvl>
  </w:abstractNum>
  <w:abstractNum w:abstractNumId="19" w15:restartNumberingAfterBreak="0">
    <w:nsid w:val="7F583280"/>
    <w:multiLevelType w:val="hybridMultilevel"/>
    <w:tmpl w:val="50287CD2"/>
    <w:lvl w:ilvl="0" w:tplc="FAA890BC">
      <w:start w:val="1"/>
      <w:numFmt w:val="lowerRoman"/>
      <w:lvlText w:val="(%1)"/>
      <w:lvlJc w:val="left"/>
      <w:pPr>
        <w:ind w:left="1080" w:hanging="720"/>
      </w:pPr>
      <w:rPr>
        <w:rFonts w:hint="default"/>
      </w:rPr>
    </w:lvl>
    <w:lvl w:ilvl="1" w:tplc="EE74620A" w:tentative="1">
      <w:start w:val="1"/>
      <w:numFmt w:val="lowerLetter"/>
      <w:lvlText w:val="%2."/>
      <w:lvlJc w:val="left"/>
      <w:pPr>
        <w:ind w:left="1440" w:hanging="360"/>
      </w:pPr>
    </w:lvl>
    <w:lvl w:ilvl="2" w:tplc="9C9481B6" w:tentative="1">
      <w:start w:val="1"/>
      <w:numFmt w:val="lowerRoman"/>
      <w:lvlText w:val="%3."/>
      <w:lvlJc w:val="right"/>
      <w:pPr>
        <w:ind w:left="2160" w:hanging="180"/>
      </w:pPr>
    </w:lvl>
    <w:lvl w:ilvl="3" w:tplc="8BFE3028" w:tentative="1">
      <w:start w:val="1"/>
      <w:numFmt w:val="decimal"/>
      <w:lvlText w:val="%4."/>
      <w:lvlJc w:val="left"/>
      <w:pPr>
        <w:ind w:left="2880" w:hanging="360"/>
      </w:pPr>
    </w:lvl>
    <w:lvl w:ilvl="4" w:tplc="B54A6ABE" w:tentative="1">
      <w:start w:val="1"/>
      <w:numFmt w:val="lowerLetter"/>
      <w:lvlText w:val="%5."/>
      <w:lvlJc w:val="left"/>
      <w:pPr>
        <w:ind w:left="3600" w:hanging="360"/>
      </w:pPr>
    </w:lvl>
    <w:lvl w:ilvl="5" w:tplc="67246866" w:tentative="1">
      <w:start w:val="1"/>
      <w:numFmt w:val="lowerRoman"/>
      <w:lvlText w:val="%6."/>
      <w:lvlJc w:val="right"/>
      <w:pPr>
        <w:ind w:left="4320" w:hanging="180"/>
      </w:pPr>
    </w:lvl>
    <w:lvl w:ilvl="6" w:tplc="76DAF520" w:tentative="1">
      <w:start w:val="1"/>
      <w:numFmt w:val="decimal"/>
      <w:lvlText w:val="%7."/>
      <w:lvlJc w:val="left"/>
      <w:pPr>
        <w:ind w:left="5040" w:hanging="360"/>
      </w:pPr>
    </w:lvl>
    <w:lvl w:ilvl="7" w:tplc="852EA12A" w:tentative="1">
      <w:start w:val="1"/>
      <w:numFmt w:val="lowerLetter"/>
      <w:lvlText w:val="%8."/>
      <w:lvlJc w:val="left"/>
      <w:pPr>
        <w:ind w:left="5760" w:hanging="360"/>
      </w:pPr>
    </w:lvl>
    <w:lvl w:ilvl="8" w:tplc="4A8C5266" w:tentative="1">
      <w:start w:val="1"/>
      <w:numFmt w:val="lowerRoman"/>
      <w:lvlText w:val="%9."/>
      <w:lvlJc w:val="right"/>
      <w:pPr>
        <w:ind w:left="6480" w:hanging="180"/>
      </w:pPr>
    </w:lvl>
  </w:abstractNum>
  <w:num w:numId="1" w16cid:durableId="1646205047">
    <w:abstractNumId w:val="1"/>
  </w:num>
  <w:num w:numId="2" w16cid:durableId="1138645060">
    <w:abstractNumId w:val="18"/>
  </w:num>
  <w:num w:numId="3" w16cid:durableId="1445225408">
    <w:abstractNumId w:val="5"/>
  </w:num>
  <w:num w:numId="4" w16cid:durableId="1375228347">
    <w:abstractNumId w:val="3"/>
  </w:num>
  <w:num w:numId="5" w16cid:durableId="1717120793">
    <w:abstractNumId w:val="10"/>
  </w:num>
  <w:num w:numId="6" w16cid:durableId="922376480">
    <w:abstractNumId w:val="11"/>
  </w:num>
  <w:num w:numId="7" w16cid:durableId="445193919">
    <w:abstractNumId w:val="9"/>
  </w:num>
  <w:num w:numId="8" w16cid:durableId="307324714">
    <w:abstractNumId w:val="17"/>
  </w:num>
  <w:num w:numId="9" w16cid:durableId="1398747909">
    <w:abstractNumId w:val="13"/>
  </w:num>
  <w:num w:numId="10" w16cid:durableId="2035156985">
    <w:abstractNumId w:val="16"/>
  </w:num>
  <w:num w:numId="11" w16cid:durableId="1314219742">
    <w:abstractNumId w:val="15"/>
  </w:num>
  <w:num w:numId="12" w16cid:durableId="763453753">
    <w:abstractNumId w:val="6"/>
  </w:num>
  <w:num w:numId="13" w16cid:durableId="423379833">
    <w:abstractNumId w:val="19"/>
  </w:num>
  <w:num w:numId="14" w16cid:durableId="1422992680">
    <w:abstractNumId w:val="14"/>
  </w:num>
  <w:num w:numId="15" w16cid:durableId="849830103">
    <w:abstractNumId w:val="12"/>
  </w:num>
  <w:num w:numId="16" w16cid:durableId="1231650435">
    <w:abstractNumId w:val="8"/>
  </w:num>
  <w:num w:numId="17" w16cid:durableId="1738429463">
    <w:abstractNumId w:val="2"/>
  </w:num>
  <w:num w:numId="18" w16cid:durableId="2020153617">
    <w:abstractNumId w:val="7"/>
  </w:num>
  <w:num w:numId="19" w16cid:durableId="1902907936">
    <w:abstractNumId w:val="0"/>
  </w:num>
  <w:num w:numId="20" w16cid:durableId="963584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0vpswfv59fp5gefxd2v9pau50pwewe9rxdz&quot;&gt;My EndNote Library&lt;record-ids&gt;&lt;item&gt;156&lt;/item&gt;&lt;item&gt;159&lt;/item&gt;&lt;item&gt;187&lt;/item&gt;&lt;item&gt;189&lt;/item&gt;&lt;item&gt;190&lt;/item&gt;&lt;item&gt;191&lt;/item&gt;&lt;item&gt;192&lt;/item&gt;&lt;item&gt;217&lt;/item&gt;&lt;item&gt;218&lt;/item&gt;&lt;item&gt;219&lt;/item&gt;&lt;item&gt;310&lt;/item&gt;&lt;/record-ids&gt;&lt;/item&gt;&lt;/Libraries&gt;"/>
  </w:docVars>
  <w:rsids>
    <w:rsidRoot w:val="00CF71DA"/>
    <w:rsid w:val="000004F1"/>
    <w:rsid w:val="00002424"/>
    <w:rsid w:val="000025A2"/>
    <w:rsid w:val="00004252"/>
    <w:rsid w:val="000052D7"/>
    <w:rsid w:val="000052FF"/>
    <w:rsid w:val="00006D42"/>
    <w:rsid w:val="000107A4"/>
    <w:rsid w:val="00010C47"/>
    <w:rsid w:val="00013092"/>
    <w:rsid w:val="0001327D"/>
    <w:rsid w:val="00015DF2"/>
    <w:rsid w:val="00017531"/>
    <w:rsid w:val="00021112"/>
    <w:rsid w:val="000216CA"/>
    <w:rsid w:val="00021F9F"/>
    <w:rsid w:val="00024899"/>
    <w:rsid w:val="00024DEC"/>
    <w:rsid w:val="0002586E"/>
    <w:rsid w:val="00025B4A"/>
    <w:rsid w:val="000261B3"/>
    <w:rsid w:val="000263C5"/>
    <w:rsid w:val="00026D71"/>
    <w:rsid w:val="00026F61"/>
    <w:rsid w:val="00030C35"/>
    <w:rsid w:val="00031448"/>
    <w:rsid w:val="00033EDB"/>
    <w:rsid w:val="000352F1"/>
    <w:rsid w:val="0003585E"/>
    <w:rsid w:val="00037FF5"/>
    <w:rsid w:val="00040165"/>
    <w:rsid w:val="00040486"/>
    <w:rsid w:val="000407CD"/>
    <w:rsid w:val="0004129C"/>
    <w:rsid w:val="000450DB"/>
    <w:rsid w:val="000451E9"/>
    <w:rsid w:val="00045A20"/>
    <w:rsid w:val="00045B25"/>
    <w:rsid w:val="00045E61"/>
    <w:rsid w:val="00046490"/>
    <w:rsid w:val="000467A8"/>
    <w:rsid w:val="000476E5"/>
    <w:rsid w:val="000511FF"/>
    <w:rsid w:val="000534AE"/>
    <w:rsid w:val="00053E90"/>
    <w:rsid w:val="000565E2"/>
    <w:rsid w:val="000566B7"/>
    <w:rsid w:val="000570FA"/>
    <w:rsid w:val="00057F5C"/>
    <w:rsid w:val="00060334"/>
    <w:rsid w:val="000616A2"/>
    <w:rsid w:val="000616FE"/>
    <w:rsid w:val="00061796"/>
    <w:rsid w:val="00061D25"/>
    <w:rsid w:val="00062638"/>
    <w:rsid w:val="00063969"/>
    <w:rsid w:val="000640E3"/>
    <w:rsid w:val="00066EC3"/>
    <w:rsid w:val="000676F1"/>
    <w:rsid w:val="00070B07"/>
    <w:rsid w:val="00070FBD"/>
    <w:rsid w:val="000710DA"/>
    <w:rsid w:val="00072207"/>
    <w:rsid w:val="000731FA"/>
    <w:rsid w:val="000744FF"/>
    <w:rsid w:val="00074D25"/>
    <w:rsid w:val="00076BE3"/>
    <w:rsid w:val="0007745A"/>
    <w:rsid w:val="000777E2"/>
    <w:rsid w:val="0008041B"/>
    <w:rsid w:val="000806D1"/>
    <w:rsid w:val="00081D32"/>
    <w:rsid w:val="000824CC"/>
    <w:rsid w:val="00083163"/>
    <w:rsid w:val="00083515"/>
    <w:rsid w:val="00084CFE"/>
    <w:rsid w:val="000866BA"/>
    <w:rsid w:val="000866F0"/>
    <w:rsid w:val="00090CA0"/>
    <w:rsid w:val="00090CB9"/>
    <w:rsid w:val="000918CF"/>
    <w:rsid w:val="0009216A"/>
    <w:rsid w:val="0009305D"/>
    <w:rsid w:val="00094B78"/>
    <w:rsid w:val="00095DF5"/>
    <w:rsid w:val="0009630C"/>
    <w:rsid w:val="0009736C"/>
    <w:rsid w:val="000A041A"/>
    <w:rsid w:val="000A06D6"/>
    <w:rsid w:val="000A2AF5"/>
    <w:rsid w:val="000A40ED"/>
    <w:rsid w:val="000A5EC2"/>
    <w:rsid w:val="000B1127"/>
    <w:rsid w:val="000B1C95"/>
    <w:rsid w:val="000B1EBD"/>
    <w:rsid w:val="000B35E7"/>
    <w:rsid w:val="000B4981"/>
    <w:rsid w:val="000B6932"/>
    <w:rsid w:val="000B7469"/>
    <w:rsid w:val="000C0730"/>
    <w:rsid w:val="000C0B73"/>
    <w:rsid w:val="000C13A3"/>
    <w:rsid w:val="000C1B87"/>
    <w:rsid w:val="000C3092"/>
    <w:rsid w:val="000C3DC3"/>
    <w:rsid w:val="000C43E6"/>
    <w:rsid w:val="000C49BA"/>
    <w:rsid w:val="000C4D90"/>
    <w:rsid w:val="000D0130"/>
    <w:rsid w:val="000D0F5B"/>
    <w:rsid w:val="000D2405"/>
    <w:rsid w:val="000D2932"/>
    <w:rsid w:val="000D3A11"/>
    <w:rsid w:val="000D3D0E"/>
    <w:rsid w:val="000D3F07"/>
    <w:rsid w:val="000D5A77"/>
    <w:rsid w:val="000D65E8"/>
    <w:rsid w:val="000D6E32"/>
    <w:rsid w:val="000E0F2E"/>
    <w:rsid w:val="000E147D"/>
    <w:rsid w:val="000E150F"/>
    <w:rsid w:val="000E1599"/>
    <w:rsid w:val="000E1960"/>
    <w:rsid w:val="000E1B44"/>
    <w:rsid w:val="000E21E6"/>
    <w:rsid w:val="000E335B"/>
    <w:rsid w:val="000E4D98"/>
    <w:rsid w:val="000E553B"/>
    <w:rsid w:val="000E703A"/>
    <w:rsid w:val="000F017B"/>
    <w:rsid w:val="000F1765"/>
    <w:rsid w:val="000F3C3A"/>
    <w:rsid w:val="000F4609"/>
    <w:rsid w:val="000F5D4A"/>
    <w:rsid w:val="000F60C2"/>
    <w:rsid w:val="000F6E45"/>
    <w:rsid w:val="000F71C9"/>
    <w:rsid w:val="000FBC04"/>
    <w:rsid w:val="001000FF"/>
    <w:rsid w:val="0010032A"/>
    <w:rsid w:val="00100BBE"/>
    <w:rsid w:val="00101381"/>
    <w:rsid w:val="00102A61"/>
    <w:rsid w:val="00105F96"/>
    <w:rsid w:val="001123C6"/>
    <w:rsid w:val="0011563F"/>
    <w:rsid w:val="001178C3"/>
    <w:rsid w:val="0012036C"/>
    <w:rsid w:val="0012054C"/>
    <w:rsid w:val="00120AE1"/>
    <w:rsid w:val="00120CCE"/>
    <w:rsid w:val="00122379"/>
    <w:rsid w:val="001238E1"/>
    <w:rsid w:val="00124191"/>
    <w:rsid w:val="00124AA4"/>
    <w:rsid w:val="00126A9C"/>
    <w:rsid w:val="00127944"/>
    <w:rsid w:val="00130A6F"/>
    <w:rsid w:val="00131A3B"/>
    <w:rsid w:val="001326DB"/>
    <w:rsid w:val="00133265"/>
    <w:rsid w:val="001342A2"/>
    <w:rsid w:val="00135F3B"/>
    <w:rsid w:val="001407B1"/>
    <w:rsid w:val="00142778"/>
    <w:rsid w:val="001445C2"/>
    <w:rsid w:val="001452EA"/>
    <w:rsid w:val="001507EC"/>
    <w:rsid w:val="00151381"/>
    <w:rsid w:val="00151429"/>
    <w:rsid w:val="00155F37"/>
    <w:rsid w:val="001607AA"/>
    <w:rsid w:val="00160E89"/>
    <w:rsid w:val="00161415"/>
    <w:rsid w:val="00165049"/>
    <w:rsid w:val="00165056"/>
    <w:rsid w:val="00166616"/>
    <w:rsid w:val="001707CF"/>
    <w:rsid w:val="00170833"/>
    <w:rsid w:val="00170C33"/>
    <w:rsid w:val="00170CCF"/>
    <w:rsid w:val="00172D94"/>
    <w:rsid w:val="00175A7A"/>
    <w:rsid w:val="00175B43"/>
    <w:rsid w:val="00176903"/>
    <w:rsid w:val="00177CDC"/>
    <w:rsid w:val="00180447"/>
    <w:rsid w:val="00180FFC"/>
    <w:rsid w:val="001822D0"/>
    <w:rsid w:val="00182464"/>
    <w:rsid w:val="00183274"/>
    <w:rsid w:val="00184362"/>
    <w:rsid w:val="001844A8"/>
    <w:rsid w:val="00184A8C"/>
    <w:rsid w:val="00186D77"/>
    <w:rsid w:val="00187385"/>
    <w:rsid w:val="00187B56"/>
    <w:rsid w:val="001913FA"/>
    <w:rsid w:val="001917B1"/>
    <w:rsid w:val="00191C2F"/>
    <w:rsid w:val="00191EBD"/>
    <w:rsid w:val="001934E9"/>
    <w:rsid w:val="001943F5"/>
    <w:rsid w:val="001954A7"/>
    <w:rsid w:val="0019794D"/>
    <w:rsid w:val="001A09DD"/>
    <w:rsid w:val="001A20E0"/>
    <w:rsid w:val="001A274F"/>
    <w:rsid w:val="001A78CC"/>
    <w:rsid w:val="001B0161"/>
    <w:rsid w:val="001B089A"/>
    <w:rsid w:val="001B173C"/>
    <w:rsid w:val="001B1DB9"/>
    <w:rsid w:val="001B1FA9"/>
    <w:rsid w:val="001B38E4"/>
    <w:rsid w:val="001B4EAF"/>
    <w:rsid w:val="001B68AF"/>
    <w:rsid w:val="001B6AA7"/>
    <w:rsid w:val="001B7179"/>
    <w:rsid w:val="001B77D8"/>
    <w:rsid w:val="001B7EE6"/>
    <w:rsid w:val="001C0EA7"/>
    <w:rsid w:val="001C0FA0"/>
    <w:rsid w:val="001C1B96"/>
    <w:rsid w:val="001C3705"/>
    <w:rsid w:val="001D063C"/>
    <w:rsid w:val="001D088C"/>
    <w:rsid w:val="001D1679"/>
    <w:rsid w:val="001D217B"/>
    <w:rsid w:val="001D23F9"/>
    <w:rsid w:val="001D2670"/>
    <w:rsid w:val="001D3A82"/>
    <w:rsid w:val="001D4E4B"/>
    <w:rsid w:val="001D4F7E"/>
    <w:rsid w:val="001D640E"/>
    <w:rsid w:val="001D673D"/>
    <w:rsid w:val="001D74C5"/>
    <w:rsid w:val="001D7798"/>
    <w:rsid w:val="001E4DD3"/>
    <w:rsid w:val="001E557F"/>
    <w:rsid w:val="001E6DD5"/>
    <w:rsid w:val="001E6E3D"/>
    <w:rsid w:val="001F2675"/>
    <w:rsid w:val="001F5555"/>
    <w:rsid w:val="001F59A1"/>
    <w:rsid w:val="001F67B1"/>
    <w:rsid w:val="002005A1"/>
    <w:rsid w:val="00201392"/>
    <w:rsid w:val="00204E3B"/>
    <w:rsid w:val="00206549"/>
    <w:rsid w:val="002069AC"/>
    <w:rsid w:val="00211F7D"/>
    <w:rsid w:val="00211F9D"/>
    <w:rsid w:val="002127B6"/>
    <w:rsid w:val="002127C4"/>
    <w:rsid w:val="00213622"/>
    <w:rsid w:val="002136B9"/>
    <w:rsid w:val="00215197"/>
    <w:rsid w:val="002157C5"/>
    <w:rsid w:val="00215D01"/>
    <w:rsid w:val="002162BE"/>
    <w:rsid w:val="00216600"/>
    <w:rsid w:val="00216825"/>
    <w:rsid w:val="00216C25"/>
    <w:rsid w:val="00220BB5"/>
    <w:rsid w:val="00222D20"/>
    <w:rsid w:val="00222FE6"/>
    <w:rsid w:val="00226FB4"/>
    <w:rsid w:val="002278CD"/>
    <w:rsid w:val="00227F19"/>
    <w:rsid w:val="0023066A"/>
    <w:rsid w:val="002307F5"/>
    <w:rsid w:val="00232422"/>
    <w:rsid w:val="002329D5"/>
    <w:rsid w:val="00232ACF"/>
    <w:rsid w:val="00233674"/>
    <w:rsid w:val="002348D2"/>
    <w:rsid w:val="00234B0A"/>
    <w:rsid w:val="00235A9E"/>
    <w:rsid w:val="0023704B"/>
    <w:rsid w:val="00240E2E"/>
    <w:rsid w:val="0024307C"/>
    <w:rsid w:val="00243A11"/>
    <w:rsid w:val="00244D9D"/>
    <w:rsid w:val="00247A7A"/>
    <w:rsid w:val="00247AB2"/>
    <w:rsid w:val="0025106A"/>
    <w:rsid w:val="0025203A"/>
    <w:rsid w:val="00252186"/>
    <w:rsid w:val="002524A0"/>
    <w:rsid w:val="002534E1"/>
    <w:rsid w:val="00253D9C"/>
    <w:rsid w:val="0025466D"/>
    <w:rsid w:val="002548F2"/>
    <w:rsid w:val="00257A48"/>
    <w:rsid w:val="00260FA5"/>
    <w:rsid w:val="00263136"/>
    <w:rsid w:val="00263DFF"/>
    <w:rsid w:val="002653F2"/>
    <w:rsid w:val="002677EC"/>
    <w:rsid w:val="0026796E"/>
    <w:rsid w:val="00270B80"/>
    <w:rsid w:val="002721E4"/>
    <w:rsid w:val="00272C82"/>
    <w:rsid w:val="00274048"/>
    <w:rsid w:val="00274DB5"/>
    <w:rsid w:val="002752E4"/>
    <w:rsid w:val="00275361"/>
    <w:rsid w:val="0027583F"/>
    <w:rsid w:val="00275C23"/>
    <w:rsid w:val="00276BBF"/>
    <w:rsid w:val="002808EE"/>
    <w:rsid w:val="00282209"/>
    <w:rsid w:val="00283262"/>
    <w:rsid w:val="002834BE"/>
    <w:rsid w:val="00283C6D"/>
    <w:rsid w:val="0028497C"/>
    <w:rsid w:val="002856EB"/>
    <w:rsid w:val="00286BA7"/>
    <w:rsid w:val="00286C6C"/>
    <w:rsid w:val="00286DBA"/>
    <w:rsid w:val="00287300"/>
    <w:rsid w:val="002901A6"/>
    <w:rsid w:val="0029152B"/>
    <w:rsid w:val="00295E32"/>
    <w:rsid w:val="00297D6E"/>
    <w:rsid w:val="002A0CD9"/>
    <w:rsid w:val="002A355A"/>
    <w:rsid w:val="002A7501"/>
    <w:rsid w:val="002A774A"/>
    <w:rsid w:val="002B07F5"/>
    <w:rsid w:val="002B094C"/>
    <w:rsid w:val="002B0C51"/>
    <w:rsid w:val="002B0CBC"/>
    <w:rsid w:val="002B2C0E"/>
    <w:rsid w:val="002B31FB"/>
    <w:rsid w:val="002B366A"/>
    <w:rsid w:val="002B40E8"/>
    <w:rsid w:val="002B57B4"/>
    <w:rsid w:val="002B6960"/>
    <w:rsid w:val="002C082E"/>
    <w:rsid w:val="002C1E75"/>
    <w:rsid w:val="002C2793"/>
    <w:rsid w:val="002C2841"/>
    <w:rsid w:val="002C5DA3"/>
    <w:rsid w:val="002C5F31"/>
    <w:rsid w:val="002C714E"/>
    <w:rsid w:val="002D0753"/>
    <w:rsid w:val="002D1BC6"/>
    <w:rsid w:val="002D49E9"/>
    <w:rsid w:val="002D7179"/>
    <w:rsid w:val="002D7187"/>
    <w:rsid w:val="002D76E8"/>
    <w:rsid w:val="002D7D9B"/>
    <w:rsid w:val="002E05CD"/>
    <w:rsid w:val="002E14D2"/>
    <w:rsid w:val="002E4477"/>
    <w:rsid w:val="002E515C"/>
    <w:rsid w:val="002E596D"/>
    <w:rsid w:val="002E6E71"/>
    <w:rsid w:val="002E7205"/>
    <w:rsid w:val="002F01C1"/>
    <w:rsid w:val="002F1BF5"/>
    <w:rsid w:val="002F433A"/>
    <w:rsid w:val="002F4751"/>
    <w:rsid w:val="002F48A7"/>
    <w:rsid w:val="002F5EE8"/>
    <w:rsid w:val="002F6EE5"/>
    <w:rsid w:val="002F7362"/>
    <w:rsid w:val="002F7DBA"/>
    <w:rsid w:val="003018C3"/>
    <w:rsid w:val="00302680"/>
    <w:rsid w:val="0030338F"/>
    <w:rsid w:val="00303816"/>
    <w:rsid w:val="00303882"/>
    <w:rsid w:val="0030484D"/>
    <w:rsid w:val="00304AB7"/>
    <w:rsid w:val="003057B8"/>
    <w:rsid w:val="00307A4F"/>
    <w:rsid w:val="00307CB1"/>
    <w:rsid w:val="003116E2"/>
    <w:rsid w:val="003122B8"/>
    <w:rsid w:val="0031244D"/>
    <w:rsid w:val="0031269E"/>
    <w:rsid w:val="0031320B"/>
    <w:rsid w:val="0031501C"/>
    <w:rsid w:val="003153C4"/>
    <w:rsid w:val="00315CB4"/>
    <w:rsid w:val="003178A3"/>
    <w:rsid w:val="00320EFD"/>
    <w:rsid w:val="00320F44"/>
    <w:rsid w:val="003220EC"/>
    <w:rsid w:val="00322B15"/>
    <w:rsid w:val="00324BE4"/>
    <w:rsid w:val="00325B66"/>
    <w:rsid w:val="00327409"/>
    <w:rsid w:val="00327504"/>
    <w:rsid w:val="003305A3"/>
    <w:rsid w:val="00333DD1"/>
    <w:rsid w:val="00334AD3"/>
    <w:rsid w:val="00334DA4"/>
    <w:rsid w:val="0033552F"/>
    <w:rsid w:val="00335AFE"/>
    <w:rsid w:val="0034122F"/>
    <w:rsid w:val="0034381B"/>
    <w:rsid w:val="00343C12"/>
    <w:rsid w:val="003464F9"/>
    <w:rsid w:val="003476E6"/>
    <w:rsid w:val="00350075"/>
    <w:rsid w:val="003501C9"/>
    <w:rsid w:val="00351E9F"/>
    <w:rsid w:val="00352FFE"/>
    <w:rsid w:val="00353425"/>
    <w:rsid w:val="00353477"/>
    <w:rsid w:val="00354014"/>
    <w:rsid w:val="00355476"/>
    <w:rsid w:val="0035685F"/>
    <w:rsid w:val="003569D1"/>
    <w:rsid w:val="00357A9C"/>
    <w:rsid w:val="0036075E"/>
    <w:rsid w:val="00360826"/>
    <w:rsid w:val="00361229"/>
    <w:rsid w:val="003621FA"/>
    <w:rsid w:val="00364BD7"/>
    <w:rsid w:val="00365DB0"/>
    <w:rsid w:val="00366CDC"/>
    <w:rsid w:val="0036707B"/>
    <w:rsid w:val="00372719"/>
    <w:rsid w:val="00373F26"/>
    <w:rsid w:val="003747DF"/>
    <w:rsid w:val="00375F95"/>
    <w:rsid w:val="00377E6C"/>
    <w:rsid w:val="00380C17"/>
    <w:rsid w:val="0038121A"/>
    <w:rsid w:val="00382206"/>
    <w:rsid w:val="003823FC"/>
    <w:rsid w:val="00382EE7"/>
    <w:rsid w:val="003838CF"/>
    <w:rsid w:val="00385D13"/>
    <w:rsid w:val="00387B15"/>
    <w:rsid w:val="00392D3A"/>
    <w:rsid w:val="003938BD"/>
    <w:rsid w:val="003952A4"/>
    <w:rsid w:val="00397930"/>
    <w:rsid w:val="003A3A6B"/>
    <w:rsid w:val="003A403B"/>
    <w:rsid w:val="003A57D8"/>
    <w:rsid w:val="003A7E32"/>
    <w:rsid w:val="003B00C6"/>
    <w:rsid w:val="003B0C72"/>
    <w:rsid w:val="003B2E84"/>
    <w:rsid w:val="003B437F"/>
    <w:rsid w:val="003B4E44"/>
    <w:rsid w:val="003B5117"/>
    <w:rsid w:val="003B54B0"/>
    <w:rsid w:val="003B5532"/>
    <w:rsid w:val="003B58B5"/>
    <w:rsid w:val="003B5BDA"/>
    <w:rsid w:val="003C0522"/>
    <w:rsid w:val="003C1F84"/>
    <w:rsid w:val="003C35B1"/>
    <w:rsid w:val="003C47EF"/>
    <w:rsid w:val="003C77AC"/>
    <w:rsid w:val="003D0380"/>
    <w:rsid w:val="003D22E6"/>
    <w:rsid w:val="003D3FED"/>
    <w:rsid w:val="003D4000"/>
    <w:rsid w:val="003D5FD5"/>
    <w:rsid w:val="003D615A"/>
    <w:rsid w:val="003D66DC"/>
    <w:rsid w:val="003E1704"/>
    <w:rsid w:val="003E1827"/>
    <w:rsid w:val="003E1E27"/>
    <w:rsid w:val="003E4866"/>
    <w:rsid w:val="003E6200"/>
    <w:rsid w:val="003E6675"/>
    <w:rsid w:val="003E66D2"/>
    <w:rsid w:val="003E7283"/>
    <w:rsid w:val="003F0250"/>
    <w:rsid w:val="003F061A"/>
    <w:rsid w:val="003F06E0"/>
    <w:rsid w:val="003F0907"/>
    <w:rsid w:val="003F1B97"/>
    <w:rsid w:val="003F2512"/>
    <w:rsid w:val="003F27E9"/>
    <w:rsid w:val="003F3484"/>
    <w:rsid w:val="003F3652"/>
    <w:rsid w:val="003F5054"/>
    <w:rsid w:val="003F6B04"/>
    <w:rsid w:val="004003BC"/>
    <w:rsid w:val="0040134B"/>
    <w:rsid w:val="0040203B"/>
    <w:rsid w:val="004054C7"/>
    <w:rsid w:val="00406766"/>
    <w:rsid w:val="004069D0"/>
    <w:rsid w:val="004071F0"/>
    <w:rsid w:val="00410AA7"/>
    <w:rsid w:val="0041121F"/>
    <w:rsid w:val="00412166"/>
    <w:rsid w:val="004121AB"/>
    <w:rsid w:val="00412C3C"/>
    <w:rsid w:val="00412CE6"/>
    <w:rsid w:val="00414424"/>
    <w:rsid w:val="00414677"/>
    <w:rsid w:val="00415577"/>
    <w:rsid w:val="00415B6D"/>
    <w:rsid w:val="00416334"/>
    <w:rsid w:val="00421666"/>
    <w:rsid w:val="004216D1"/>
    <w:rsid w:val="00422D70"/>
    <w:rsid w:val="00423443"/>
    <w:rsid w:val="00423A99"/>
    <w:rsid w:val="0042701B"/>
    <w:rsid w:val="004277CD"/>
    <w:rsid w:val="004278E9"/>
    <w:rsid w:val="00430E44"/>
    <w:rsid w:val="00430EBF"/>
    <w:rsid w:val="0043386D"/>
    <w:rsid w:val="00433B9D"/>
    <w:rsid w:val="00434E97"/>
    <w:rsid w:val="004362D0"/>
    <w:rsid w:val="004400CE"/>
    <w:rsid w:val="00441F06"/>
    <w:rsid w:val="0044332A"/>
    <w:rsid w:val="00443C2A"/>
    <w:rsid w:val="00445FF4"/>
    <w:rsid w:val="00450852"/>
    <w:rsid w:val="004508CA"/>
    <w:rsid w:val="00450FD7"/>
    <w:rsid w:val="00452207"/>
    <w:rsid w:val="0045283C"/>
    <w:rsid w:val="004533A5"/>
    <w:rsid w:val="0045521C"/>
    <w:rsid w:val="004559FC"/>
    <w:rsid w:val="00456AA5"/>
    <w:rsid w:val="00457C4A"/>
    <w:rsid w:val="00460AC6"/>
    <w:rsid w:val="0046162C"/>
    <w:rsid w:val="004628BF"/>
    <w:rsid w:val="0046399A"/>
    <w:rsid w:val="00466CCE"/>
    <w:rsid w:val="0046748A"/>
    <w:rsid w:val="00471223"/>
    <w:rsid w:val="00472D14"/>
    <w:rsid w:val="00475B7C"/>
    <w:rsid w:val="00477507"/>
    <w:rsid w:val="00481406"/>
    <w:rsid w:val="00481852"/>
    <w:rsid w:val="00481CDD"/>
    <w:rsid w:val="004824F2"/>
    <w:rsid w:val="004825A2"/>
    <w:rsid w:val="00482F33"/>
    <w:rsid w:val="00483098"/>
    <w:rsid w:val="00484919"/>
    <w:rsid w:val="0048524D"/>
    <w:rsid w:val="00491DF5"/>
    <w:rsid w:val="004943DE"/>
    <w:rsid w:val="00495617"/>
    <w:rsid w:val="00495979"/>
    <w:rsid w:val="00495EB6"/>
    <w:rsid w:val="004976D9"/>
    <w:rsid w:val="004A15C4"/>
    <w:rsid w:val="004A22F8"/>
    <w:rsid w:val="004A307A"/>
    <w:rsid w:val="004A4327"/>
    <w:rsid w:val="004A4430"/>
    <w:rsid w:val="004A4EAE"/>
    <w:rsid w:val="004A5598"/>
    <w:rsid w:val="004B1665"/>
    <w:rsid w:val="004B222A"/>
    <w:rsid w:val="004B23BD"/>
    <w:rsid w:val="004B57EE"/>
    <w:rsid w:val="004B627F"/>
    <w:rsid w:val="004B6615"/>
    <w:rsid w:val="004B6915"/>
    <w:rsid w:val="004B69CA"/>
    <w:rsid w:val="004C20B8"/>
    <w:rsid w:val="004C2D7C"/>
    <w:rsid w:val="004C48AB"/>
    <w:rsid w:val="004C7998"/>
    <w:rsid w:val="004D0BE5"/>
    <w:rsid w:val="004D12EC"/>
    <w:rsid w:val="004D27BB"/>
    <w:rsid w:val="004D2DA6"/>
    <w:rsid w:val="004D2DFB"/>
    <w:rsid w:val="004D340C"/>
    <w:rsid w:val="004D4887"/>
    <w:rsid w:val="004D48ED"/>
    <w:rsid w:val="004D4ED5"/>
    <w:rsid w:val="004D64D5"/>
    <w:rsid w:val="004D6A85"/>
    <w:rsid w:val="004D6FB1"/>
    <w:rsid w:val="004D7C1D"/>
    <w:rsid w:val="004E05D1"/>
    <w:rsid w:val="004E3DFE"/>
    <w:rsid w:val="004E4DAA"/>
    <w:rsid w:val="004E6E02"/>
    <w:rsid w:val="004F05D8"/>
    <w:rsid w:val="004F06E5"/>
    <w:rsid w:val="004F103D"/>
    <w:rsid w:val="004F13B2"/>
    <w:rsid w:val="004F26A5"/>
    <w:rsid w:val="004F31D8"/>
    <w:rsid w:val="004F31E6"/>
    <w:rsid w:val="004F4959"/>
    <w:rsid w:val="004F51D9"/>
    <w:rsid w:val="004F5229"/>
    <w:rsid w:val="004F641B"/>
    <w:rsid w:val="004F68BF"/>
    <w:rsid w:val="004F75EE"/>
    <w:rsid w:val="005025B4"/>
    <w:rsid w:val="005048F1"/>
    <w:rsid w:val="00504BBB"/>
    <w:rsid w:val="00505595"/>
    <w:rsid w:val="005060DD"/>
    <w:rsid w:val="00506567"/>
    <w:rsid w:val="00506611"/>
    <w:rsid w:val="00506DBC"/>
    <w:rsid w:val="0051209F"/>
    <w:rsid w:val="00512ACE"/>
    <w:rsid w:val="00512F9F"/>
    <w:rsid w:val="0051413C"/>
    <w:rsid w:val="00517D2B"/>
    <w:rsid w:val="00517D73"/>
    <w:rsid w:val="00520FA9"/>
    <w:rsid w:val="00525672"/>
    <w:rsid w:val="00525964"/>
    <w:rsid w:val="00525DFD"/>
    <w:rsid w:val="0052637B"/>
    <w:rsid w:val="00527DA4"/>
    <w:rsid w:val="00530C5B"/>
    <w:rsid w:val="0053311F"/>
    <w:rsid w:val="00533F96"/>
    <w:rsid w:val="00534184"/>
    <w:rsid w:val="0053478B"/>
    <w:rsid w:val="00534ED1"/>
    <w:rsid w:val="00537A0A"/>
    <w:rsid w:val="005409F7"/>
    <w:rsid w:val="00541490"/>
    <w:rsid w:val="00541A00"/>
    <w:rsid w:val="00542521"/>
    <w:rsid w:val="005436EE"/>
    <w:rsid w:val="005473B5"/>
    <w:rsid w:val="00547B07"/>
    <w:rsid w:val="00553046"/>
    <w:rsid w:val="00553A5F"/>
    <w:rsid w:val="0055600A"/>
    <w:rsid w:val="00556964"/>
    <w:rsid w:val="005575F0"/>
    <w:rsid w:val="005605EB"/>
    <w:rsid w:val="005655B9"/>
    <w:rsid w:val="00566F5D"/>
    <w:rsid w:val="005670B0"/>
    <w:rsid w:val="005671ED"/>
    <w:rsid w:val="00567754"/>
    <w:rsid w:val="0057013B"/>
    <w:rsid w:val="005709BF"/>
    <w:rsid w:val="00570B32"/>
    <w:rsid w:val="00572765"/>
    <w:rsid w:val="005729B0"/>
    <w:rsid w:val="00573EFE"/>
    <w:rsid w:val="00574C0A"/>
    <w:rsid w:val="00580AB3"/>
    <w:rsid w:val="00581DE7"/>
    <w:rsid w:val="005822AE"/>
    <w:rsid w:val="005837A9"/>
    <w:rsid w:val="0058614B"/>
    <w:rsid w:val="00590FEF"/>
    <w:rsid w:val="005921A5"/>
    <w:rsid w:val="0059343B"/>
    <w:rsid w:val="00593DF9"/>
    <w:rsid w:val="00594C95"/>
    <w:rsid w:val="005965EE"/>
    <w:rsid w:val="00596620"/>
    <w:rsid w:val="005A0666"/>
    <w:rsid w:val="005A15F4"/>
    <w:rsid w:val="005A1C21"/>
    <w:rsid w:val="005A1C7E"/>
    <w:rsid w:val="005A3885"/>
    <w:rsid w:val="005A3BFB"/>
    <w:rsid w:val="005A54FA"/>
    <w:rsid w:val="005A5555"/>
    <w:rsid w:val="005A55C9"/>
    <w:rsid w:val="005A5EAB"/>
    <w:rsid w:val="005A71DC"/>
    <w:rsid w:val="005B1607"/>
    <w:rsid w:val="005B3702"/>
    <w:rsid w:val="005B385C"/>
    <w:rsid w:val="005B4E5B"/>
    <w:rsid w:val="005B50B7"/>
    <w:rsid w:val="005B551A"/>
    <w:rsid w:val="005B7DBC"/>
    <w:rsid w:val="005C153B"/>
    <w:rsid w:val="005C1932"/>
    <w:rsid w:val="005C2496"/>
    <w:rsid w:val="005C5970"/>
    <w:rsid w:val="005C59AB"/>
    <w:rsid w:val="005C7324"/>
    <w:rsid w:val="005D02BE"/>
    <w:rsid w:val="005D53E2"/>
    <w:rsid w:val="005D55A5"/>
    <w:rsid w:val="005D5A6A"/>
    <w:rsid w:val="005D6DFA"/>
    <w:rsid w:val="005D7762"/>
    <w:rsid w:val="005D7E7D"/>
    <w:rsid w:val="005E08DE"/>
    <w:rsid w:val="005E0FF4"/>
    <w:rsid w:val="005E1866"/>
    <w:rsid w:val="005E3770"/>
    <w:rsid w:val="005E631A"/>
    <w:rsid w:val="005F0214"/>
    <w:rsid w:val="005F0562"/>
    <w:rsid w:val="005F0E42"/>
    <w:rsid w:val="005F1B45"/>
    <w:rsid w:val="005F3748"/>
    <w:rsid w:val="005F42C8"/>
    <w:rsid w:val="005F4325"/>
    <w:rsid w:val="005F5CD2"/>
    <w:rsid w:val="005F6569"/>
    <w:rsid w:val="005F6971"/>
    <w:rsid w:val="005F7D47"/>
    <w:rsid w:val="006009F0"/>
    <w:rsid w:val="00600E94"/>
    <w:rsid w:val="00602573"/>
    <w:rsid w:val="00603367"/>
    <w:rsid w:val="00603D76"/>
    <w:rsid w:val="006042C8"/>
    <w:rsid w:val="0060583A"/>
    <w:rsid w:val="0060591C"/>
    <w:rsid w:val="0060605A"/>
    <w:rsid w:val="0060688D"/>
    <w:rsid w:val="00606E7C"/>
    <w:rsid w:val="006078A1"/>
    <w:rsid w:val="00607D11"/>
    <w:rsid w:val="00612278"/>
    <w:rsid w:val="0061276A"/>
    <w:rsid w:val="006130A3"/>
    <w:rsid w:val="006132A9"/>
    <w:rsid w:val="006149FB"/>
    <w:rsid w:val="006150A1"/>
    <w:rsid w:val="00615463"/>
    <w:rsid w:val="006166FC"/>
    <w:rsid w:val="0061764B"/>
    <w:rsid w:val="00617815"/>
    <w:rsid w:val="00617E97"/>
    <w:rsid w:val="00620608"/>
    <w:rsid w:val="0062146E"/>
    <w:rsid w:val="00622ED5"/>
    <w:rsid w:val="006238E7"/>
    <w:rsid w:val="00625B74"/>
    <w:rsid w:val="00630CF9"/>
    <w:rsid w:val="006310CF"/>
    <w:rsid w:val="006324CF"/>
    <w:rsid w:val="00633D03"/>
    <w:rsid w:val="006340D2"/>
    <w:rsid w:val="00635858"/>
    <w:rsid w:val="00640718"/>
    <w:rsid w:val="00640BF4"/>
    <w:rsid w:val="00640DCA"/>
    <w:rsid w:val="00640FA4"/>
    <w:rsid w:val="006431B8"/>
    <w:rsid w:val="006432AF"/>
    <w:rsid w:val="00646A9D"/>
    <w:rsid w:val="006472EC"/>
    <w:rsid w:val="00650359"/>
    <w:rsid w:val="00651F1A"/>
    <w:rsid w:val="0065311F"/>
    <w:rsid w:val="006535D7"/>
    <w:rsid w:val="006537E9"/>
    <w:rsid w:val="006537F1"/>
    <w:rsid w:val="00654DC0"/>
    <w:rsid w:val="00654EDC"/>
    <w:rsid w:val="00655486"/>
    <w:rsid w:val="00655591"/>
    <w:rsid w:val="00656B39"/>
    <w:rsid w:val="006571D3"/>
    <w:rsid w:val="00665F7F"/>
    <w:rsid w:val="00670A58"/>
    <w:rsid w:val="00671980"/>
    <w:rsid w:val="006729AE"/>
    <w:rsid w:val="00672BFB"/>
    <w:rsid w:val="00672E87"/>
    <w:rsid w:val="00673320"/>
    <w:rsid w:val="006741C3"/>
    <w:rsid w:val="006742AE"/>
    <w:rsid w:val="006777D5"/>
    <w:rsid w:val="00680317"/>
    <w:rsid w:val="00681902"/>
    <w:rsid w:val="006823C1"/>
    <w:rsid w:val="00684DFD"/>
    <w:rsid w:val="00686678"/>
    <w:rsid w:val="00687932"/>
    <w:rsid w:val="0069107A"/>
    <w:rsid w:val="00692245"/>
    <w:rsid w:val="00692E98"/>
    <w:rsid w:val="006943C6"/>
    <w:rsid w:val="006950F4"/>
    <w:rsid w:val="006951DC"/>
    <w:rsid w:val="00695706"/>
    <w:rsid w:val="006A004E"/>
    <w:rsid w:val="006A10AC"/>
    <w:rsid w:val="006A1DAC"/>
    <w:rsid w:val="006A1F16"/>
    <w:rsid w:val="006A4067"/>
    <w:rsid w:val="006A4288"/>
    <w:rsid w:val="006A5329"/>
    <w:rsid w:val="006A65F7"/>
    <w:rsid w:val="006A6BA3"/>
    <w:rsid w:val="006A741E"/>
    <w:rsid w:val="006B33F4"/>
    <w:rsid w:val="006B4F3D"/>
    <w:rsid w:val="006B529D"/>
    <w:rsid w:val="006B5E3E"/>
    <w:rsid w:val="006B6577"/>
    <w:rsid w:val="006B7995"/>
    <w:rsid w:val="006C0472"/>
    <w:rsid w:val="006C177A"/>
    <w:rsid w:val="006C3CE7"/>
    <w:rsid w:val="006C3E66"/>
    <w:rsid w:val="006C4896"/>
    <w:rsid w:val="006C761D"/>
    <w:rsid w:val="006D091E"/>
    <w:rsid w:val="006D14CB"/>
    <w:rsid w:val="006D31BC"/>
    <w:rsid w:val="006D35FF"/>
    <w:rsid w:val="006D5203"/>
    <w:rsid w:val="006D6AFE"/>
    <w:rsid w:val="006D6E0D"/>
    <w:rsid w:val="006D6F4D"/>
    <w:rsid w:val="006E1085"/>
    <w:rsid w:val="006E1565"/>
    <w:rsid w:val="006E2773"/>
    <w:rsid w:val="006E301A"/>
    <w:rsid w:val="006E361E"/>
    <w:rsid w:val="006E3728"/>
    <w:rsid w:val="006E40D8"/>
    <w:rsid w:val="006E516D"/>
    <w:rsid w:val="006E536D"/>
    <w:rsid w:val="006E5B02"/>
    <w:rsid w:val="006E6EC3"/>
    <w:rsid w:val="006E75B1"/>
    <w:rsid w:val="006F0B2E"/>
    <w:rsid w:val="006F2002"/>
    <w:rsid w:val="006F6729"/>
    <w:rsid w:val="0070031A"/>
    <w:rsid w:val="00701703"/>
    <w:rsid w:val="00701903"/>
    <w:rsid w:val="007024FF"/>
    <w:rsid w:val="00703409"/>
    <w:rsid w:val="00703E5D"/>
    <w:rsid w:val="00704FE0"/>
    <w:rsid w:val="00706161"/>
    <w:rsid w:val="00710670"/>
    <w:rsid w:val="00711C21"/>
    <w:rsid w:val="00713824"/>
    <w:rsid w:val="0071423A"/>
    <w:rsid w:val="00717518"/>
    <w:rsid w:val="00721FB3"/>
    <w:rsid w:val="00722E1E"/>
    <w:rsid w:val="00724038"/>
    <w:rsid w:val="007255A4"/>
    <w:rsid w:val="00730104"/>
    <w:rsid w:val="00730853"/>
    <w:rsid w:val="00730BA5"/>
    <w:rsid w:val="00730DC5"/>
    <w:rsid w:val="00731C3D"/>
    <w:rsid w:val="007344AD"/>
    <w:rsid w:val="00736833"/>
    <w:rsid w:val="00737888"/>
    <w:rsid w:val="00741792"/>
    <w:rsid w:val="00745094"/>
    <w:rsid w:val="007465F4"/>
    <w:rsid w:val="00746772"/>
    <w:rsid w:val="00747453"/>
    <w:rsid w:val="00747DE6"/>
    <w:rsid w:val="00750378"/>
    <w:rsid w:val="0075281D"/>
    <w:rsid w:val="00752B76"/>
    <w:rsid w:val="00752E53"/>
    <w:rsid w:val="007532B4"/>
    <w:rsid w:val="007539E5"/>
    <w:rsid w:val="007540F5"/>
    <w:rsid w:val="00754A41"/>
    <w:rsid w:val="00756565"/>
    <w:rsid w:val="00757E6A"/>
    <w:rsid w:val="007605E7"/>
    <w:rsid w:val="00760E7C"/>
    <w:rsid w:val="00762CF2"/>
    <w:rsid w:val="00763635"/>
    <w:rsid w:val="00763F31"/>
    <w:rsid w:val="007664C5"/>
    <w:rsid w:val="00767AE0"/>
    <w:rsid w:val="00767AF4"/>
    <w:rsid w:val="0077129C"/>
    <w:rsid w:val="00771647"/>
    <w:rsid w:val="00771C4E"/>
    <w:rsid w:val="00772727"/>
    <w:rsid w:val="007745F8"/>
    <w:rsid w:val="0077791D"/>
    <w:rsid w:val="00777A6B"/>
    <w:rsid w:val="00780A2F"/>
    <w:rsid w:val="00781ADC"/>
    <w:rsid w:val="00782F27"/>
    <w:rsid w:val="00783C17"/>
    <w:rsid w:val="00783E0B"/>
    <w:rsid w:val="00785742"/>
    <w:rsid w:val="00787458"/>
    <w:rsid w:val="00787597"/>
    <w:rsid w:val="007929D3"/>
    <w:rsid w:val="00795C33"/>
    <w:rsid w:val="007960DB"/>
    <w:rsid w:val="0079613F"/>
    <w:rsid w:val="007A0501"/>
    <w:rsid w:val="007A4C35"/>
    <w:rsid w:val="007A725C"/>
    <w:rsid w:val="007B1640"/>
    <w:rsid w:val="007B2EB2"/>
    <w:rsid w:val="007B3983"/>
    <w:rsid w:val="007B421C"/>
    <w:rsid w:val="007B608D"/>
    <w:rsid w:val="007B709B"/>
    <w:rsid w:val="007B719C"/>
    <w:rsid w:val="007B7C1D"/>
    <w:rsid w:val="007C0B48"/>
    <w:rsid w:val="007C0DF9"/>
    <w:rsid w:val="007C1E75"/>
    <w:rsid w:val="007C2384"/>
    <w:rsid w:val="007C3605"/>
    <w:rsid w:val="007C712C"/>
    <w:rsid w:val="007D0392"/>
    <w:rsid w:val="007D1D4F"/>
    <w:rsid w:val="007D1D7D"/>
    <w:rsid w:val="007D21AA"/>
    <w:rsid w:val="007D2FCE"/>
    <w:rsid w:val="007D370D"/>
    <w:rsid w:val="007D4CE3"/>
    <w:rsid w:val="007D4F33"/>
    <w:rsid w:val="007D5A3E"/>
    <w:rsid w:val="007D71BD"/>
    <w:rsid w:val="007E0D90"/>
    <w:rsid w:val="007E2FEE"/>
    <w:rsid w:val="007E4050"/>
    <w:rsid w:val="007E4F1B"/>
    <w:rsid w:val="007E616E"/>
    <w:rsid w:val="007E7A06"/>
    <w:rsid w:val="007F4076"/>
    <w:rsid w:val="007F50CC"/>
    <w:rsid w:val="007F56DA"/>
    <w:rsid w:val="007F6A49"/>
    <w:rsid w:val="007F70DE"/>
    <w:rsid w:val="0080115A"/>
    <w:rsid w:val="008013B1"/>
    <w:rsid w:val="00801D10"/>
    <w:rsid w:val="0080213F"/>
    <w:rsid w:val="00803332"/>
    <w:rsid w:val="00803F5A"/>
    <w:rsid w:val="00804E3D"/>
    <w:rsid w:val="00805C6A"/>
    <w:rsid w:val="0080757A"/>
    <w:rsid w:val="008100C9"/>
    <w:rsid w:val="00810790"/>
    <w:rsid w:val="00811AB4"/>
    <w:rsid w:val="00812DDF"/>
    <w:rsid w:val="00813639"/>
    <w:rsid w:val="0081422B"/>
    <w:rsid w:val="00814AF6"/>
    <w:rsid w:val="00815A2A"/>
    <w:rsid w:val="008168CF"/>
    <w:rsid w:val="008207A8"/>
    <w:rsid w:val="00821599"/>
    <w:rsid w:val="00822665"/>
    <w:rsid w:val="008241D9"/>
    <w:rsid w:val="00824DAC"/>
    <w:rsid w:val="00826275"/>
    <w:rsid w:val="00826BD0"/>
    <w:rsid w:val="00827814"/>
    <w:rsid w:val="0083028E"/>
    <w:rsid w:val="00831914"/>
    <w:rsid w:val="00832315"/>
    <w:rsid w:val="00832E07"/>
    <w:rsid w:val="008331BF"/>
    <w:rsid w:val="00833FF1"/>
    <w:rsid w:val="008340DA"/>
    <w:rsid w:val="0083676C"/>
    <w:rsid w:val="00837712"/>
    <w:rsid w:val="008408D2"/>
    <w:rsid w:val="00840A7A"/>
    <w:rsid w:val="008417BF"/>
    <w:rsid w:val="00842BD7"/>
    <w:rsid w:val="008433BA"/>
    <w:rsid w:val="0084423F"/>
    <w:rsid w:val="00844916"/>
    <w:rsid w:val="00851283"/>
    <w:rsid w:val="00851743"/>
    <w:rsid w:val="00853A4F"/>
    <w:rsid w:val="00854651"/>
    <w:rsid w:val="00855E4B"/>
    <w:rsid w:val="00856856"/>
    <w:rsid w:val="00856AC9"/>
    <w:rsid w:val="0085783E"/>
    <w:rsid w:val="0086083D"/>
    <w:rsid w:val="008618A5"/>
    <w:rsid w:val="008643CA"/>
    <w:rsid w:val="00864575"/>
    <w:rsid w:val="008653E9"/>
    <w:rsid w:val="008653FF"/>
    <w:rsid w:val="008655CA"/>
    <w:rsid w:val="0086732F"/>
    <w:rsid w:val="008677A3"/>
    <w:rsid w:val="00870118"/>
    <w:rsid w:val="00872DE9"/>
    <w:rsid w:val="008730E0"/>
    <w:rsid w:val="0087719E"/>
    <w:rsid w:val="008811AC"/>
    <w:rsid w:val="0088164B"/>
    <w:rsid w:val="00881CDE"/>
    <w:rsid w:val="00882477"/>
    <w:rsid w:val="00882D1F"/>
    <w:rsid w:val="0088308B"/>
    <w:rsid w:val="00883D0D"/>
    <w:rsid w:val="00884161"/>
    <w:rsid w:val="00884FD8"/>
    <w:rsid w:val="00885256"/>
    <w:rsid w:val="0088539B"/>
    <w:rsid w:val="00885648"/>
    <w:rsid w:val="00885A8F"/>
    <w:rsid w:val="00886A24"/>
    <w:rsid w:val="00890ACF"/>
    <w:rsid w:val="00890B57"/>
    <w:rsid w:val="008920F5"/>
    <w:rsid w:val="008937D8"/>
    <w:rsid w:val="00894157"/>
    <w:rsid w:val="008958D3"/>
    <w:rsid w:val="00897635"/>
    <w:rsid w:val="008978BC"/>
    <w:rsid w:val="008A01ED"/>
    <w:rsid w:val="008A16F7"/>
    <w:rsid w:val="008A18B7"/>
    <w:rsid w:val="008A2FE8"/>
    <w:rsid w:val="008A3D60"/>
    <w:rsid w:val="008A40E0"/>
    <w:rsid w:val="008A466D"/>
    <w:rsid w:val="008A5231"/>
    <w:rsid w:val="008A7053"/>
    <w:rsid w:val="008B1754"/>
    <w:rsid w:val="008B2A43"/>
    <w:rsid w:val="008B2CAF"/>
    <w:rsid w:val="008B3082"/>
    <w:rsid w:val="008B3676"/>
    <w:rsid w:val="008B4FA4"/>
    <w:rsid w:val="008B656A"/>
    <w:rsid w:val="008B7C88"/>
    <w:rsid w:val="008C1645"/>
    <w:rsid w:val="008C24F9"/>
    <w:rsid w:val="008C29A7"/>
    <w:rsid w:val="008C2C12"/>
    <w:rsid w:val="008C36FB"/>
    <w:rsid w:val="008C42B6"/>
    <w:rsid w:val="008C43F8"/>
    <w:rsid w:val="008C5006"/>
    <w:rsid w:val="008C78D0"/>
    <w:rsid w:val="008C7C2A"/>
    <w:rsid w:val="008C7E3D"/>
    <w:rsid w:val="008D092B"/>
    <w:rsid w:val="008D0DD4"/>
    <w:rsid w:val="008D1836"/>
    <w:rsid w:val="008D194A"/>
    <w:rsid w:val="008D2501"/>
    <w:rsid w:val="008D285F"/>
    <w:rsid w:val="008D6B90"/>
    <w:rsid w:val="008E0BDF"/>
    <w:rsid w:val="008E1274"/>
    <w:rsid w:val="008E16C1"/>
    <w:rsid w:val="008E6147"/>
    <w:rsid w:val="008E6609"/>
    <w:rsid w:val="008E79F8"/>
    <w:rsid w:val="008F0BA7"/>
    <w:rsid w:val="008F2774"/>
    <w:rsid w:val="008F2941"/>
    <w:rsid w:val="008F2FFD"/>
    <w:rsid w:val="008F3EAE"/>
    <w:rsid w:val="008F4099"/>
    <w:rsid w:val="008F5C87"/>
    <w:rsid w:val="008F67E0"/>
    <w:rsid w:val="008F7563"/>
    <w:rsid w:val="00901F44"/>
    <w:rsid w:val="00902571"/>
    <w:rsid w:val="00902B0D"/>
    <w:rsid w:val="00903B95"/>
    <w:rsid w:val="009049E8"/>
    <w:rsid w:val="009051AB"/>
    <w:rsid w:val="009051BC"/>
    <w:rsid w:val="00906BB5"/>
    <w:rsid w:val="009106B6"/>
    <w:rsid w:val="00910D7D"/>
    <w:rsid w:val="009120E2"/>
    <w:rsid w:val="00913764"/>
    <w:rsid w:val="00913E05"/>
    <w:rsid w:val="00917098"/>
    <w:rsid w:val="00917258"/>
    <w:rsid w:val="009203D2"/>
    <w:rsid w:val="0092141E"/>
    <w:rsid w:val="00922571"/>
    <w:rsid w:val="009236D2"/>
    <w:rsid w:val="00923D35"/>
    <w:rsid w:val="009245DF"/>
    <w:rsid w:val="009247E2"/>
    <w:rsid w:val="00924DA0"/>
    <w:rsid w:val="00925478"/>
    <w:rsid w:val="009258B1"/>
    <w:rsid w:val="00925D44"/>
    <w:rsid w:val="0092606D"/>
    <w:rsid w:val="009266E4"/>
    <w:rsid w:val="0092765F"/>
    <w:rsid w:val="00930342"/>
    <w:rsid w:val="009321A4"/>
    <w:rsid w:val="00934482"/>
    <w:rsid w:val="00936A6C"/>
    <w:rsid w:val="00937B18"/>
    <w:rsid w:val="009401C8"/>
    <w:rsid w:val="00940B85"/>
    <w:rsid w:val="00940BF4"/>
    <w:rsid w:val="00940CFC"/>
    <w:rsid w:val="0094283C"/>
    <w:rsid w:val="009450A6"/>
    <w:rsid w:val="00945CAA"/>
    <w:rsid w:val="00945D22"/>
    <w:rsid w:val="009474A9"/>
    <w:rsid w:val="00947804"/>
    <w:rsid w:val="00947FD3"/>
    <w:rsid w:val="009502EF"/>
    <w:rsid w:val="00951335"/>
    <w:rsid w:val="009531A6"/>
    <w:rsid w:val="00953C74"/>
    <w:rsid w:val="00955008"/>
    <w:rsid w:val="00956693"/>
    <w:rsid w:val="009571D1"/>
    <w:rsid w:val="00957FB6"/>
    <w:rsid w:val="00960903"/>
    <w:rsid w:val="00960C55"/>
    <w:rsid w:val="00963084"/>
    <w:rsid w:val="00963833"/>
    <w:rsid w:val="00965ABB"/>
    <w:rsid w:val="00970531"/>
    <w:rsid w:val="0097121E"/>
    <w:rsid w:val="0097140A"/>
    <w:rsid w:val="0097627A"/>
    <w:rsid w:val="00976340"/>
    <w:rsid w:val="0098014B"/>
    <w:rsid w:val="00981062"/>
    <w:rsid w:val="00981B23"/>
    <w:rsid w:val="00981E81"/>
    <w:rsid w:val="009828D7"/>
    <w:rsid w:val="00982B4D"/>
    <w:rsid w:val="0098314C"/>
    <w:rsid w:val="00983D53"/>
    <w:rsid w:val="0098455B"/>
    <w:rsid w:val="00987204"/>
    <w:rsid w:val="009876A3"/>
    <w:rsid w:val="00990D88"/>
    <w:rsid w:val="00991B2D"/>
    <w:rsid w:val="00992284"/>
    <w:rsid w:val="00992B03"/>
    <w:rsid w:val="00992B38"/>
    <w:rsid w:val="00994584"/>
    <w:rsid w:val="00995DD8"/>
    <w:rsid w:val="00996AD4"/>
    <w:rsid w:val="00996F1E"/>
    <w:rsid w:val="009974A1"/>
    <w:rsid w:val="00997B67"/>
    <w:rsid w:val="0099C6AC"/>
    <w:rsid w:val="009A0B91"/>
    <w:rsid w:val="009A0BC3"/>
    <w:rsid w:val="009A0C4B"/>
    <w:rsid w:val="009A2BCC"/>
    <w:rsid w:val="009A4686"/>
    <w:rsid w:val="009A5624"/>
    <w:rsid w:val="009A6F10"/>
    <w:rsid w:val="009B0290"/>
    <w:rsid w:val="009B14A2"/>
    <w:rsid w:val="009B217A"/>
    <w:rsid w:val="009B39E7"/>
    <w:rsid w:val="009B4066"/>
    <w:rsid w:val="009B4E58"/>
    <w:rsid w:val="009B6A09"/>
    <w:rsid w:val="009C365B"/>
    <w:rsid w:val="009C3EC3"/>
    <w:rsid w:val="009C3EE2"/>
    <w:rsid w:val="009C42D2"/>
    <w:rsid w:val="009C5180"/>
    <w:rsid w:val="009C57C5"/>
    <w:rsid w:val="009C7662"/>
    <w:rsid w:val="009C7D26"/>
    <w:rsid w:val="009D103D"/>
    <w:rsid w:val="009D1370"/>
    <w:rsid w:val="009D2A03"/>
    <w:rsid w:val="009D352C"/>
    <w:rsid w:val="009D3552"/>
    <w:rsid w:val="009D5492"/>
    <w:rsid w:val="009D6134"/>
    <w:rsid w:val="009D6196"/>
    <w:rsid w:val="009D6AE0"/>
    <w:rsid w:val="009D708A"/>
    <w:rsid w:val="009E2E93"/>
    <w:rsid w:val="009F20CA"/>
    <w:rsid w:val="009F22D6"/>
    <w:rsid w:val="009F7243"/>
    <w:rsid w:val="00A011EB"/>
    <w:rsid w:val="00A01AB0"/>
    <w:rsid w:val="00A03390"/>
    <w:rsid w:val="00A05A44"/>
    <w:rsid w:val="00A06BC7"/>
    <w:rsid w:val="00A06BCB"/>
    <w:rsid w:val="00A07412"/>
    <w:rsid w:val="00A10212"/>
    <w:rsid w:val="00A11093"/>
    <w:rsid w:val="00A1176D"/>
    <w:rsid w:val="00A11901"/>
    <w:rsid w:val="00A1313E"/>
    <w:rsid w:val="00A131A6"/>
    <w:rsid w:val="00A135FA"/>
    <w:rsid w:val="00A13A58"/>
    <w:rsid w:val="00A14E44"/>
    <w:rsid w:val="00A15088"/>
    <w:rsid w:val="00A15AFE"/>
    <w:rsid w:val="00A204DC"/>
    <w:rsid w:val="00A2103D"/>
    <w:rsid w:val="00A22B34"/>
    <w:rsid w:val="00A240EA"/>
    <w:rsid w:val="00A25076"/>
    <w:rsid w:val="00A25D08"/>
    <w:rsid w:val="00A25D2A"/>
    <w:rsid w:val="00A268E8"/>
    <w:rsid w:val="00A27CDF"/>
    <w:rsid w:val="00A27F78"/>
    <w:rsid w:val="00A303D3"/>
    <w:rsid w:val="00A3157E"/>
    <w:rsid w:val="00A3329E"/>
    <w:rsid w:val="00A333CF"/>
    <w:rsid w:val="00A33BDB"/>
    <w:rsid w:val="00A340C3"/>
    <w:rsid w:val="00A355EC"/>
    <w:rsid w:val="00A355FA"/>
    <w:rsid w:val="00A36634"/>
    <w:rsid w:val="00A37486"/>
    <w:rsid w:val="00A37E52"/>
    <w:rsid w:val="00A37FDC"/>
    <w:rsid w:val="00A415BE"/>
    <w:rsid w:val="00A4339E"/>
    <w:rsid w:val="00A43AA8"/>
    <w:rsid w:val="00A43F8F"/>
    <w:rsid w:val="00A443F0"/>
    <w:rsid w:val="00A45F16"/>
    <w:rsid w:val="00A45F3E"/>
    <w:rsid w:val="00A4678A"/>
    <w:rsid w:val="00A47BA0"/>
    <w:rsid w:val="00A50273"/>
    <w:rsid w:val="00A526F7"/>
    <w:rsid w:val="00A53095"/>
    <w:rsid w:val="00A53C78"/>
    <w:rsid w:val="00A543A7"/>
    <w:rsid w:val="00A55674"/>
    <w:rsid w:val="00A56957"/>
    <w:rsid w:val="00A57CDE"/>
    <w:rsid w:val="00A64AE3"/>
    <w:rsid w:val="00A655D8"/>
    <w:rsid w:val="00A71378"/>
    <w:rsid w:val="00A7160C"/>
    <w:rsid w:val="00A71E6F"/>
    <w:rsid w:val="00A72E0A"/>
    <w:rsid w:val="00A72E81"/>
    <w:rsid w:val="00A75E98"/>
    <w:rsid w:val="00A77C49"/>
    <w:rsid w:val="00A80059"/>
    <w:rsid w:val="00A800E4"/>
    <w:rsid w:val="00A806AB"/>
    <w:rsid w:val="00A815D0"/>
    <w:rsid w:val="00A8172B"/>
    <w:rsid w:val="00A82035"/>
    <w:rsid w:val="00A82A05"/>
    <w:rsid w:val="00A82C05"/>
    <w:rsid w:val="00A83AAE"/>
    <w:rsid w:val="00A83C55"/>
    <w:rsid w:val="00A861A9"/>
    <w:rsid w:val="00A86F78"/>
    <w:rsid w:val="00A9018C"/>
    <w:rsid w:val="00A90604"/>
    <w:rsid w:val="00A917CD"/>
    <w:rsid w:val="00A93588"/>
    <w:rsid w:val="00A9623C"/>
    <w:rsid w:val="00A96551"/>
    <w:rsid w:val="00A9694E"/>
    <w:rsid w:val="00A96FAC"/>
    <w:rsid w:val="00AA0D6D"/>
    <w:rsid w:val="00AA256A"/>
    <w:rsid w:val="00AA73B5"/>
    <w:rsid w:val="00AB01C1"/>
    <w:rsid w:val="00AB469E"/>
    <w:rsid w:val="00AB4E6D"/>
    <w:rsid w:val="00AB581C"/>
    <w:rsid w:val="00AB59E7"/>
    <w:rsid w:val="00AB6B5A"/>
    <w:rsid w:val="00AB6B79"/>
    <w:rsid w:val="00AC3B5F"/>
    <w:rsid w:val="00AC4A49"/>
    <w:rsid w:val="00AC4ACB"/>
    <w:rsid w:val="00AC5282"/>
    <w:rsid w:val="00AC7A1D"/>
    <w:rsid w:val="00AD078C"/>
    <w:rsid w:val="00AD1100"/>
    <w:rsid w:val="00AD52D5"/>
    <w:rsid w:val="00AD5BA4"/>
    <w:rsid w:val="00AD716F"/>
    <w:rsid w:val="00AE1598"/>
    <w:rsid w:val="00AE25F5"/>
    <w:rsid w:val="00AF18EE"/>
    <w:rsid w:val="00AF2A01"/>
    <w:rsid w:val="00AF564C"/>
    <w:rsid w:val="00B00ACD"/>
    <w:rsid w:val="00B01361"/>
    <w:rsid w:val="00B0344D"/>
    <w:rsid w:val="00B04982"/>
    <w:rsid w:val="00B05277"/>
    <w:rsid w:val="00B10185"/>
    <w:rsid w:val="00B1199E"/>
    <w:rsid w:val="00B11FF9"/>
    <w:rsid w:val="00B122C2"/>
    <w:rsid w:val="00B13BB6"/>
    <w:rsid w:val="00B14C59"/>
    <w:rsid w:val="00B14EA3"/>
    <w:rsid w:val="00B15505"/>
    <w:rsid w:val="00B15D56"/>
    <w:rsid w:val="00B178A9"/>
    <w:rsid w:val="00B20229"/>
    <w:rsid w:val="00B20640"/>
    <w:rsid w:val="00B21601"/>
    <w:rsid w:val="00B218BC"/>
    <w:rsid w:val="00B22310"/>
    <w:rsid w:val="00B223DA"/>
    <w:rsid w:val="00B264DA"/>
    <w:rsid w:val="00B26814"/>
    <w:rsid w:val="00B26B0C"/>
    <w:rsid w:val="00B311EB"/>
    <w:rsid w:val="00B31BAB"/>
    <w:rsid w:val="00B32FC5"/>
    <w:rsid w:val="00B33BBC"/>
    <w:rsid w:val="00B34009"/>
    <w:rsid w:val="00B349CC"/>
    <w:rsid w:val="00B35DB0"/>
    <w:rsid w:val="00B36497"/>
    <w:rsid w:val="00B41A73"/>
    <w:rsid w:val="00B42638"/>
    <w:rsid w:val="00B42D8E"/>
    <w:rsid w:val="00B42F98"/>
    <w:rsid w:val="00B44177"/>
    <w:rsid w:val="00B443D5"/>
    <w:rsid w:val="00B45013"/>
    <w:rsid w:val="00B45192"/>
    <w:rsid w:val="00B46A08"/>
    <w:rsid w:val="00B47039"/>
    <w:rsid w:val="00B47805"/>
    <w:rsid w:val="00B51F2F"/>
    <w:rsid w:val="00B5347B"/>
    <w:rsid w:val="00B545CC"/>
    <w:rsid w:val="00B54647"/>
    <w:rsid w:val="00B55760"/>
    <w:rsid w:val="00B57112"/>
    <w:rsid w:val="00B57D29"/>
    <w:rsid w:val="00B60370"/>
    <w:rsid w:val="00B60524"/>
    <w:rsid w:val="00B606B2"/>
    <w:rsid w:val="00B60FD7"/>
    <w:rsid w:val="00B62D53"/>
    <w:rsid w:val="00B64CD4"/>
    <w:rsid w:val="00B64F9F"/>
    <w:rsid w:val="00B65B61"/>
    <w:rsid w:val="00B65FA7"/>
    <w:rsid w:val="00B664EA"/>
    <w:rsid w:val="00B66540"/>
    <w:rsid w:val="00B701A2"/>
    <w:rsid w:val="00B70B0A"/>
    <w:rsid w:val="00B711B9"/>
    <w:rsid w:val="00B71C91"/>
    <w:rsid w:val="00B729B9"/>
    <w:rsid w:val="00B7363E"/>
    <w:rsid w:val="00B75507"/>
    <w:rsid w:val="00B76543"/>
    <w:rsid w:val="00B769DB"/>
    <w:rsid w:val="00B77A4B"/>
    <w:rsid w:val="00B80AB3"/>
    <w:rsid w:val="00B81042"/>
    <w:rsid w:val="00B8122C"/>
    <w:rsid w:val="00B81482"/>
    <w:rsid w:val="00B81763"/>
    <w:rsid w:val="00B81767"/>
    <w:rsid w:val="00B84474"/>
    <w:rsid w:val="00B85B55"/>
    <w:rsid w:val="00B85E67"/>
    <w:rsid w:val="00B86062"/>
    <w:rsid w:val="00B86EBE"/>
    <w:rsid w:val="00B875B0"/>
    <w:rsid w:val="00B922C6"/>
    <w:rsid w:val="00B92389"/>
    <w:rsid w:val="00B94C49"/>
    <w:rsid w:val="00B94CDA"/>
    <w:rsid w:val="00B968D4"/>
    <w:rsid w:val="00B9743B"/>
    <w:rsid w:val="00B97AAB"/>
    <w:rsid w:val="00BA05FD"/>
    <w:rsid w:val="00BA2393"/>
    <w:rsid w:val="00BA2626"/>
    <w:rsid w:val="00BA27C5"/>
    <w:rsid w:val="00BA3116"/>
    <w:rsid w:val="00BA3C0F"/>
    <w:rsid w:val="00BA632E"/>
    <w:rsid w:val="00BA71F8"/>
    <w:rsid w:val="00BA7F26"/>
    <w:rsid w:val="00BB244D"/>
    <w:rsid w:val="00BB45F1"/>
    <w:rsid w:val="00BB54E2"/>
    <w:rsid w:val="00BB5F1D"/>
    <w:rsid w:val="00BB66E2"/>
    <w:rsid w:val="00BB7E66"/>
    <w:rsid w:val="00BC098A"/>
    <w:rsid w:val="00BC0DDB"/>
    <w:rsid w:val="00BC17C7"/>
    <w:rsid w:val="00BC1855"/>
    <w:rsid w:val="00BC22BD"/>
    <w:rsid w:val="00BC24B2"/>
    <w:rsid w:val="00BC4360"/>
    <w:rsid w:val="00BC5530"/>
    <w:rsid w:val="00BC62F2"/>
    <w:rsid w:val="00BC7A48"/>
    <w:rsid w:val="00BC7F9B"/>
    <w:rsid w:val="00BD3F8F"/>
    <w:rsid w:val="00BD514D"/>
    <w:rsid w:val="00BD7994"/>
    <w:rsid w:val="00BE06B1"/>
    <w:rsid w:val="00BE07C7"/>
    <w:rsid w:val="00BE0F0B"/>
    <w:rsid w:val="00BE14F4"/>
    <w:rsid w:val="00BE3320"/>
    <w:rsid w:val="00BE3343"/>
    <w:rsid w:val="00BE3AE2"/>
    <w:rsid w:val="00BE415A"/>
    <w:rsid w:val="00BE5531"/>
    <w:rsid w:val="00BE566E"/>
    <w:rsid w:val="00BE69DA"/>
    <w:rsid w:val="00BF1B2D"/>
    <w:rsid w:val="00BF1E43"/>
    <w:rsid w:val="00BF20FC"/>
    <w:rsid w:val="00BF4C91"/>
    <w:rsid w:val="00BF62D5"/>
    <w:rsid w:val="00BF713C"/>
    <w:rsid w:val="00BF7BD5"/>
    <w:rsid w:val="00BF7EC2"/>
    <w:rsid w:val="00BF7EE1"/>
    <w:rsid w:val="00BF7F75"/>
    <w:rsid w:val="00C022F5"/>
    <w:rsid w:val="00C04B59"/>
    <w:rsid w:val="00C06B18"/>
    <w:rsid w:val="00C07875"/>
    <w:rsid w:val="00C117F9"/>
    <w:rsid w:val="00C12AEA"/>
    <w:rsid w:val="00C1398D"/>
    <w:rsid w:val="00C13B3A"/>
    <w:rsid w:val="00C1622F"/>
    <w:rsid w:val="00C16690"/>
    <w:rsid w:val="00C17922"/>
    <w:rsid w:val="00C20172"/>
    <w:rsid w:val="00C20546"/>
    <w:rsid w:val="00C2059A"/>
    <w:rsid w:val="00C22876"/>
    <w:rsid w:val="00C22CBD"/>
    <w:rsid w:val="00C246FA"/>
    <w:rsid w:val="00C24F98"/>
    <w:rsid w:val="00C26D8B"/>
    <w:rsid w:val="00C305A0"/>
    <w:rsid w:val="00C31561"/>
    <w:rsid w:val="00C320B8"/>
    <w:rsid w:val="00C3319F"/>
    <w:rsid w:val="00C3435C"/>
    <w:rsid w:val="00C34831"/>
    <w:rsid w:val="00C34DA2"/>
    <w:rsid w:val="00C34E42"/>
    <w:rsid w:val="00C35537"/>
    <w:rsid w:val="00C35768"/>
    <w:rsid w:val="00C35AA4"/>
    <w:rsid w:val="00C3675A"/>
    <w:rsid w:val="00C40D4D"/>
    <w:rsid w:val="00C4140A"/>
    <w:rsid w:val="00C447CD"/>
    <w:rsid w:val="00C458E6"/>
    <w:rsid w:val="00C45D66"/>
    <w:rsid w:val="00C46D18"/>
    <w:rsid w:val="00C472A5"/>
    <w:rsid w:val="00C514DB"/>
    <w:rsid w:val="00C51581"/>
    <w:rsid w:val="00C52E0B"/>
    <w:rsid w:val="00C53F9B"/>
    <w:rsid w:val="00C555BA"/>
    <w:rsid w:val="00C55F99"/>
    <w:rsid w:val="00C5633A"/>
    <w:rsid w:val="00C578F3"/>
    <w:rsid w:val="00C579B3"/>
    <w:rsid w:val="00C57F44"/>
    <w:rsid w:val="00C60E89"/>
    <w:rsid w:val="00C639C9"/>
    <w:rsid w:val="00C63B73"/>
    <w:rsid w:val="00C63F8B"/>
    <w:rsid w:val="00C6559B"/>
    <w:rsid w:val="00C65DF8"/>
    <w:rsid w:val="00C66696"/>
    <w:rsid w:val="00C70446"/>
    <w:rsid w:val="00C71DC8"/>
    <w:rsid w:val="00C72643"/>
    <w:rsid w:val="00C7792E"/>
    <w:rsid w:val="00C80FA6"/>
    <w:rsid w:val="00C812E9"/>
    <w:rsid w:val="00C82B65"/>
    <w:rsid w:val="00C839B6"/>
    <w:rsid w:val="00C840A1"/>
    <w:rsid w:val="00C84931"/>
    <w:rsid w:val="00C84C4D"/>
    <w:rsid w:val="00C84DB3"/>
    <w:rsid w:val="00C84F37"/>
    <w:rsid w:val="00C852EE"/>
    <w:rsid w:val="00C90510"/>
    <w:rsid w:val="00C90639"/>
    <w:rsid w:val="00C91180"/>
    <w:rsid w:val="00C923A7"/>
    <w:rsid w:val="00C93CCE"/>
    <w:rsid w:val="00C95F1A"/>
    <w:rsid w:val="00CA1208"/>
    <w:rsid w:val="00CA12E9"/>
    <w:rsid w:val="00CA1483"/>
    <w:rsid w:val="00CA3531"/>
    <w:rsid w:val="00CA3A87"/>
    <w:rsid w:val="00CA45A7"/>
    <w:rsid w:val="00CA4A3D"/>
    <w:rsid w:val="00CA54CC"/>
    <w:rsid w:val="00CA633B"/>
    <w:rsid w:val="00CA77FD"/>
    <w:rsid w:val="00CA7B82"/>
    <w:rsid w:val="00CB010B"/>
    <w:rsid w:val="00CB222A"/>
    <w:rsid w:val="00CB378F"/>
    <w:rsid w:val="00CB3CC9"/>
    <w:rsid w:val="00CB4558"/>
    <w:rsid w:val="00CB46E6"/>
    <w:rsid w:val="00CB49D9"/>
    <w:rsid w:val="00CB734C"/>
    <w:rsid w:val="00CB7B98"/>
    <w:rsid w:val="00CC00E5"/>
    <w:rsid w:val="00CC1012"/>
    <w:rsid w:val="00CC216F"/>
    <w:rsid w:val="00CC3CB9"/>
    <w:rsid w:val="00CC401A"/>
    <w:rsid w:val="00CC50B0"/>
    <w:rsid w:val="00CC6A5B"/>
    <w:rsid w:val="00CC6C25"/>
    <w:rsid w:val="00CD17F2"/>
    <w:rsid w:val="00CD1804"/>
    <w:rsid w:val="00CD291F"/>
    <w:rsid w:val="00CD3426"/>
    <w:rsid w:val="00CD35D7"/>
    <w:rsid w:val="00CD5DC1"/>
    <w:rsid w:val="00CD6329"/>
    <w:rsid w:val="00CD6377"/>
    <w:rsid w:val="00CD662F"/>
    <w:rsid w:val="00CD74C5"/>
    <w:rsid w:val="00CE218D"/>
    <w:rsid w:val="00CE5F9B"/>
    <w:rsid w:val="00CE5FBD"/>
    <w:rsid w:val="00CE6284"/>
    <w:rsid w:val="00CE69F7"/>
    <w:rsid w:val="00CE6B22"/>
    <w:rsid w:val="00CE6FDE"/>
    <w:rsid w:val="00CE7AA9"/>
    <w:rsid w:val="00CF03D9"/>
    <w:rsid w:val="00CF1523"/>
    <w:rsid w:val="00CF19F8"/>
    <w:rsid w:val="00CF2389"/>
    <w:rsid w:val="00CF4A72"/>
    <w:rsid w:val="00CF4FA3"/>
    <w:rsid w:val="00CF5A24"/>
    <w:rsid w:val="00CF6468"/>
    <w:rsid w:val="00CF666D"/>
    <w:rsid w:val="00CF6F17"/>
    <w:rsid w:val="00CF71DA"/>
    <w:rsid w:val="00D00F5D"/>
    <w:rsid w:val="00D03414"/>
    <w:rsid w:val="00D0484D"/>
    <w:rsid w:val="00D05E66"/>
    <w:rsid w:val="00D0684D"/>
    <w:rsid w:val="00D06FA5"/>
    <w:rsid w:val="00D10227"/>
    <w:rsid w:val="00D11DF4"/>
    <w:rsid w:val="00D11F12"/>
    <w:rsid w:val="00D1283C"/>
    <w:rsid w:val="00D13324"/>
    <w:rsid w:val="00D158A6"/>
    <w:rsid w:val="00D16E26"/>
    <w:rsid w:val="00D211E9"/>
    <w:rsid w:val="00D21B8B"/>
    <w:rsid w:val="00D232EA"/>
    <w:rsid w:val="00D23FA9"/>
    <w:rsid w:val="00D23FEA"/>
    <w:rsid w:val="00D248A6"/>
    <w:rsid w:val="00D26CE3"/>
    <w:rsid w:val="00D27B30"/>
    <w:rsid w:val="00D30606"/>
    <w:rsid w:val="00D34AF7"/>
    <w:rsid w:val="00D3546F"/>
    <w:rsid w:val="00D37502"/>
    <w:rsid w:val="00D40537"/>
    <w:rsid w:val="00D40A9B"/>
    <w:rsid w:val="00D42B48"/>
    <w:rsid w:val="00D4431D"/>
    <w:rsid w:val="00D47A9A"/>
    <w:rsid w:val="00D5123D"/>
    <w:rsid w:val="00D51971"/>
    <w:rsid w:val="00D51A5A"/>
    <w:rsid w:val="00D51ACD"/>
    <w:rsid w:val="00D51E16"/>
    <w:rsid w:val="00D53563"/>
    <w:rsid w:val="00D54F14"/>
    <w:rsid w:val="00D56573"/>
    <w:rsid w:val="00D57302"/>
    <w:rsid w:val="00D579F7"/>
    <w:rsid w:val="00D62487"/>
    <w:rsid w:val="00D656A3"/>
    <w:rsid w:val="00D6603C"/>
    <w:rsid w:val="00D7051F"/>
    <w:rsid w:val="00D70BCB"/>
    <w:rsid w:val="00D710DC"/>
    <w:rsid w:val="00D73B9F"/>
    <w:rsid w:val="00D73DF0"/>
    <w:rsid w:val="00D75708"/>
    <w:rsid w:val="00D75B05"/>
    <w:rsid w:val="00D768EA"/>
    <w:rsid w:val="00D76B6F"/>
    <w:rsid w:val="00D77AE8"/>
    <w:rsid w:val="00D77F37"/>
    <w:rsid w:val="00D80901"/>
    <w:rsid w:val="00D80E0E"/>
    <w:rsid w:val="00D80F70"/>
    <w:rsid w:val="00D81C11"/>
    <w:rsid w:val="00D825C6"/>
    <w:rsid w:val="00D82E15"/>
    <w:rsid w:val="00D843DF"/>
    <w:rsid w:val="00D85A17"/>
    <w:rsid w:val="00D903D2"/>
    <w:rsid w:val="00D9173C"/>
    <w:rsid w:val="00D9217A"/>
    <w:rsid w:val="00D92759"/>
    <w:rsid w:val="00D9308E"/>
    <w:rsid w:val="00DA00C6"/>
    <w:rsid w:val="00DA018D"/>
    <w:rsid w:val="00DA16A1"/>
    <w:rsid w:val="00DA1EA1"/>
    <w:rsid w:val="00DA292C"/>
    <w:rsid w:val="00DA317B"/>
    <w:rsid w:val="00DA33F7"/>
    <w:rsid w:val="00DA3C7E"/>
    <w:rsid w:val="00DA401B"/>
    <w:rsid w:val="00DA503F"/>
    <w:rsid w:val="00DA6A05"/>
    <w:rsid w:val="00DA6B43"/>
    <w:rsid w:val="00DA7F7C"/>
    <w:rsid w:val="00DB0657"/>
    <w:rsid w:val="00DB102F"/>
    <w:rsid w:val="00DB1863"/>
    <w:rsid w:val="00DB21E4"/>
    <w:rsid w:val="00DB2E61"/>
    <w:rsid w:val="00DB35AE"/>
    <w:rsid w:val="00DB3D80"/>
    <w:rsid w:val="00DB3DFA"/>
    <w:rsid w:val="00DB5173"/>
    <w:rsid w:val="00DB5B68"/>
    <w:rsid w:val="00DB5F9C"/>
    <w:rsid w:val="00DB5FCA"/>
    <w:rsid w:val="00DB6C05"/>
    <w:rsid w:val="00DB79FF"/>
    <w:rsid w:val="00DB7ABC"/>
    <w:rsid w:val="00DC01C1"/>
    <w:rsid w:val="00DC154C"/>
    <w:rsid w:val="00DC197C"/>
    <w:rsid w:val="00DC19D1"/>
    <w:rsid w:val="00DC20AF"/>
    <w:rsid w:val="00DC43B4"/>
    <w:rsid w:val="00DC4F84"/>
    <w:rsid w:val="00DC546F"/>
    <w:rsid w:val="00DC6704"/>
    <w:rsid w:val="00DC6918"/>
    <w:rsid w:val="00DD0101"/>
    <w:rsid w:val="00DD1F07"/>
    <w:rsid w:val="00DD2B06"/>
    <w:rsid w:val="00DD3525"/>
    <w:rsid w:val="00DD411A"/>
    <w:rsid w:val="00DD740C"/>
    <w:rsid w:val="00DD7469"/>
    <w:rsid w:val="00DD75D8"/>
    <w:rsid w:val="00DE053F"/>
    <w:rsid w:val="00DE0C8D"/>
    <w:rsid w:val="00DE0F0E"/>
    <w:rsid w:val="00DE171E"/>
    <w:rsid w:val="00DE237F"/>
    <w:rsid w:val="00DE2855"/>
    <w:rsid w:val="00DE4481"/>
    <w:rsid w:val="00DE60CA"/>
    <w:rsid w:val="00DE7F6D"/>
    <w:rsid w:val="00DF00FF"/>
    <w:rsid w:val="00DF0CF0"/>
    <w:rsid w:val="00DF10D4"/>
    <w:rsid w:val="00DF135F"/>
    <w:rsid w:val="00DF1A82"/>
    <w:rsid w:val="00DF27A6"/>
    <w:rsid w:val="00DF389B"/>
    <w:rsid w:val="00DF5800"/>
    <w:rsid w:val="00DF6260"/>
    <w:rsid w:val="00DF70B6"/>
    <w:rsid w:val="00DF7C5D"/>
    <w:rsid w:val="00DF7EF8"/>
    <w:rsid w:val="00E000DD"/>
    <w:rsid w:val="00E02C5B"/>
    <w:rsid w:val="00E03BDB"/>
    <w:rsid w:val="00E04DFE"/>
    <w:rsid w:val="00E0528F"/>
    <w:rsid w:val="00E06292"/>
    <w:rsid w:val="00E06EE1"/>
    <w:rsid w:val="00E10E5A"/>
    <w:rsid w:val="00E1105D"/>
    <w:rsid w:val="00E129F1"/>
    <w:rsid w:val="00E13107"/>
    <w:rsid w:val="00E138A8"/>
    <w:rsid w:val="00E14154"/>
    <w:rsid w:val="00E1651D"/>
    <w:rsid w:val="00E17E29"/>
    <w:rsid w:val="00E20BAA"/>
    <w:rsid w:val="00E20DE0"/>
    <w:rsid w:val="00E21905"/>
    <w:rsid w:val="00E21CBF"/>
    <w:rsid w:val="00E21E45"/>
    <w:rsid w:val="00E224D9"/>
    <w:rsid w:val="00E2293B"/>
    <w:rsid w:val="00E23840"/>
    <w:rsid w:val="00E2470C"/>
    <w:rsid w:val="00E24F6E"/>
    <w:rsid w:val="00E258AE"/>
    <w:rsid w:val="00E27958"/>
    <w:rsid w:val="00E27C54"/>
    <w:rsid w:val="00E3001B"/>
    <w:rsid w:val="00E3272C"/>
    <w:rsid w:val="00E32A30"/>
    <w:rsid w:val="00E3396D"/>
    <w:rsid w:val="00E34C6B"/>
    <w:rsid w:val="00E36CB6"/>
    <w:rsid w:val="00E37A4B"/>
    <w:rsid w:val="00E37E67"/>
    <w:rsid w:val="00E41317"/>
    <w:rsid w:val="00E41B73"/>
    <w:rsid w:val="00E42878"/>
    <w:rsid w:val="00E42D9C"/>
    <w:rsid w:val="00E4334C"/>
    <w:rsid w:val="00E436B2"/>
    <w:rsid w:val="00E4505F"/>
    <w:rsid w:val="00E46EE3"/>
    <w:rsid w:val="00E50004"/>
    <w:rsid w:val="00E516BF"/>
    <w:rsid w:val="00E51B58"/>
    <w:rsid w:val="00E51DD3"/>
    <w:rsid w:val="00E532D1"/>
    <w:rsid w:val="00E53E28"/>
    <w:rsid w:val="00E54080"/>
    <w:rsid w:val="00E543C7"/>
    <w:rsid w:val="00E54B77"/>
    <w:rsid w:val="00E561A9"/>
    <w:rsid w:val="00E562EE"/>
    <w:rsid w:val="00E60F0A"/>
    <w:rsid w:val="00E62352"/>
    <w:rsid w:val="00E628CC"/>
    <w:rsid w:val="00E64787"/>
    <w:rsid w:val="00E64933"/>
    <w:rsid w:val="00E654C5"/>
    <w:rsid w:val="00E66293"/>
    <w:rsid w:val="00E66358"/>
    <w:rsid w:val="00E67072"/>
    <w:rsid w:val="00E6738A"/>
    <w:rsid w:val="00E67495"/>
    <w:rsid w:val="00E677AE"/>
    <w:rsid w:val="00E718AD"/>
    <w:rsid w:val="00E718C8"/>
    <w:rsid w:val="00E73426"/>
    <w:rsid w:val="00E74F32"/>
    <w:rsid w:val="00E75F90"/>
    <w:rsid w:val="00E7687F"/>
    <w:rsid w:val="00E772B2"/>
    <w:rsid w:val="00E77961"/>
    <w:rsid w:val="00E804FF"/>
    <w:rsid w:val="00E80B6B"/>
    <w:rsid w:val="00E82E69"/>
    <w:rsid w:val="00E8334C"/>
    <w:rsid w:val="00E8337B"/>
    <w:rsid w:val="00E847F4"/>
    <w:rsid w:val="00E84F44"/>
    <w:rsid w:val="00E875E9"/>
    <w:rsid w:val="00E87641"/>
    <w:rsid w:val="00E90592"/>
    <w:rsid w:val="00E93048"/>
    <w:rsid w:val="00E93FF2"/>
    <w:rsid w:val="00E945D8"/>
    <w:rsid w:val="00E94A74"/>
    <w:rsid w:val="00E961EB"/>
    <w:rsid w:val="00E971D0"/>
    <w:rsid w:val="00EA144B"/>
    <w:rsid w:val="00EA2332"/>
    <w:rsid w:val="00EA354C"/>
    <w:rsid w:val="00EA39E5"/>
    <w:rsid w:val="00EA602F"/>
    <w:rsid w:val="00EB0F10"/>
    <w:rsid w:val="00EB203C"/>
    <w:rsid w:val="00EB2DA6"/>
    <w:rsid w:val="00EB4642"/>
    <w:rsid w:val="00EB70F4"/>
    <w:rsid w:val="00EB7527"/>
    <w:rsid w:val="00EC0008"/>
    <w:rsid w:val="00EC10A8"/>
    <w:rsid w:val="00EC2052"/>
    <w:rsid w:val="00EC2626"/>
    <w:rsid w:val="00EC2760"/>
    <w:rsid w:val="00EC4133"/>
    <w:rsid w:val="00EC4398"/>
    <w:rsid w:val="00EC4D95"/>
    <w:rsid w:val="00EC4E75"/>
    <w:rsid w:val="00EC59AA"/>
    <w:rsid w:val="00EC5AF0"/>
    <w:rsid w:val="00EC79A7"/>
    <w:rsid w:val="00ED0FB3"/>
    <w:rsid w:val="00ED19C5"/>
    <w:rsid w:val="00ED1C98"/>
    <w:rsid w:val="00ED37CC"/>
    <w:rsid w:val="00ED444A"/>
    <w:rsid w:val="00ED5EDF"/>
    <w:rsid w:val="00ED62C4"/>
    <w:rsid w:val="00ED6992"/>
    <w:rsid w:val="00ED6C85"/>
    <w:rsid w:val="00EE0352"/>
    <w:rsid w:val="00EE40A9"/>
    <w:rsid w:val="00EE49C0"/>
    <w:rsid w:val="00EE582A"/>
    <w:rsid w:val="00EE5F99"/>
    <w:rsid w:val="00EE70E5"/>
    <w:rsid w:val="00EE754D"/>
    <w:rsid w:val="00EF05E8"/>
    <w:rsid w:val="00EF17E1"/>
    <w:rsid w:val="00EF2A78"/>
    <w:rsid w:val="00EF3F8E"/>
    <w:rsid w:val="00EF433D"/>
    <w:rsid w:val="00EF43DE"/>
    <w:rsid w:val="00EF46C1"/>
    <w:rsid w:val="00EF4CE9"/>
    <w:rsid w:val="00EF6EED"/>
    <w:rsid w:val="00F05962"/>
    <w:rsid w:val="00F05A1D"/>
    <w:rsid w:val="00F05C4C"/>
    <w:rsid w:val="00F063AF"/>
    <w:rsid w:val="00F06B49"/>
    <w:rsid w:val="00F0799C"/>
    <w:rsid w:val="00F07B65"/>
    <w:rsid w:val="00F10E00"/>
    <w:rsid w:val="00F11E3E"/>
    <w:rsid w:val="00F12146"/>
    <w:rsid w:val="00F12C9F"/>
    <w:rsid w:val="00F16808"/>
    <w:rsid w:val="00F1698E"/>
    <w:rsid w:val="00F17E24"/>
    <w:rsid w:val="00F20578"/>
    <w:rsid w:val="00F226F4"/>
    <w:rsid w:val="00F22FF0"/>
    <w:rsid w:val="00F2331D"/>
    <w:rsid w:val="00F23684"/>
    <w:rsid w:val="00F237C3"/>
    <w:rsid w:val="00F23ED4"/>
    <w:rsid w:val="00F25E0C"/>
    <w:rsid w:val="00F310CB"/>
    <w:rsid w:val="00F322F4"/>
    <w:rsid w:val="00F3441D"/>
    <w:rsid w:val="00F35546"/>
    <w:rsid w:val="00F37DE9"/>
    <w:rsid w:val="00F41BDD"/>
    <w:rsid w:val="00F4249A"/>
    <w:rsid w:val="00F435F0"/>
    <w:rsid w:val="00F43DF4"/>
    <w:rsid w:val="00F44FAD"/>
    <w:rsid w:val="00F46884"/>
    <w:rsid w:val="00F4694D"/>
    <w:rsid w:val="00F46C5C"/>
    <w:rsid w:val="00F51745"/>
    <w:rsid w:val="00F526F5"/>
    <w:rsid w:val="00F53300"/>
    <w:rsid w:val="00F5562B"/>
    <w:rsid w:val="00F55B08"/>
    <w:rsid w:val="00F565EE"/>
    <w:rsid w:val="00F56BA1"/>
    <w:rsid w:val="00F60183"/>
    <w:rsid w:val="00F601F0"/>
    <w:rsid w:val="00F60BAC"/>
    <w:rsid w:val="00F6108E"/>
    <w:rsid w:val="00F62041"/>
    <w:rsid w:val="00F64053"/>
    <w:rsid w:val="00F65554"/>
    <w:rsid w:val="00F658BF"/>
    <w:rsid w:val="00F65C3D"/>
    <w:rsid w:val="00F661C7"/>
    <w:rsid w:val="00F72255"/>
    <w:rsid w:val="00F726C2"/>
    <w:rsid w:val="00F748F7"/>
    <w:rsid w:val="00F751CA"/>
    <w:rsid w:val="00F761B3"/>
    <w:rsid w:val="00F77DC2"/>
    <w:rsid w:val="00F80C47"/>
    <w:rsid w:val="00F82A2D"/>
    <w:rsid w:val="00F8361F"/>
    <w:rsid w:val="00F851C5"/>
    <w:rsid w:val="00F85297"/>
    <w:rsid w:val="00F85C71"/>
    <w:rsid w:val="00F86612"/>
    <w:rsid w:val="00F8711D"/>
    <w:rsid w:val="00F877D7"/>
    <w:rsid w:val="00F90D47"/>
    <w:rsid w:val="00F90E2A"/>
    <w:rsid w:val="00F91732"/>
    <w:rsid w:val="00F91AD1"/>
    <w:rsid w:val="00F92CCC"/>
    <w:rsid w:val="00F94B90"/>
    <w:rsid w:val="00F953BB"/>
    <w:rsid w:val="00F967EC"/>
    <w:rsid w:val="00F96C06"/>
    <w:rsid w:val="00FA1211"/>
    <w:rsid w:val="00FA27E1"/>
    <w:rsid w:val="00FA2AF5"/>
    <w:rsid w:val="00FA4723"/>
    <w:rsid w:val="00FA67F8"/>
    <w:rsid w:val="00FA7727"/>
    <w:rsid w:val="00FA7C80"/>
    <w:rsid w:val="00FB24D4"/>
    <w:rsid w:val="00FB2EBD"/>
    <w:rsid w:val="00FB453C"/>
    <w:rsid w:val="00FB48C9"/>
    <w:rsid w:val="00FB69DB"/>
    <w:rsid w:val="00FB6F31"/>
    <w:rsid w:val="00FC11C3"/>
    <w:rsid w:val="00FC22E3"/>
    <w:rsid w:val="00FC326C"/>
    <w:rsid w:val="00FC3C89"/>
    <w:rsid w:val="00FC456B"/>
    <w:rsid w:val="00FC4C6E"/>
    <w:rsid w:val="00FC59BC"/>
    <w:rsid w:val="00FC763A"/>
    <w:rsid w:val="00FD2A7B"/>
    <w:rsid w:val="00FD2AD2"/>
    <w:rsid w:val="00FD2DE5"/>
    <w:rsid w:val="00FD68D3"/>
    <w:rsid w:val="00FD7739"/>
    <w:rsid w:val="00FE0197"/>
    <w:rsid w:val="00FE4D02"/>
    <w:rsid w:val="00FE50C4"/>
    <w:rsid w:val="00FE5D06"/>
    <w:rsid w:val="00FE7A58"/>
    <w:rsid w:val="00FF0138"/>
    <w:rsid w:val="00FF2A65"/>
    <w:rsid w:val="00FF2D7C"/>
    <w:rsid w:val="00FF3321"/>
    <w:rsid w:val="00FF33C1"/>
    <w:rsid w:val="00FF3727"/>
    <w:rsid w:val="00FF7909"/>
    <w:rsid w:val="0103FC37"/>
    <w:rsid w:val="0165E450"/>
    <w:rsid w:val="016B9A2C"/>
    <w:rsid w:val="01A45293"/>
    <w:rsid w:val="01DF5663"/>
    <w:rsid w:val="01ED8F7D"/>
    <w:rsid w:val="02352E35"/>
    <w:rsid w:val="027C9EC7"/>
    <w:rsid w:val="032559C0"/>
    <w:rsid w:val="049D6B3D"/>
    <w:rsid w:val="05001FA8"/>
    <w:rsid w:val="05431B38"/>
    <w:rsid w:val="0585D9BB"/>
    <w:rsid w:val="05E8B4C4"/>
    <w:rsid w:val="05EBEAE6"/>
    <w:rsid w:val="0636E450"/>
    <w:rsid w:val="063B80F3"/>
    <w:rsid w:val="064008E7"/>
    <w:rsid w:val="0680AD9A"/>
    <w:rsid w:val="068F1CB0"/>
    <w:rsid w:val="0697F583"/>
    <w:rsid w:val="06A4B2FD"/>
    <w:rsid w:val="07459701"/>
    <w:rsid w:val="08035C97"/>
    <w:rsid w:val="083FB205"/>
    <w:rsid w:val="0845ECC7"/>
    <w:rsid w:val="08756469"/>
    <w:rsid w:val="08AE47E6"/>
    <w:rsid w:val="090411BE"/>
    <w:rsid w:val="094E26E4"/>
    <w:rsid w:val="094E7B18"/>
    <w:rsid w:val="09B30E4F"/>
    <w:rsid w:val="0A092798"/>
    <w:rsid w:val="0AEEC097"/>
    <w:rsid w:val="0BBD011F"/>
    <w:rsid w:val="0DFFAD8B"/>
    <w:rsid w:val="0E5ECA7C"/>
    <w:rsid w:val="0E781AD5"/>
    <w:rsid w:val="0FAAD79D"/>
    <w:rsid w:val="0FE7EA8B"/>
    <w:rsid w:val="10A81A7B"/>
    <w:rsid w:val="10CCFF1E"/>
    <w:rsid w:val="10D28EC4"/>
    <w:rsid w:val="122A9726"/>
    <w:rsid w:val="12428A16"/>
    <w:rsid w:val="126580F9"/>
    <w:rsid w:val="132AAC85"/>
    <w:rsid w:val="155F2772"/>
    <w:rsid w:val="1583C29E"/>
    <w:rsid w:val="15E571C8"/>
    <w:rsid w:val="166AF88C"/>
    <w:rsid w:val="16CDDC75"/>
    <w:rsid w:val="17258B98"/>
    <w:rsid w:val="178161B4"/>
    <w:rsid w:val="17C107B5"/>
    <w:rsid w:val="1886628A"/>
    <w:rsid w:val="18B375A1"/>
    <w:rsid w:val="18E9E786"/>
    <w:rsid w:val="1924CA34"/>
    <w:rsid w:val="19F9F9EB"/>
    <w:rsid w:val="1A10127A"/>
    <w:rsid w:val="1A2172BF"/>
    <w:rsid w:val="1A27F102"/>
    <w:rsid w:val="1A4E6618"/>
    <w:rsid w:val="1A7CF662"/>
    <w:rsid w:val="1A9163FA"/>
    <w:rsid w:val="1AA913B5"/>
    <w:rsid w:val="1AE5CF58"/>
    <w:rsid w:val="1B04A250"/>
    <w:rsid w:val="1B1CF22A"/>
    <w:rsid w:val="1C53B72D"/>
    <w:rsid w:val="1C583F21"/>
    <w:rsid w:val="1C678268"/>
    <w:rsid w:val="1CF78415"/>
    <w:rsid w:val="1D194316"/>
    <w:rsid w:val="1D54DFE7"/>
    <w:rsid w:val="1D961BC3"/>
    <w:rsid w:val="1DA03C24"/>
    <w:rsid w:val="1F12DBA7"/>
    <w:rsid w:val="1F667654"/>
    <w:rsid w:val="1FFB4C2C"/>
    <w:rsid w:val="20EEA077"/>
    <w:rsid w:val="215C67D2"/>
    <w:rsid w:val="22A3F741"/>
    <w:rsid w:val="23089E01"/>
    <w:rsid w:val="232147AE"/>
    <w:rsid w:val="238E4544"/>
    <w:rsid w:val="23B0E34D"/>
    <w:rsid w:val="23DC473F"/>
    <w:rsid w:val="245EC912"/>
    <w:rsid w:val="2483AA57"/>
    <w:rsid w:val="249993E7"/>
    <w:rsid w:val="24E0929F"/>
    <w:rsid w:val="24EB8B47"/>
    <w:rsid w:val="257E9748"/>
    <w:rsid w:val="26AF01B6"/>
    <w:rsid w:val="26B4F65C"/>
    <w:rsid w:val="26D0B56D"/>
    <w:rsid w:val="26F0244A"/>
    <w:rsid w:val="27707D2D"/>
    <w:rsid w:val="2840169B"/>
    <w:rsid w:val="284B66D6"/>
    <w:rsid w:val="285B4BDF"/>
    <w:rsid w:val="28B1DBBF"/>
    <w:rsid w:val="29BBB5D5"/>
    <w:rsid w:val="29CB42B6"/>
    <w:rsid w:val="2A64AE95"/>
    <w:rsid w:val="2AA5AE05"/>
    <w:rsid w:val="2B03E0A8"/>
    <w:rsid w:val="2B21DF77"/>
    <w:rsid w:val="2BE30DE3"/>
    <w:rsid w:val="2D07684A"/>
    <w:rsid w:val="2D65BD46"/>
    <w:rsid w:val="2DA242C9"/>
    <w:rsid w:val="2DDE6ACA"/>
    <w:rsid w:val="2E21D57B"/>
    <w:rsid w:val="2EE89EB2"/>
    <w:rsid w:val="2F2467FC"/>
    <w:rsid w:val="2F47A812"/>
    <w:rsid w:val="304DDF45"/>
    <w:rsid w:val="31403034"/>
    <w:rsid w:val="317CDED5"/>
    <w:rsid w:val="31B9C7E9"/>
    <w:rsid w:val="31DB5037"/>
    <w:rsid w:val="320AF030"/>
    <w:rsid w:val="3210462F"/>
    <w:rsid w:val="3239603F"/>
    <w:rsid w:val="326BED67"/>
    <w:rsid w:val="32FEF168"/>
    <w:rsid w:val="33103197"/>
    <w:rsid w:val="341567CA"/>
    <w:rsid w:val="34480AD9"/>
    <w:rsid w:val="34D77F7A"/>
    <w:rsid w:val="350CD5D8"/>
    <w:rsid w:val="355F2E2A"/>
    <w:rsid w:val="35700604"/>
    <w:rsid w:val="36B35C7A"/>
    <w:rsid w:val="36C19594"/>
    <w:rsid w:val="37D6EEBB"/>
    <w:rsid w:val="37E79275"/>
    <w:rsid w:val="38A72EC0"/>
    <w:rsid w:val="396A7036"/>
    <w:rsid w:val="399EB181"/>
    <w:rsid w:val="3A08B18A"/>
    <w:rsid w:val="3A625E90"/>
    <w:rsid w:val="3AAE84FD"/>
    <w:rsid w:val="3B3C8B35"/>
    <w:rsid w:val="3B600A11"/>
    <w:rsid w:val="3B6F0BC1"/>
    <w:rsid w:val="3C11DE7B"/>
    <w:rsid w:val="3CF1D0FC"/>
    <w:rsid w:val="3CF99CD2"/>
    <w:rsid w:val="3D4712DF"/>
    <w:rsid w:val="3DA96851"/>
    <w:rsid w:val="3DB4C5AF"/>
    <w:rsid w:val="3DBE6F87"/>
    <w:rsid w:val="3E51B5F9"/>
    <w:rsid w:val="3E567BA6"/>
    <w:rsid w:val="3F17A05C"/>
    <w:rsid w:val="3FD89DBB"/>
    <w:rsid w:val="400408B0"/>
    <w:rsid w:val="4073C516"/>
    <w:rsid w:val="4266016D"/>
    <w:rsid w:val="433CAE02"/>
    <w:rsid w:val="4368DE56"/>
    <w:rsid w:val="442600EE"/>
    <w:rsid w:val="44EB865A"/>
    <w:rsid w:val="459B814E"/>
    <w:rsid w:val="45C6A187"/>
    <w:rsid w:val="45D11A4E"/>
    <w:rsid w:val="47521759"/>
    <w:rsid w:val="47FB5E99"/>
    <w:rsid w:val="485CF845"/>
    <w:rsid w:val="49452796"/>
    <w:rsid w:val="49734671"/>
    <w:rsid w:val="49C98D49"/>
    <w:rsid w:val="4ACFB18D"/>
    <w:rsid w:val="4ADD48E6"/>
    <w:rsid w:val="4B6BF422"/>
    <w:rsid w:val="4BCB93DC"/>
    <w:rsid w:val="4C0BD2B2"/>
    <w:rsid w:val="4C155402"/>
    <w:rsid w:val="4C1F9D52"/>
    <w:rsid w:val="4C61656F"/>
    <w:rsid w:val="4E02859E"/>
    <w:rsid w:val="4E097109"/>
    <w:rsid w:val="4E504B4F"/>
    <w:rsid w:val="4E516775"/>
    <w:rsid w:val="4EA719C0"/>
    <w:rsid w:val="4F3523EA"/>
    <w:rsid w:val="505C8163"/>
    <w:rsid w:val="506C1B1E"/>
    <w:rsid w:val="50B7007E"/>
    <w:rsid w:val="51A6B265"/>
    <w:rsid w:val="524661D9"/>
    <w:rsid w:val="5257F62B"/>
    <w:rsid w:val="530D0FC0"/>
    <w:rsid w:val="536452C9"/>
    <w:rsid w:val="541B2F18"/>
    <w:rsid w:val="54542852"/>
    <w:rsid w:val="5473B9EA"/>
    <w:rsid w:val="54BBD306"/>
    <w:rsid w:val="551F7792"/>
    <w:rsid w:val="552EE666"/>
    <w:rsid w:val="55343DC9"/>
    <w:rsid w:val="556005F7"/>
    <w:rsid w:val="5598C52E"/>
    <w:rsid w:val="5623E4B8"/>
    <w:rsid w:val="569CF411"/>
    <w:rsid w:val="57BC4A4B"/>
    <w:rsid w:val="5922A6A0"/>
    <w:rsid w:val="594E987D"/>
    <w:rsid w:val="59BFCCBE"/>
    <w:rsid w:val="5AC88C59"/>
    <w:rsid w:val="5AFF3B1D"/>
    <w:rsid w:val="5B0B8B2F"/>
    <w:rsid w:val="5B365039"/>
    <w:rsid w:val="5BA38021"/>
    <w:rsid w:val="5BED1DA8"/>
    <w:rsid w:val="5C4B863E"/>
    <w:rsid w:val="5CC95981"/>
    <w:rsid w:val="5D645A28"/>
    <w:rsid w:val="5D8747C0"/>
    <w:rsid w:val="5FECF678"/>
    <w:rsid w:val="60287042"/>
    <w:rsid w:val="61229546"/>
    <w:rsid w:val="612CACA5"/>
    <w:rsid w:val="63165758"/>
    <w:rsid w:val="63306721"/>
    <w:rsid w:val="63552F78"/>
    <w:rsid w:val="6368E56D"/>
    <w:rsid w:val="636BB352"/>
    <w:rsid w:val="63A17D1A"/>
    <w:rsid w:val="6448C042"/>
    <w:rsid w:val="64CB5AC6"/>
    <w:rsid w:val="653926BC"/>
    <w:rsid w:val="658727FD"/>
    <w:rsid w:val="65C94F15"/>
    <w:rsid w:val="662F6B8B"/>
    <w:rsid w:val="66E0C7E8"/>
    <w:rsid w:val="67E567C5"/>
    <w:rsid w:val="68221521"/>
    <w:rsid w:val="68474478"/>
    <w:rsid w:val="6866110D"/>
    <w:rsid w:val="686EAAD7"/>
    <w:rsid w:val="687859FA"/>
    <w:rsid w:val="68A6E035"/>
    <w:rsid w:val="6B534EF7"/>
    <w:rsid w:val="6C485652"/>
    <w:rsid w:val="6D5406C3"/>
    <w:rsid w:val="6DCE5855"/>
    <w:rsid w:val="6DDD473B"/>
    <w:rsid w:val="6E4607F9"/>
    <w:rsid w:val="6F2E4781"/>
    <w:rsid w:val="6F2FB99B"/>
    <w:rsid w:val="6F78270B"/>
    <w:rsid w:val="6F840593"/>
    <w:rsid w:val="6FAA20DE"/>
    <w:rsid w:val="6FC23094"/>
    <w:rsid w:val="6FDBB203"/>
    <w:rsid w:val="70175ABF"/>
    <w:rsid w:val="7160111B"/>
    <w:rsid w:val="71764D34"/>
    <w:rsid w:val="7237ECF2"/>
    <w:rsid w:val="754C394E"/>
    <w:rsid w:val="75D9CAD2"/>
    <w:rsid w:val="75E23CD0"/>
    <w:rsid w:val="7665A620"/>
    <w:rsid w:val="770112C9"/>
    <w:rsid w:val="7735CCC7"/>
    <w:rsid w:val="773ACB80"/>
    <w:rsid w:val="7763BD12"/>
    <w:rsid w:val="778218F0"/>
    <w:rsid w:val="779BADB6"/>
    <w:rsid w:val="7836ADCF"/>
    <w:rsid w:val="7903BF63"/>
    <w:rsid w:val="7919C9E3"/>
    <w:rsid w:val="791EB9FE"/>
    <w:rsid w:val="792EF239"/>
    <w:rsid w:val="79481A96"/>
    <w:rsid w:val="79F82BD3"/>
    <w:rsid w:val="7AE3EAF7"/>
    <w:rsid w:val="7B4CD502"/>
    <w:rsid w:val="7B7ABD8E"/>
    <w:rsid w:val="7CC15539"/>
    <w:rsid w:val="7D9723FF"/>
    <w:rsid w:val="7DD2C455"/>
    <w:rsid w:val="7DDD32C6"/>
    <w:rsid w:val="7EA26D5E"/>
    <w:rsid w:val="7F2920C5"/>
    <w:rsid w:val="7F519429"/>
    <w:rsid w:val="7FBFB7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88DC8"/>
  <w15:chartTrackingRefBased/>
  <w15:docId w15:val="{EC0A17AF-2F69-46B6-A1DD-0DFD6F58A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E66"/>
    <w:pPr>
      <w:spacing w:before="120" w:after="120"/>
      <w:jc w:val="both"/>
    </w:pPr>
    <w:rPr>
      <w:rFonts w:ascii="Times New Roman" w:hAnsi="Times New Roman"/>
      <w:sz w:val="24"/>
    </w:rPr>
  </w:style>
  <w:style w:type="paragraph" w:styleId="Heading1">
    <w:name w:val="heading 1"/>
    <w:basedOn w:val="Normal"/>
    <w:next w:val="Normal"/>
    <w:link w:val="Heading1Char"/>
    <w:uiPriority w:val="9"/>
    <w:qFormat/>
    <w:rsid w:val="00CF71DA"/>
    <w:pPr>
      <w:keepNext/>
      <w:keepLines/>
      <w:spacing w:before="240" w:after="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EB70F4"/>
    <w:pPr>
      <w:keepNext/>
      <w:keepLines/>
      <w:spacing w:before="200"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DB0657"/>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1DA"/>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B70F4"/>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DB0657"/>
    <w:rPr>
      <w:rFonts w:ascii="Times New Roman" w:eastAsiaTheme="majorEastAsia" w:hAnsi="Times New Roman" w:cstheme="majorBidi"/>
      <w:b/>
      <w:sz w:val="24"/>
      <w:szCs w:val="24"/>
    </w:rPr>
  </w:style>
  <w:style w:type="character" w:styleId="PlaceholderText">
    <w:name w:val="Placeholder Text"/>
    <w:basedOn w:val="DefaultParagraphFont"/>
    <w:uiPriority w:val="99"/>
    <w:semiHidden/>
    <w:rsid w:val="00AE25F5"/>
    <w:rPr>
      <w:color w:val="808080"/>
    </w:rPr>
  </w:style>
  <w:style w:type="paragraph" w:styleId="ListParagraph">
    <w:name w:val="List Paragraph"/>
    <w:basedOn w:val="Normal"/>
    <w:uiPriority w:val="34"/>
    <w:qFormat/>
    <w:rsid w:val="008C2C12"/>
    <w:pPr>
      <w:ind w:left="720"/>
      <w:contextualSpacing/>
    </w:pPr>
  </w:style>
  <w:style w:type="paragraph" w:styleId="BalloonText">
    <w:name w:val="Balloon Text"/>
    <w:basedOn w:val="Normal"/>
    <w:link w:val="BalloonTextChar"/>
    <w:uiPriority w:val="99"/>
    <w:semiHidden/>
    <w:unhideWhenUsed/>
    <w:rsid w:val="00EE75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54D"/>
    <w:rPr>
      <w:rFonts w:ascii="Segoe UI" w:hAnsi="Segoe UI" w:cs="Segoe UI"/>
      <w:sz w:val="18"/>
      <w:szCs w:val="18"/>
    </w:rPr>
  </w:style>
  <w:style w:type="table" w:styleId="TableGrid">
    <w:name w:val="Table Grid"/>
    <w:basedOn w:val="TableNormal"/>
    <w:uiPriority w:val="39"/>
    <w:rsid w:val="005A5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7E24"/>
    <w:rPr>
      <w:sz w:val="16"/>
      <w:szCs w:val="16"/>
    </w:rPr>
  </w:style>
  <w:style w:type="paragraph" w:styleId="CommentText">
    <w:name w:val="annotation text"/>
    <w:basedOn w:val="Normal"/>
    <w:link w:val="CommentTextChar"/>
    <w:uiPriority w:val="99"/>
    <w:unhideWhenUsed/>
    <w:rsid w:val="00F17E24"/>
    <w:pPr>
      <w:spacing w:line="240" w:lineRule="auto"/>
    </w:pPr>
    <w:rPr>
      <w:sz w:val="20"/>
      <w:szCs w:val="20"/>
    </w:rPr>
  </w:style>
  <w:style w:type="character" w:customStyle="1" w:styleId="CommentTextChar">
    <w:name w:val="Comment Text Char"/>
    <w:basedOn w:val="DefaultParagraphFont"/>
    <w:link w:val="CommentText"/>
    <w:uiPriority w:val="99"/>
    <w:rsid w:val="00F17E2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17E24"/>
    <w:rPr>
      <w:b/>
      <w:bCs/>
    </w:rPr>
  </w:style>
  <w:style w:type="character" w:customStyle="1" w:styleId="CommentSubjectChar">
    <w:name w:val="Comment Subject Char"/>
    <w:basedOn w:val="CommentTextChar"/>
    <w:link w:val="CommentSubject"/>
    <w:uiPriority w:val="99"/>
    <w:semiHidden/>
    <w:rsid w:val="00F17E24"/>
    <w:rPr>
      <w:rFonts w:ascii="Times New Roman" w:hAnsi="Times New Roman"/>
      <w:b/>
      <w:bCs/>
      <w:sz w:val="20"/>
      <w:szCs w:val="20"/>
    </w:rPr>
  </w:style>
  <w:style w:type="paragraph" w:styleId="Bibliography">
    <w:name w:val="Bibliography"/>
    <w:basedOn w:val="Normal"/>
    <w:next w:val="Normal"/>
    <w:uiPriority w:val="37"/>
    <w:unhideWhenUsed/>
    <w:rsid w:val="008C1645"/>
  </w:style>
  <w:style w:type="paragraph" w:styleId="Header">
    <w:name w:val="header"/>
    <w:basedOn w:val="Normal"/>
    <w:link w:val="HeaderChar"/>
    <w:uiPriority w:val="99"/>
    <w:unhideWhenUsed/>
    <w:rsid w:val="007A05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501"/>
    <w:rPr>
      <w:rFonts w:ascii="Times New Roman" w:hAnsi="Times New Roman"/>
      <w:sz w:val="24"/>
    </w:rPr>
  </w:style>
  <w:style w:type="paragraph" w:styleId="Footer">
    <w:name w:val="footer"/>
    <w:basedOn w:val="Normal"/>
    <w:link w:val="FooterChar"/>
    <w:uiPriority w:val="99"/>
    <w:unhideWhenUsed/>
    <w:rsid w:val="007A05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501"/>
    <w:rPr>
      <w:rFonts w:ascii="Times New Roman" w:hAnsi="Times New Roman"/>
      <w:sz w:val="24"/>
    </w:rPr>
  </w:style>
  <w:style w:type="paragraph" w:styleId="Revision">
    <w:name w:val="Revision"/>
    <w:hidden/>
    <w:uiPriority w:val="99"/>
    <w:semiHidden/>
    <w:rsid w:val="00F80C47"/>
    <w:pPr>
      <w:spacing w:after="0" w:line="240" w:lineRule="auto"/>
    </w:pPr>
    <w:rPr>
      <w:rFonts w:ascii="Times New Roman" w:hAnsi="Times New Roman"/>
      <w:sz w:val="24"/>
    </w:rPr>
  </w:style>
  <w:style w:type="paragraph" w:styleId="NoSpacing">
    <w:name w:val="No Spacing"/>
    <w:uiPriority w:val="1"/>
    <w:qFormat/>
    <w:rsid w:val="00AC4ACB"/>
    <w:pPr>
      <w:spacing w:after="0" w:line="240" w:lineRule="auto"/>
      <w:jc w:val="both"/>
    </w:pPr>
    <w:rPr>
      <w:rFonts w:ascii="Times New Roman" w:hAnsi="Times New Roman"/>
      <w:sz w:val="24"/>
    </w:rPr>
  </w:style>
  <w:style w:type="character" w:styleId="Emphasis">
    <w:name w:val="Emphasis"/>
    <w:basedOn w:val="DefaultParagraphFont"/>
    <w:uiPriority w:val="20"/>
    <w:qFormat/>
    <w:rsid w:val="007C3605"/>
    <w:rPr>
      <w:i/>
      <w:iCs/>
    </w:rPr>
  </w:style>
  <w:style w:type="character" w:styleId="Hyperlink">
    <w:name w:val="Hyperlink"/>
    <w:basedOn w:val="DefaultParagraphFont"/>
    <w:uiPriority w:val="99"/>
    <w:unhideWhenUsed/>
    <w:rsid w:val="00257A48"/>
    <w:rPr>
      <w:color w:val="0563C1" w:themeColor="hyperlink"/>
      <w:u w:val="single"/>
    </w:rPr>
  </w:style>
  <w:style w:type="paragraph" w:customStyle="1" w:styleId="Default">
    <w:name w:val="Default"/>
    <w:rsid w:val="00EB7527"/>
    <w:pPr>
      <w:autoSpaceDE w:val="0"/>
      <w:autoSpaceDN w:val="0"/>
      <w:adjustRightInd w:val="0"/>
      <w:spacing w:after="0" w:line="240" w:lineRule="auto"/>
    </w:pPr>
    <w:rPr>
      <w:rFonts w:ascii="Calibri" w:hAnsi="Calibri" w:cs="Calibri"/>
      <w:color w:val="000000"/>
      <w:sz w:val="24"/>
      <w:szCs w:val="24"/>
      <w:lang w:val="de-DE"/>
    </w:rPr>
  </w:style>
  <w:style w:type="character" w:customStyle="1" w:styleId="normaltextrun">
    <w:name w:val="normaltextrun"/>
    <w:basedOn w:val="DefaultParagraphFont"/>
    <w:rsid w:val="00785742"/>
  </w:style>
  <w:style w:type="paragraph" w:styleId="NormalWeb">
    <w:name w:val="Normal (Web)"/>
    <w:basedOn w:val="Normal"/>
    <w:uiPriority w:val="99"/>
    <w:unhideWhenUsed/>
    <w:rsid w:val="00881CDE"/>
    <w:pPr>
      <w:spacing w:before="100" w:beforeAutospacing="1" w:after="100" w:afterAutospacing="1" w:line="240" w:lineRule="auto"/>
      <w:jc w:val="left"/>
    </w:pPr>
    <w:rPr>
      <w:rFonts w:eastAsia="Times New Roman" w:cs="Times New Roman"/>
      <w:szCs w:val="24"/>
    </w:rPr>
  </w:style>
  <w:style w:type="character" w:customStyle="1" w:styleId="hgkelc">
    <w:name w:val="hgkelc"/>
    <w:basedOn w:val="DefaultParagraphFont"/>
    <w:rsid w:val="00A47BA0"/>
  </w:style>
  <w:style w:type="paragraph" w:customStyle="1" w:styleId="EndNoteBibliographyTitle">
    <w:name w:val="EndNote Bibliography Title"/>
    <w:basedOn w:val="Normal"/>
    <w:link w:val="EndNoteBibliographyTitleChar"/>
    <w:rsid w:val="0079613F"/>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79613F"/>
    <w:rPr>
      <w:rFonts w:ascii="Times New Roman" w:hAnsi="Times New Roman" w:cs="Times New Roman"/>
      <w:noProof/>
      <w:sz w:val="24"/>
    </w:rPr>
  </w:style>
  <w:style w:type="paragraph" w:customStyle="1" w:styleId="EndNoteBibliography">
    <w:name w:val="EndNote Bibliography"/>
    <w:basedOn w:val="Normal"/>
    <w:link w:val="EndNoteBibliographyChar"/>
    <w:rsid w:val="0079613F"/>
    <w:pPr>
      <w:spacing w:line="240" w:lineRule="auto"/>
    </w:pPr>
    <w:rPr>
      <w:rFonts w:cs="Times New Roman"/>
      <w:noProof/>
    </w:rPr>
  </w:style>
  <w:style w:type="character" w:customStyle="1" w:styleId="EndNoteBibliographyChar">
    <w:name w:val="EndNote Bibliography Char"/>
    <w:basedOn w:val="DefaultParagraphFont"/>
    <w:link w:val="EndNoteBibliography"/>
    <w:rsid w:val="0079613F"/>
    <w:rPr>
      <w:rFonts w:ascii="Times New Roman" w:hAnsi="Times New Roman" w:cs="Times New Roman"/>
      <w:noProof/>
      <w:sz w:val="24"/>
    </w:rPr>
  </w:style>
  <w:style w:type="character" w:styleId="UnresolvedMention">
    <w:name w:val="Unresolved Mention"/>
    <w:basedOn w:val="DefaultParagraphFont"/>
    <w:uiPriority w:val="99"/>
    <w:semiHidden/>
    <w:unhideWhenUsed/>
    <w:rsid w:val="0079613F"/>
    <w:rPr>
      <w:color w:val="605E5C"/>
      <w:shd w:val="clear" w:color="auto" w:fill="E1DFDD"/>
    </w:rPr>
  </w:style>
  <w:style w:type="table" w:customStyle="1" w:styleId="Tabellenraster1">
    <w:name w:val="Tabellenraster1"/>
    <w:basedOn w:val="TableNormal"/>
    <w:next w:val="TableGrid"/>
    <w:uiPriority w:val="59"/>
    <w:rsid w:val="0077791D"/>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DefaultParagraphFont"/>
    <w:rsid w:val="00B81767"/>
  </w:style>
  <w:style w:type="paragraph" w:styleId="Caption">
    <w:name w:val="caption"/>
    <w:basedOn w:val="Normal"/>
    <w:next w:val="Normal"/>
    <w:qFormat/>
    <w:rsid w:val="002B094C"/>
    <w:pPr>
      <w:suppressAutoHyphens/>
      <w:spacing w:before="0" w:after="200" w:line="240" w:lineRule="auto"/>
      <w:jc w:val="left"/>
    </w:pPr>
    <w:rPr>
      <w:rFonts w:ascii="Calibri" w:eastAsia="Calibri" w:hAnsi="Calibri" w:cs="Times New Roman"/>
      <w:i/>
      <w:iCs/>
      <w:color w:val="44546A"/>
      <w:sz w:val="18"/>
      <w:szCs w:val="18"/>
      <w:lang w:eastAsia="zh-CN"/>
    </w:rPr>
  </w:style>
  <w:style w:type="paragraph" w:customStyle="1" w:styleId="SMText">
    <w:name w:val="SM Text"/>
    <w:basedOn w:val="Normal"/>
    <w:qFormat/>
    <w:rsid w:val="002752E4"/>
    <w:pPr>
      <w:spacing w:before="0" w:after="0" w:line="240" w:lineRule="auto"/>
      <w:ind w:firstLine="480"/>
      <w:jc w:val="left"/>
    </w:pPr>
    <w:rPr>
      <w:rFonts w:eastAsia="Times New Roman" w:cs="Times New Roman"/>
      <w:szCs w:val="20"/>
    </w:rPr>
  </w:style>
  <w:style w:type="paragraph" w:styleId="Title">
    <w:name w:val="Title"/>
    <w:basedOn w:val="Normal"/>
    <w:next w:val="Normal"/>
    <w:link w:val="TitleChar"/>
    <w:uiPriority w:val="10"/>
    <w:qFormat/>
    <w:rsid w:val="00B729B9"/>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9B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0595">
      <w:bodyDiv w:val="1"/>
      <w:marLeft w:val="0"/>
      <w:marRight w:val="0"/>
      <w:marTop w:val="0"/>
      <w:marBottom w:val="0"/>
      <w:divBdr>
        <w:top w:val="none" w:sz="0" w:space="0" w:color="auto"/>
        <w:left w:val="none" w:sz="0" w:space="0" w:color="auto"/>
        <w:bottom w:val="none" w:sz="0" w:space="0" w:color="auto"/>
        <w:right w:val="none" w:sz="0" w:space="0" w:color="auto"/>
      </w:divBdr>
    </w:div>
    <w:div w:id="275602752">
      <w:bodyDiv w:val="1"/>
      <w:marLeft w:val="0"/>
      <w:marRight w:val="0"/>
      <w:marTop w:val="0"/>
      <w:marBottom w:val="0"/>
      <w:divBdr>
        <w:top w:val="none" w:sz="0" w:space="0" w:color="auto"/>
        <w:left w:val="none" w:sz="0" w:space="0" w:color="auto"/>
        <w:bottom w:val="none" w:sz="0" w:space="0" w:color="auto"/>
        <w:right w:val="none" w:sz="0" w:space="0" w:color="auto"/>
      </w:divBdr>
      <w:divsChild>
        <w:div w:id="2127382433">
          <w:marLeft w:val="0"/>
          <w:marRight w:val="0"/>
          <w:marTop w:val="0"/>
          <w:marBottom w:val="0"/>
          <w:divBdr>
            <w:top w:val="none" w:sz="0" w:space="0" w:color="auto"/>
            <w:left w:val="none" w:sz="0" w:space="0" w:color="auto"/>
            <w:bottom w:val="none" w:sz="0" w:space="0" w:color="auto"/>
            <w:right w:val="none" w:sz="0" w:space="0" w:color="auto"/>
          </w:divBdr>
        </w:div>
      </w:divsChild>
    </w:div>
    <w:div w:id="187206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iencedirect.com/science/article/pii/S000925411930365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ciencedirect.com/topics/earth-and-planetary-sciences/velocity-distribution"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ciencedirect.com/topics/earth-and-planetary-sciences/diffusion-coefficient" TargetMode="External"/><Relationship Id="rId20" Type="http://schemas.openxmlformats.org/officeDocument/2006/relationships/hyperlink" Target="https://pubs.usgs.gov/of/2004/106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poonoosamy@fz-juelich.de" TargetMode="External"/><Relationship Id="rId5" Type="http://schemas.openxmlformats.org/officeDocument/2006/relationships/numbering" Target="numbering.xml"/><Relationship Id="rId15" Type="http://schemas.openxmlformats.org/officeDocument/2006/relationships/hyperlink" Target="https://www.sciencedirect.com/topics/earth-and-planetary-sciences/advectio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iencedirect.com/topics/earth-and-planetary-sciences/newtonian-flui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69CBE9EBB5564F969BAD38844CD901" ma:contentTypeVersion="10" ma:contentTypeDescription="Create a new document." ma:contentTypeScope="" ma:versionID="e88867d5feeea8342c8c27af51a10c4e">
  <xsd:schema xmlns:xsd="http://www.w3.org/2001/XMLSchema" xmlns:xs="http://www.w3.org/2001/XMLSchema" xmlns:p="http://schemas.microsoft.com/office/2006/metadata/properties" xmlns:ns2="04c03bf2-a7a6-418f-b28c-b1badef54232" xmlns:ns3="3ae7e1a5-2f5f-411b-a1b0-8a771c7a6ebd" targetNamespace="http://schemas.microsoft.com/office/2006/metadata/properties" ma:root="true" ma:fieldsID="0f995a85ab9e4c837a448b94c6b7c1b5" ns2:_="" ns3:_="">
    <xsd:import namespace="04c03bf2-a7a6-418f-b28c-b1badef54232"/>
    <xsd:import namespace="3ae7e1a5-2f5f-411b-a1b0-8a771c7a6e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c03bf2-a7a6-418f-b28c-b1badef542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ba7302e-2867-4704-8cbd-2b4f9b0cf90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e7e1a5-2f5f-411b-a1b0-8a771c7a6eb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eb2050-11f9-49aa-ab5f-ef025964362b}" ma:internalName="TaxCatchAll" ma:showField="CatchAllData" ma:web="3ae7e1a5-2f5f-411b-a1b0-8a771c7a6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b:Source>
    <b:Tag>Web211</b:Tag>
    <b:SourceType>JournalArticle</b:SourceType>
    <b:Guid>{BA96139A-412D-4D5C-842B-58A3086707E9}</b:Guid>
    <b:Author>
      <b:Author>
        <b:NameList>
          <b:Person>
            <b:Last>Weber</b:Last>
            <b:First>Juliane</b:First>
          </b:Person>
          <b:Person>
            <b:Last>Bracco</b:Last>
            <b:First>Jacquelyn</b:First>
            <b:Middle>N.</b:Middle>
          </b:Person>
          <b:Person>
            <b:Last>Yuan</b:Last>
            <b:First>Ke</b:First>
          </b:Person>
          <b:Person>
            <b:Last>Starchenko</b:Last>
            <b:First>Vitalii</b:First>
          </b:Person>
          <b:Person>
            <b:Last>Stack</b:Last>
            <b:First>Andrew</b:First>
            <b:Middle>G.</b:Middle>
          </b:Person>
        </b:NameList>
      </b:Author>
    </b:Author>
    <b:Title>Studies of mineral nucleation and growth across multiple scales: Review of the current state of research using the example of barite (BaSO4)</b:Title>
    <b:JournalName>ACS Earth and Space Chemistry</b:JournalName>
    <b:Year>2021</b:Year>
    <b:Pages>3338-3361</b:Pages>
    <b:Volume>5</b:Volume>
    <b:Issue>12</b:Issue>
    <b:RefOrder>14</b:RefOrder>
  </b:Source>
  <b:Source>
    <b:Tag>Poo16</b:Tag>
    <b:SourceType>JournalArticle</b:SourceType>
    <b:Guid>{B19B416C-9B4C-47F7-9687-C3DD6D78362E}</b:Guid>
    <b:Author>
      <b:Author>
        <b:NameList>
          <b:Person>
            <b:Last>Poonoosamy</b:Last>
            <b:First>J</b:First>
          </b:Person>
          <b:Person>
            <b:Last>Curti</b:Last>
            <b:First>E.</b:First>
          </b:Person>
          <b:Person>
            <b:Last>Kosakowski</b:Last>
            <b:First>G.</b:First>
          </b:Person>
          <b:Person>
            <b:Last>Van Loon</b:Last>
            <b:First>L.</b:First>
            <b:Middle>R.</b:Middle>
          </b:Person>
          <b:Person>
            <b:Last>Grolimund</b:Last>
            <b:First>D.</b:First>
          </b:Person>
          <b:Person>
            <b:Last>Mäder</b:Last>
            <b:First>U</b:First>
          </b:Person>
        </b:NameList>
      </b:Author>
    </b:Author>
    <b:JournalName>Geochimica et Cosmochimica Acta</b:JournalName>
    <b:Year>2016</b:Year>
    <b:Title>Barite precipitation following celestite dissolution in a porous medium: a SEM/BSE and micro XRF/XRD study.</b:Title>
    <b:Pages>131-144</b:Pages>
    <b:Volume>182</b:Volume>
    <b:RefOrder>32</b:RefOrder>
  </b:Source>
  <b:Source>
    <b:Tag>Ger16</b:Tag>
    <b:SourceType>JournalArticle</b:SourceType>
    <b:Guid>{9C9F1373-7788-411A-9FA0-E1CAFC32F8BE}</b:Guid>
    <b:Author>
      <b:Author>
        <b:NameList>
          <b:Person>
            <b:Last>Montes-Hernandez</b:Last>
            <b:First>German</b:First>
          </b:Person>
          <b:Person>
            <b:Last>Renard</b:Last>
            <b:First>François</b:First>
          </b:Person>
        </b:NameList>
      </b:Author>
    </b:Author>
    <b:Title>Time-resolved in situ Raman spectroscopy of the nucleation and growth of siderite, magnesite, and calcite and their precursors</b:Title>
    <b:Year>2016</b:Year>
    <b:JournalName>Crystal Growth and Design</b:JournalName>
    <b:Pages>7218–7230</b:Pages>
    <b:Volume>16</b:Volume>
    <b:DOI>10.1021/acs.cgd.6b01406</b:DOI>
    <b:RefOrder>33</b:RefOrder>
  </b:Source>
  <b:Source>
    <b:Tag>Mon21</b:Tag>
    <b:SourceType>JournalArticle</b:SourceType>
    <b:Guid>{C6287153-375C-4DD4-B496-40A7FB7AD870}</b:Guid>
    <b:Author>
      <b:Author>
        <b:NameList>
          <b:Person>
            <b:Last>Montes-Hernandez</b:Last>
            <b:First>German</b:First>
          </b:Person>
          <b:Person>
            <b:Last>Findling</b:Last>
            <b:First>Nathaniel</b:First>
          </b:Person>
          <b:Person>
            <b:Last>Renard</b:Last>
            <b:First>François</b:First>
          </b:Person>
        </b:NameList>
      </b:Author>
    </b:Author>
    <b:Title>Direct and indirect nucleation of magnetite nanoparticles from solution revealed by time-resolved Raman spectroscopy</b:Title>
    <b:JournalName>Crystal Growth &amp; Design</b:JournalName>
    <b:Year>2021</b:Year>
    <b:Pages>3500-3510</b:Pages>
    <b:Volume>21</b:Volume>
    <b:Issue>6</b:Issue>
    <b:RefOrder>34</b:RefOrder>
  </b:Source>
  <b:Source>
    <b:Year>2020</b:Year>
    <b:Volume>32</b:Volume>
    <b:BIBTEX_Entry>article</b:BIBTEX_Entry>
    <b:SourceType>JournalArticle</b:SourceType>
    <b:Title>Crystallization in confinement</b:Title>
    <b:Tag>Meldrum</b:Tag>
    <b:BIBTEX_KeyWords>biomineralization, colloidal crystallization, geochemistry, porous media</b:BIBTEX_KeyWords>
    <b:URL>https://onlinelibrary.wiley.com/doi/abs/10.1002/adma.202001068</b:URL>
    <b:DOI>https://doi.org/10.1002/adma.202001068</b:DOI>
    <b:Author>
      <b:Author>
        <b:NameList>
          <b:Person>
            <b:Last>Meldrum</b:Last>
            <b:Middle>C.</b:Middle>
            <b:First>Fiona</b:First>
          </b:Person>
          <b:Person>
            <b:Last>O'Shaughnessy</b:Last>
            <b:First>Cedrick</b:First>
          </b:Person>
        </b:NameList>
      </b:Author>
    </b:Author>
    <b:Pages>2001068</b:Pages>
    <b:JournalName>Advanced Materials</b:JournalName>
    <b:Number>31</b:Number>
    <b:Guid>{8C2C38CF-0FCB-42BC-9234-42852FC2CA35}</b:Guid>
    <b:RefOrder>21</b:RefOrder>
  </b:Source>
  <b:Source>
    <b:Tag>Kas03</b:Tag>
    <b:SourceType>JournalArticle</b:SourceType>
    <b:Guid>{3ADBC68B-F802-4B8A-B067-3EE88BC7B9C3}</b:Guid>
    <b:Author>
      <b:Author>
        <b:NameList>
          <b:Person>
            <b:Last>Kashchiev</b:Last>
            <b:First>D.</b:First>
          </b:Person>
          <b:Person>
            <b:Last>van Rosmalen</b:Last>
            <b:First>G.</b:First>
            <b:Middle>M.</b:Middle>
          </b:Person>
        </b:NameList>
      </b:Author>
    </b:Author>
    <b:Title>Review: nucleation in solutions revisited</b:Title>
    <b:Year>2003</b:Year>
    <b:JournalName>Crystal Research and Technology</b:JournalName>
    <b:Pages>555-574</b:Pages>
    <b:Volume>38</b:Volume>
    <b:Issue>7-8</b:Issue>
    <b:RefOrder>15</b:RefOrder>
  </b:Source>
  <b:Source>
    <b:Tag>Pri14</b:Tag>
    <b:SourceType>JournalArticle</b:SourceType>
    <b:Guid>{2C35D853-325D-4DE9-B3C8-B9E37CD5432E}</b:Guid>
    <b:Author>
      <b:Author>
        <b:NameList>
          <b:Person>
            <b:Last>Prieto</b:Last>
            <b:First>M.,</b:First>
          </b:Person>
        </b:NameList>
      </b:Author>
    </b:Author>
    <b:Title>Nucleation and supersaturation in porous media.</b:Title>
    <b:JournalName>Mineral. Mag.</b:JournalName>
    <b:Year>2014</b:Year>
    <b:Pages>1437–1447.</b:Pages>
    <b:Volume>78</b:Volume>
    <b:RefOrder>25</b:RefOrder>
  </b:Source>
  <b:Source>
    <b:Tag>Den</b:Tag>
    <b:SourceType>JournalArticle</b:SourceType>
    <b:Guid>{0DA7283A-E21E-4427-A088-11FEC7DDCF91}</b:Guid>
    <b:Author>
      <b:Author>
        <b:NameList>
          <b:Person>
            <b:Last>Deng</b:Last>
            <b:First>H.</b:First>
          </b:Person>
          <b:Person>
            <b:Last>Poonoosamy</b:Last>
            <b:First>J.</b:First>
          </b:Person>
          <b:Person>
            <b:Last>Molins</b:Last>
            <b:First>S.</b:First>
          </b:Person>
        </b:NameList>
      </b:Author>
    </b:Author>
    <b:Title>A reactive transport modeling perspective on the dynamics of interface-coupled dissolution-precipitation</b:Title>
    <b:JournalName>Applied Geochemistry</b:JournalName>
    <b:Year>2022</b:Year>
    <b:Volume>137</b:Volume>
    <b:DOI>10.1016/j.apgeochem.2022.105207</b:DOI>
    <b:RefOrder>12</b:RefOrder>
  </b:Source>
  <b:Source>
    <b:Tag>Des16</b:Tag>
    <b:SourceType>JournalArticle</b:SourceType>
    <b:Guid>{8C680ECA-7FEF-4C13-8CF8-083AF943DD0E}</b:Guid>
    <b:Author>
      <b:Author>
        <b:NameList>
          <b:Person>
            <b:Last>Desarnaud</b:Last>
            <b:First>J.</b:First>
          </b:Person>
          <b:Person>
            <b:Last>Bonn</b:Last>
            <b:First>D.</b:First>
          </b:Person>
          <b:Person>
            <b:Last>Shahidzadeh</b:Last>
            <b:First>N.</b:First>
          </b:Person>
        </b:NameList>
      </b:Author>
    </b:Author>
    <b:Title>The Pressure induced by salt crystallization in confinement</b:Title>
    <b:JournalName>Scientific Reports</b:JournalName>
    <b:Year>2016</b:Year>
    <b:Pages>30856</b:Pages>
    <b:Volume>6</b:Volume>
    <b:Issue>1</b:Issue>
    <b:RefOrder>1</b:RefOrder>
  </b:Source>
  <b:Source>
    <b:Tag>And21</b:Tag>
    <b:SourceType>JournalArticle</b:SourceType>
    <b:Guid>{6331960F-0E18-487D-BD4C-E397B858DC6C}</b:Guid>
    <b:Author>
      <b:Author>
        <b:NameList>
          <b:Person>
            <b:Last>Anduix-Canto</b:Last>
            <b:First>Clara</b:First>
          </b:Person>
          <b:Person>
            <b:Last>Levenstein</b:Last>
            <b:First>Mark</b:First>
            <b:Middle>A.</b:Middle>
          </b:Person>
          <b:Person>
            <b:Last>Kim</b:Last>
            <b:First>Yi-Yeoun</b:First>
          </b:Person>
          <b:Person>
            <b:Last>Godinho</b:Last>
            <b:First>Jose</b:First>
            <b:Middle>R. A.</b:Middle>
          </b:Person>
          <b:Person>
            <b:Last>Kulak</b:Last>
            <b:First>Alexander</b:First>
            <b:Middle>N.</b:Middle>
          </b:Person>
          <b:Person>
            <b:Last>Niño</b:Last>
            <b:First>Carlos</b:First>
            <b:Middle>González</b:Middle>
          </b:Person>
          <b:Person>
            <b:Last>Withers</b:Last>
            <b:First>Philip</b:First>
            <b:Middle>J.</b:Middle>
          </b:Person>
          <b:Person>
            <b:Last>Wright</b:Last>
            <b:First>Jonathan</b:First>
            <b:Middle>P.</b:Middle>
          </b:Person>
          <b:Person>
            <b:Last>Kapur</b:Last>
            <b:First>Nikil</b:First>
          </b:Person>
          <b:Person>
            <b:Last>Christenson</b:Last>
            <b:First>Hugo</b:First>
            <b:Middle>K.</b:Middle>
          </b:Person>
          <b:Person>
            <b:Last>Meldrum</b:Last>
            <b:First>Fiona</b:First>
            <b:Middle>C.</b:Middle>
          </b:Person>
        </b:NameList>
      </b:Author>
    </b:Author>
    <b:Title>Exploiting confinement to study the crystallization pathway of calcium sulfate</b:Title>
    <b:JournalName>Advanced Functional Materials</b:JournalName>
    <b:Year>2021</b:Year>
    <b:Pages>2107312</b:Pages>
    <b:Volume>31</b:Volume>
    <b:Issue>50</b:Issue>
    <b:RefOrder>20</b:RefOrder>
  </b:Source>
  <b:Source>
    <b:Tag>Ste21</b:Tag>
    <b:SourceType>JournalArticle</b:SourceType>
    <b:Guid>{CB04CC1E-8B92-4478-97F2-2B7EF537F131}</b:Guid>
    <b:Author>
      <b:Author>
        <b:NameList>
          <b:Person>
            <b:Last>Steefel</b:Last>
            <b:First>C.</b:First>
          </b:Person>
          <b:Person>
            <b:Last>Yang</b:Last>
            <b:First>Li</b:First>
          </b:Person>
        </b:NameList>
      </b:Author>
    </b:Author>
    <b:Title>Secondary magnesite formation from forsterite under CO2 sequestration conditions via coupled heterogeneous nucleation and crystal growth</b:Title>
    <b:JournalName>Geochimica et Cosmochimica Acta</b:JournalName>
    <b:Year>2021</b:Year>
    <b:Pages>29-42</b:Pages>
    <b:Volume>311</b:Volume>
    <b:RefOrder>47</b:RefOrder>
  </b:Source>
  <b:Source>
    <b:Tag>Poo21</b:Tag>
    <b:SourceType>JournalArticle</b:SourceType>
    <b:Guid>{F729CECA-D571-4E8E-BFA9-FA031CC35C00}</b:Guid>
    <b:Author>
      <b:Author>
        <b:NameList>
          <b:Person>
            <b:Last>Poonoosamy</b:Last>
            <b:First>Jenna</b:First>
          </b:Person>
          <b:Person>
            <b:Last>Mahrous</b:Last>
            <b:First>M</b:First>
          </b:Person>
          <b:Person>
            <b:Last>Curti</b:Last>
            <b:First>E.</b:First>
          </b:Person>
          <b:Person>
            <b:Last>Bosbach</b:Last>
            <b:First>D.</b:First>
          </b:Person>
          <b:Person>
            <b:Last>Deissmann</b:Last>
            <b:First>G.</b:First>
          </b:Person>
          <b:Person>
            <b:Last>Churakov</b:Last>
            <b:First>S.V</b:First>
          </b:Person>
          <b:Person>
            <b:Last>Geisler</b:Last>
            <b:First>T.</b:First>
          </b:Person>
          <b:Person>
            <b:Last>Prasianakis</b:Last>
            <b:First>N.</b:First>
          </b:Person>
        </b:NameList>
      </b:Author>
    </b:Author>
    <b:Title>A lab-on-a-chip approach integrating in-situ characterization and reactive transport modelling diagnostics to unravel (Ba,Sr)SO4 oscillatory zoning</b:Title>
    <b:JournalName>Scientific Reports</b:JournalName>
    <b:Year>2021</b:Year>
    <b:Pages>23678</b:Pages>
    <b:Volume>11</b:Volume>
    <b:RefOrder>29</b:RefOrder>
  </b:Source>
  <b:Source>
    <b:Issue>14</b:Issue>
    <b:Year>2020</b:Year>
    <b:Volume>20</b:Volume>
    <b:BIBTEX_Entry>article</b:BIBTEX_Entry>
    <b:SourceType>JournalArticle</b:SourceType>
    <b:Title>Microfluidic flow-through reactor and 3D Raman imaging for in situ assessment of mineral reactivity in porous and fractured porous media</b:Title>
    <b:BIBTEX_Abstract>An in-depth understanding of dissolution and precipitation of minerals in porous and fractured porous media and the complex feedback on the transport of fluids is essential for various subsurface applications. In this context, we developed a novel non-destructive “lab-on-chip” approach for quantitative in situ assessments of mineralogical changes in porous media. Our experimental approach involves a microfluidic flow-through reactor of reactive homogeneous and heterogeneous (fractured) porous media coupled with high-resolution imaging. Here, the reactive medium consists of compacted celestine grains seeded in a reservoir within the microfluidic chip. This medium reacts with a barium chloride solution injected into the microreactor at a constant flow rate, leading to the dissolution of celestine and growth of barite. Various seeding processes of the mineral grains allow the creation of homogeneous reactive porous media or the introduction of large heterogeneities such as fractures. Hence, our approach enables high-resolution investigations of reactive transport in fractured porous media. The use of confocal Raman spectroscopic techniques enables the spatio-temporal visualization of the mineral transformation at the pore-scale in two- and three-dimensions. Moreover, advanced pore-scale modelling correlates the hydrological heterogeneities to the geochemical observations in the micro-reactor, which explains the observed discrepancies between homogeneous and heterogeneous reactive media. Eventually, the proposed methodology can be applied to other chemical systems to provide new insights into hydro-geochemical coupling in porous and fractured porous media as well as high-fidelity datasets to benchmark reactive transport codes that are currently under development.</b:BIBTEX_Abstract>
    <b:Tag>PoonoosamyC</b:Tag>
    <b:Publisher>The Royal Society of Chemistry</b:Publisher>
    <b:URL>http://dx.doi.org/10.1039/D0LC00360C</b:URL>
    <b:DOI>10.1039/D0LC00360C</b:DOI>
    <b:Author>
      <b:Author>
        <b:NameList>
          <b:Person>
            <b:Last>Poonoosamy</b:Last>
            <b:First>Jenna</b:First>
          </b:Person>
          <b:Person>
            <b:Last>Soulaine</b:Last>
            <b:First>Cyprien</b:First>
          </b:Person>
          <b:Person>
            <b:Last>Burmeister</b:Last>
            <b:First>Alina</b:First>
          </b:Person>
          <b:Person>
            <b:Last>Deissmann</b:Last>
            <b:First>Guido</b:First>
          </b:Person>
          <b:Person>
            <b:Last>Bosbach</b:Last>
            <b:First>Dirk</b:First>
          </b:Person>
          <b:Person>
            <b:Last>Roman</b:Last>
            <b:First>Sophie</b:First>
          </b:Person>
        </b:NameList>
      </b:Author>
    </b:Author>
    <b:Pages>2562-2571</b:Pages>
    <b:JournalName>Lab on a Chip</b:JournalName>
    <b:Guid>{AA4ABD49-93B0-4925-9BB6-FE1503BC85F8}</b:Guid>
    <b:RefOrder>28</b:RefOrder>
  </b:Source>
  <b:Source>
    <b:Year>2020</b:Year>
    <b:BIBTEX_Entry>article</b:BIBTEX_Entry>
    <b:SourceType>JournalArticle</b:SourceType>
    <b:Title>Effects of solution supersaturation on barite precipitation in porous media and consequences on permeability: experiments and modelling</b:Title>
    <b:Tag>POONOOSAMY2020</b:Tag>
    <b:BIBTEX_KeyWords>porosity clogging, celestine, solid solutions, reactive transport, nucleation</b:BIBTEX_KeyWords>
    <b:URL>http://www.sciencedirect.com/science/article/pii/S0016703719307264</b:URL>
    <b:DOI>https://doi.org/10.1016/j.gca.2019.11.018</b:DOI>
    <b:Author>
      <b:Author>
        <b:NameList>
          <b:Person>
            <b:Last>Poonoosamy</b:Last>
            <b:First>Jenna</b:First>
          </b:Person>
          <b:Person>
            <b:Last>Klinkenberg</b:Last>
            <b:First>Martina</b:First>
          </b:Person>
          <b:Person>
            <b:Last>Deissmann</b:Last>
            <b:First>Guido</b:First>
          </b:Person>
          <b:Person>
            <b:Last>Brandt</b:Last>
            <b:First>Felix</b:First>
          </b:Person>
          <b:Person>
            <b:Last>Bosbach</b:Last>
            <b:First>Dirk</b:First>
          </b:Person>
          <b:Person>
            <b:Last>Mader</b:Last>
            <b:First>Urs</b:First>
          </b:Person>
          <b:Person>
            <b:Last>Kosakowski</b:Last>
            <b:First>Georg</b:First>
          </b:Person>
        </b:NameList>
      </b:Author>
    </b:Author>
    <b:Pages>43-60</b:Pages>
    <b:JournalName>Geochimica et Cosmochimica Acta</b:JournalName>
    <b:StandardNumber>ISSN: 0016-7037</b:StandardNumber>
    <b:Guid>{16477664-3D35-41FB-8C83-1BD2FBC21AAD}</b:Guid>
    <b:Volume>270</b:Volume>
    <b:RefOrder>3</b:RefOrder>
  </b:Source>
  <b:Source>
    <b:Year>2015</b:Year>
    <b:Volume>80</b:Volume>
    <b:BIBTEX_Entry>article</b:BIBTEX_Entry>
    <b:SourceType>JournalArticle</b:SourceType>
    <b:Title>Precipitation in pores: A geochemical frontier</b:Title>
    <b:Tag>Stack2015</b:Tag>
    <b:URL>https://doi.org/10.2138/rmg.2015.80.05</b:URL>
    <b:DOI>10.2138/rmg.2015.80.05</b:DOI>
    <b:Author>
      <b:Author>
        <b:NameList>
          <b:Person>
            <b:Last>Stack</b:Last>
            <b:Middle>G.</b:Middle>
            <b:First>Andrew</b:First>
          </b:Person>
        </b:NameList>
      </b:Author>
    </b:Author>
    <b:Pages>165-190</b:Pages>
    <b:Month>1</b:Month>
    <b:JournalName>Reviews in Mineralogy and Geochemistry</b:JournalName>
    <b:Number>1</b:Number>
    <b:StandardNumber> ISSN: 1529-6466</b:StandardNumber>
    <b:Guid>{3CE08D94-CEB3-4876-8F62-ED2D3EDE5E5C}</b:Guid>
    <b:RefOrder>2</b:RefOrder>
  </b:Source>
  <b:Source>
    <b:Tag>Hel20</b:Tag>
    <b:SourceType>JournalArticle</b:SourceType>
    <b:Guid>{3917FEC5-A96E-4308-97A9-88310346E46D}</b:Guid>
    <b:Author>
      <b:Author>
        <b:NameList>
          <b:Person>
            <b:Last>Helmut</b:Last>
            <b:First>Coelfen</b:First>
          </b:Person>
        </b:NameList>
      </b:Author>
    </b:Author>
    <b:Title>Nonclassical nucleation and crystallization</b:Title>
    <b:JournalName>Crystals</b:JournalName>
    <b:Year>2020</b:Year>
    <b:Volume>10</b:Volume>
    <b:Issue>61</b:Issue>
    <b:DOI>doi.org/10.3390/cryst10020061 </b:DOI>
    <b:RefOrder>18</b:RefOrder>
  </b:Source>
  <b:Source>
    <b:Tag>Geb18</b:Tag>
    <b:SourceType>JournalArticle</b:SourceType>
    <b:Guid>{33F766E5-F6FA-4B90-A0AF-6765B1EBAD3E}</b:Guid>
    <b:Author>
      <b:Author>
        <b:NameList>
          <b:Person>
            <b:Last>Gebauer</b:Last>
            <b:First>Denis</b:First>
          </b:Person>
          <b:Person>
            <b:Last>Raiteri</b:Last>
            <b:First>Paolo</b:First>
          </b:Person>
          <b:Person>
            <b:Last>Gale</b:Last>
            <b:First>Julian</b:First>
            <b:Middle>D.</b:Middle>
          </b:Person>
          <b:Person>
            <b:Last>Cölfen</b:Last>
            <b:First>Helmut</b:First>
          </b:Person>
        </b:NameList>
      </b:Author>
    </b:Author>
    <b:Title>On classical and non-classical views on nucleation</b:Title>
    <b:JournalName>American Journal of Science</b:JournalName>
    <b:Year>2018</b:Year>
    <b:Pages>969-988</b:Pages>
    <b:Volume>318</b:Volume>
    <b:Issue>9</b:Issue>
    <b:DOI>doi/10.2475/09.2018.05</b:DOI>
    <b:RefOrder>17</b:RefOrder>
  </b:Source>
  <b:Source>
    <b:Tag>Zha17</b:Tag>
    <b:SourceType>JournalArticle</b:SourceType>
    <b:Guid>{12463E99-0385-49EA-BE03-6A5BD40D24FA}</b:Guid>
    <b:Author>
      <b:Author>
        <b:NameList>
          <b:Person>
            <b:Last>Zhang</b:Last>
            <b:First>Fajun</b:First>
          </b:Person>
        </b:NameList>
      </b:Author>
    </b:Author>
    <b:Title>Nonclassical nucleation pathways in protein crystallization</b:Title>
    <b:JournalName>Journal of Physics: Condensed Matter</b:JournalName>
    <b:Year>2017</b:Year>
    <b:Pages>443002</b:Pages>
    <b:Volume>29</b:Volume>
    <b:Issue>44</b:Issue>
    <b:RefOrder>16</b:RefOrder>
  </b:Source>
  <b:Source>
    <b:Tag>Hen18</b:Tag>
    <b:SourceType>JournalArticle</b:SourceType>
    <b:Guid>{E90B88EC-A5D2-4153-ABC2-D8AB0E1CD3CB}</b:Guid>
    <b:Author>
      <b:Author>
        <b:NameList>
          <b:Person>
            <b:Last>Henzler</b:Last>
            <b:First>K.</b:First>
          </b:Person>
          <b:Person>
            <b:Last>Fetisov</b:Last>
            <b:First>EO</b:First>
          </b:Person>
          <b:Person>
            <b:Last>Galib</b:Last>
            <b:First>M</b:First>
          </b:Person>
          <b:Person>
            <b:Last>Baer</b:Last>
            <b:First>MD</b:First>
          </b:Person>
          <b:Person>
            <b:Last>Legg</b:Last>
            <b:First>BA</b:First>
          </b:Person>
          <b:Person>
            <b:Last>Borca</b:Last>
            <b:First>C</b:First>
          </b:Person>
          <b:Person>
            <b:Last>Xto</b:Last>
            <b:First>JM</b:First>
          </b:Person>
          <b:Person>
            <b:Last>Pin</b:Last>
            <b:First>S</b:First>
          </b:Person>
          <b:Person>
            <b:Last>Fulton</b:Last>
            <b:First>JL</b:First>
          </b:Person>
          <b:Person>
            <b:Last>Schenter</b:Last>
            <b:First>GK</b:First>
          </b:Person>
          <b:Person>
            <b:Last>Govind</b:Last>
            <b:First>N</b:First>
          </b:Person>
          <b:Person>
            <b:Last>Siepmann</b:Last>
            <b:First>JI</b:First>
          </b:Person>
          <b:Person>
            <b:Last>Mundy</b:Last>
            <b:First>CJ</b:First>
          </b:Person>
          <b:Person>
            <b:Last>Huthwelker</b:Last>
            <b:First>T</b:First>
          </b:Person>
          <b:Person>
            <b:Last>De Yoreo</b:Last>
            <b:First>JJ.</b:First>
          </b:Person>
        </b:NameList>
      </b:Author>
    </b:Author>
    <b:Title>Supersaturated calcium carbonate solutions are classical</b:Title>
    <b:Year>2018</b:Year>
    <b:ConferenceName>Sci Adv.</b:ConferenceName>
    <b:JournalName>Science Advances</b:JournalName>
    <b:Pages>eaao6283</b:Pages>
    <b:Volume>4</b:Volume>
    <b:Issue>1</b:Issue>
    <b:RefOrder>19</b:RefOrder>
  </b:Source>
  <b:Source>
    <b:Year>2007</b:Year>
    <b:Volume>34</b:Volume>
    <b:BIBTEX_Entry>article</b:BIBTEX_Entry>
    <b:SourceType>JournalArticle</b:SourceType>
    <b:Title>Effects of pore-size controlled solubility on reactive transport in heterogeneous rock</b:Title>
    <b:Tag>Emmanuel2007</b:Tag>
    <b:URL>https://www.scopus.com/inward/record.uri?eid=2-s2.0-34249882824&amp;doi=10.1029%2f2006GL028962&amp;partnerID=40&amp;md5=f8406c39e65cb8283e14f6d99c203255</b:URL>
    <b:DOI>10.1029/2006GL028962</b:DOI>
    <b:Author>
      <b:Author>
        <b:NameList>
          <b:Person>
            <b:Last>Emmanuel</b:Last>
            <b:First>S.</b:First>
          </b:Person>
          <b:Person>
            <b:Last>Berkowitz</b:Last>
            <b:First>B.</b:First>
          </b:Person>
        </b:NameList>
      </b:Author>
    </b:Author>
    <b:JournalName>Geophysical Research Letters</b:JournalName>
    <b:Number>6</b:Number>
    <b:Guid>{0722167F-BE46-4DD1-B5BB-B0BFBB5F8FDB}</b:Guid>
    <b:Pages>L06404</b:Pages>
    <b:RefOrder>22</b:RefOrder>
  </b:Source>
  <b:Source>
    <b:Tag>Sch99</b:Tag>
    <b:SourceType>JournalArticle</b:SourceType>
    <b:Guid>{DCE2D31A-5CCE-4381-89C8-7C6C4755F076}</b:Guid>
    <b:Author>
      <b:Author>
        <b:NameList>
          <b:Person>
            <b:Last>Scherer</b:Last>
            <b:First>G.</b:First>
          </b:Person>
        </b:NameList>
      </b:Author>
    </b:Author>
    <b:Title>Crystallization in pores</b:Title>
    <b:JournalName>Cement Concrete Research</b:JournalName>
    <b:Year>1999</b:Year>
    <b:Pages>1347-1358</b:Pages>
    <b:Volume>29</b:Volume>
    <b:Issue>8</b:Issue>
    <b:RefOrder>42</b:RefOrder>
  </b:Source>
  <b:Source>
    <b:Tag>Liu17</b:Tag>
    <b:SourceType>JournalArticle</b:SourceType>
    <b:Guid>{6CD6007F-4639-4288-BFAA-3BB9BC53CF54}</b:Guid>
    <b:Author>
      <b:Author>
        <b:NameList>
          <b:Person>
            <b:Last>Liu</b:Last>
            <b:First>S.</b:First>
          </b:Person>
          <b:Person>
            <b:Last>Jacques</b:Last>
            <b:First>D.</b:First>
          </b:Person>
        </b:NameList>
      </b:Author>
    </b:Author>
    <b:Title>Coupled reactive transport model study of pore size effects on solubility during cement-bicarbonate water interaction</b:Title>
    <b:JournalName>Chemical Geology. </b:JournalName>
    <b:Year>2017</b:Year>
    <b:Pages>588-599</b:Pages>
    <b:Issue>466</b:Issue>
    <b:RefOrder>44</b:RefOrder>
  </b:Source>
  <b:Source>
    <b:Year>2020</b:Year>
    <b:Volume>123</b:Volume>
    <b:BIBTEX_Entry>article</b:BIBTEX_Entry>
    <b:SourceType>JournalArticle</b:SourceType>
    <b:Title>A new concept for pore-scale precipitation-dissolution modelling in a lattice Boltzmann framework -Application to portlandite carbonation</b:Title>
    <b:Tag>Varzina2020</b:Tag>
    <b:DOI>10.1016/j.apgeochem.2020.104786</b:DOI>
    <b:Author>
      <b:Author>
        <b:NameList>
          <b:Person>
            <b:Last>Varzina</b:Last>
            <b:First>Anna</b:First>
          </b:Person>
          <b:Person>
            <b:Last>Cizer</b:Last>
            <b:First>Ö.</b:First>
          </b:Person>
          <b:Person>
            <b:Last>Yu</b:Last>
            <b:First>Li</b:First>
          </b:Person>
          <b:Person>
            <b:Last>Liu</b:Last>
            <b:First>Sanheng</b:First>
          </b:Person>
          <b:Person>
            <b:Last>Jacques</b:Last>
            <b:First>Diederik</b:First>
          </b:Person>
          <b:Person>
            <b:Last>Perko</b:Last>
            <b:First>Janez</b:First>
          </b:Person>
        </b:NameList>
      </b:Author>
    </b:Author>
    <b:Pages>104786</b:Pages>
    <b:JournalName>Applied Geochemistry</b:JournalName>
    <b:Guid>{B5B2C45D-AF18-4194-8E19-C5BA9628BAAC}</b:Guid>
    <b:RefOrder>45</b:RefOrder>
  </b:Source>
  <b:Source>
    <b:Year>2019</b:Year>
    <b:Volume>528</b:Volume>
    <b:BIBTEX_Entry>article</b:BIBTEX_Entry>
    <b:SourceType>JournalArticle</b:SourceType>
    <b:Title>A microfluidic experiment and pore scale modelling diagnostics for assessing mineral precipitation and dissolution in confined spaces</b:Title>
    <b:Tag>Poonoosamy2019</b:Tag>
    <b:URL>https://www.scopus.com/inward/record.uri?eid=2-s2.0-85070604976&amp;doi=10.1016</b:URL>
    <b:DOI>10.1016/j.chemgeo.2019.07.039</b:DOI>
    <b:Author>
      <b:Author>
        <b:NameList>
          <b:Person>
            <b:Last>Poonoosamy</b:Last>
            <b:First>J.</b:First>
          </b:Person>
          <b:Person>
            <b:Last>Westerwalbesloh</b:Last>
            <b:First>C.</b:First>
          </b:Person>
          <b:Person>
            <b:Last>Deissmann</b:Last>
            <b:First>G.</b:First>
          </b:Person>
          <b:Person>
            <b:Last>Mahrous</b:Last>
            <b:First>M.</b:First>
          </b:Person>
          <b:Person>
            <b:Last>Curti</b:Last>
            <b:First>E.</b:First>
          </b:Person>
          <b:Person>
            <b:Last>Churakov</b:Last>
            <b:Middle>V.</b:Middle>
            <b:First>S.</b:First>
          </b:Person>
          <b:Person>
            <b:Last>Klinkenberg</b:Last>
            <b:First>M.</b:First>
          </b:Person>
          <b:Person>
            <b:Last>Kohlheyer</b:Last>
            <b:First>D.</b:First>
          </b:Person>
          <b:Person>
            <b:Last>Lieres</b:Last>
            <b:First>E.</b:First>
          </b:Person>
          <b:Person>
            <b:Last>Bosbach</b:Last>
            <b:First>D.</b:First>
          </b:Person>
          <b:Person>
            <b:Last>Prasianakis</b:Last>
            <b:Middle>I.</b:Middle>
            <b:First>N.</b:First>
          </b:Person>
        </b:NameList>
      </b:Author>
    </b:Author>
    <b:JournalName>Chemical Geology</b:JournalName>
    <b:Guid>{18D47B6D-8ADA-4824-984C-E841FF97EFD7}</b:Guid>
    <b:Pages>119264</b:Pages>
    <b:RefOrder>56</b:RefOrder>
  </b:Source>
  <b:Source>
    <b:Tag>Whi21</b:Tag>
    <b:SourceType>JournalArticle</b:SourceType>
    <b:Guid>{BDE2F336-8975-4DBF-8BD8-28FB5D34C3F6}</b:Guid>
    <b:Author>
      <b:Author>
        <b:NameList>
          <b:Person>
            <b:Last>Whittaker</b:Last>
            <b:First>Michael</b:First>
            <b:Middle>L.</b:Middle>
          </b:Person>
          <b:Person>
            <b:Last>Sun</b:Last>
            <b:First>Wenhao</b:First>
          </b:Person>
          <b:Person>
            <b:Last>Duggins</b:Last>
            <b:First>Danielle</b:First>
            <b:Middle>O.</b:Middle>
          </b:Person>
          <b:Person>
            <b:Last>Ceder</b:Last>
            <b:First>Gerbrand</b:First>
          </b:Person>
          <b:Person>
            <b:Last>Joester</b:Last>
            <b:First>Derk</b:First>
          </b:Person>
        </b:NameList>
      </b:Author>
    </b:Author>
    <b:Title>Dynamic barriers to crystallization of calcium barium carbonates</b:Title>
    <b:JournalName>Crystal growth and design</b:JournalName>
    <b:Year>2021</b:Year>
    <b:Pages>4556-4563</b:Pages>
    <b:Volume>21</b:Volume>
    <b:RefOrder>49</b:RefOrder>
  </b:Source>
  <b:Source>
    <b:Tag>Whi18</b:Tag>
    <b:SourceType>JournalArticle</b:SourceType>
    <b:Guid>{7A8F1787-244B-475C-ACDA-0FD4DFE1ECB6}</b:Guid>
    <b:Author>
      <b:Author>
        <b:NameList>
          <b:Person>
            <b:Last>Whittaker</b:Last>
            <b:First>Michael</b:First>
            <b:Middle>L.</b:Middle>
          </b:Person>
          <b:Person>
            <b:Last>Sun</b:Last>
            <b:First>Wenhao</b:First>
          </b:Person>
          <b:Person>
            <b:Last>DeRocher</b:Last>
            <b:First>Karen</b:First>
            <b:Middle>A.</b:Middle>
          </b:Person>
          <b:Person>
            <b:Last>Jayaraman</b:Last>
            <b:First>Saivenkataraman</b:First>
          </b:Person>
          <b:Person>
            <b:Last>Ceder</b:Last>
            <b:First>Gerbrand,</b:First>
            <b:Middle>Joester, Derk</b:Middle>
          </b:Person>
        </b:NameList>
      </b:Author>
    </b:Author>
    <b:Title>Structural Basis for Metastability in Amorphous Cacium Carbonate</b:Title>
    <b:JournalName>Advance functional material</b:JournalName>
    <b:Year>2018</b:Year>
    <b:Pages>11-14</b:Pages>
    <b:Volume>28</b:Volume>
    <b:Issue>1704202</b:Issue>
    <b:RefOrder>41</b:RefOrder>
  </b:Source>
  <b:Source>
    <b:Tag>Cav19</b:Tag>
    <b:SourceType>JournalArticle</b:SourceType>
    <b:Guid>{DB0D3209-FCB7-4849-9173-3A3EFF572728}</b:Guid>
    <b:Author>
      <b:Author>
        <b:NameList>
          <b:Person>
            <b:Last>Cavanaugh</b:Last>
            <b:First>Jack</b:First>
          </b:Person>
          <b:Person>
            <b:Last>Whittaker</b:Last>
            <b:First>Michael</b:First>
            <b:Middle>L.</b:Middle>
          </b:Person>
          <b:Person>
            <b:Last>Joester</b:Last>
            <b:First>Derk.</b:First>
          </b:Person>
        </b:NameList>
      </b:Author>
    </b:Author>
    <b:Title>Crystallization kinetics of amorphous calcium carbonate in confinement</b:Title>
    <b:JournalName>Chemical science</b:JournalName>
    <b:Year>2019</b:Year>
    <b:Pages>5039-5043</b:Pages>
    <b:Volume>10</b:Volume>
    <b:RefOrder>48</b:RefOrder>
  </b:Source>
  <b:Source>
    <b:Issue>33</b:Issue>
    <b:Year>2012</b:Year>
    <b:Volume>8</b:Volume>
    <b:BIBTEX_Entry>article</b:BIBTEX_Entry>
    <b:SourceType>JournalArticle</b:SourceType>
    <b:Title>Patterning a surface so as to speed nucleation from solution</b:Title>
    <b:BIBTEX_Abstract>Motivated by the question of how to pattern a surface in order to best speed nucleation from solution, we build on the work of Page and Sear [Phys. Rev. Lett., 2006, 97, 65701] and calculate rates and free energy profiles for nucleation in the 3d Ising model in the presence of cuboidal pores. Pores of well-chosen aspect ratio can dramatically speed nucleation relative to a planar surface made of the same material, while badly chosen pores provide no such enhancement. For a given pore, the maximum nucleation rate is achieved when one of its two horizontal dimensions attains a critical length, largely irrespective of the other dimension (provided that the latter is large enough). This observation implies that patterning a surface with repeated copies of a well-chosen pore is a better strategy for speeding nucleation than e.g. scoring long grooves in it.</b:BIBTEX_Abstract>
    <b:Tag>HEDGES</b:Tag>
    <b:Publisher>The Royal Society of Chemistry</b:Publisher>
    <b:URL>http://dx.doi.org/10.1039/C2SM26038G</b:URL>
    <b:DOI>10.1039/C2SM26038G</b:DOI>
    <b:Author>
      <b:Author>
        <b:NameList>
          <b:Person>
            <b:Last>Hedges</b:Last>
            <b:Middle>O.</b:Middle>
            <b:First>Lester</b:First>
          </b:Person>
          <b:Person>
            <b:Last>Whitelam</b:Last>
            <b:First>Stephen</b:First>
          </b:Person>
        </b:NameList>
      </b:Author>
    </b:Author>
    <b:Pages>8624-8635</b:Pages>
    <b:JournalName>Soft Matter</b:JournalName>
    <b:RefOrder>26</b:RefOrder>
  </b:Source>
  <b:Source>
    <b:Tag>Hun20</b:Tag>
    <b:SourceType>JournalArticle</b:SourceType>
    <b:Guid>{C09C5676-ED8E-4C84-BC4C-947BC9FF59A2}</b:Guid>
    <b:Author>
      <b:Author>
        <b:NameList>
          <b:Person>
            <b:Last>Heather</b:Last>
            <b:First>Hunter</b:First>
          </b:Person>
          <b:Person>
            <b:Last>Ling</b:Last>
            <b:First>F</b:First>
            <b:Middle>T.</b:Middle>
          </b:Person>
          <b:Person>
            <b:Last>Peters</b:Last>
            <b:First>C.A.</b:First>
          </b:Person>
        </b:NameList>
      </b:Author>
    </b:Author>
    <b:Title>Metals Coprecipitation with Barite: Nano-XRF Observation of Enhanced Strontium Incorporation</b:Title>
    <b:JournalName>Environmental Engineering Science</b:JournalName>
    <b:Year>2020</b:Year>
    <b:Pages>235-245</b:Pages>
    <b:Volume>37</b:Volume>
    <b:Issue>4</b:Issue>
    <b:RefOrder>8</b:RefOrder>
  </b:Source>
  <b:Source>
    <b:Year>2018</b:Year>
    <b:Volume>8</b:Volume>
    <b:BIBTEX_Entry>article</b:BIBTEX_Entry>
    <b:Comments>cited By 3</b:Comments>
    <b:SourceType>JournalArticle</b:SourceType>
    <b:Title>The effect of ionic strength and Sraq upon the uptake of Ra during the recrystallization of barite</b:Title>
    <b:Tag>Brandt2018</b:Tag>
    <b:URL>https://www.scopus.com/inward/record.uri?eid=2-s2.0-85056210999&amp;doi=10.3390%2fmin8110502&amp;partnerID=40&amp;md5=bacfac7edfd9814fe2452492f13fd0e3</b:URL>
    <b:DOI>10.3390/min8110502</b:DOI>
    <b:Author>
      <b:Author>
        <b:NameList>
          <b:Person>
            <b:Last>Brandt</b:Last>
            <b:First>F.</b:First>
          </b:Person>
          <b:Person>
            <b:Last>Klinkenberg</b:Last>
            <b:First>M.</b:First>
          </b:Person>
          <b:Person>
            <b:Last>Poonoosamy</b:Last>
            <b:First>J.</b:First>
          </b:Person>
          <b:Person>
            <b:Last>Weber</b:Last>
            <b:First>J.</b:First>
          </b:Person>
          <b:Person>
            <b:Last>Bosbach</b:Last>
            <b:First>D.</b:First>
          </b:Person>
        </b:NameList>
      </b:Author>
    </b:Author>
    <b:JournalName>Minerals</b:JournalName>
    <b:Number>11</b:Number>
    <b:Guid>{C7E9398A-4041-4706-BBA2-C79B8A91932D}</b:Guid>
    <b:Pages>502</b:Pages>
    <b:RefOrder>5</b:RefOrder>
  </b:Source>
  <b:Source>
    <b:Tag>Bra20</b:Tag>
    <b:SourceType>JournalArticle</b:SourceType>
    <b:Guid>{1EBBE4EA-5135-453E-BA68-242A99D35033}</b:Guid>
    <b:Author>
      <b:Author>
        <b:NameList>
          <b:Person>
            <b:Last>Brandt</b:Last>
            <b:First>Felix</b:First>
          </b:Person>
          <b:Person>
            <b:Last>Klinkenberg</b:Last>
            <b:First>Martina</b:First>
          </b:Person>
          <b:Person>
            <b:Last>Poonoosamy</b:Last>
            <b:First>Jenna</b:First>
          </b:Person>
          <b:Person>
            <b:Last>Bosbach</b:Last>
            <b:First>Dirk</b:First>
          </b:Person>
        </b:NameList>
      </b:Author>
    </b:Author>
    <b:Title>Recrystallization and uptake of 226Ra into Ba-Rich (Ba,Sr)SO4 Solid Solutions</b:Title>
    <b:JournalName>Minerals</b:JournalName>
    <b:Year>2020</b:Year>
    <b:Volume>10</b:Volume>
    <b:Issue>9</b:Issue>
    <b:Pages>812</b:Pages>
    <b:RefOrder>6</b:RefOrder>
  </b:Source>
  <b:Source>
    <b:Tag>Kli18</b:Tag>
    <b:SourceType>JournalArticle</b:SourceType>
    <b:Guid>{C2DA208D-1E65-4A89-A395-46B3BD02F574}</b:Guid>
    <b:Author>
      <b:Author>
        <b:NameList>
          <b:Person>
            <b:Last>Klinkenberg</b:Last>
            <b:First>M.</b:First>
          </b:Person>
          <b:Person>
            <b:Last>Weber</b:Last>
            <b:First>J.</b:First>
          </b:Person>
          <b:Person>
            <b:Last>Barthel</b:Last>
            <b:First>J.</b:First>
          </b:Person>
          <b:Person>
            <b:Last>Vinograd</b:Last>
            <b:First>V.</b:First>
          </b:Person>
          <b:Person>
            <b:Last>Poonoosamy</b:Last>
            <b:First>J.</b:First>
          </b:Person>
          <b:Person>
            <b:Last>Kruth</b:Last>
            <b:First>M.</b:First>
          </b:Person>
          <b:Person>
            <b:Last>Bosbach</b:Last>
            <b:First>D.</b:First>
          </b:Person>
          <b:Person>
            <b:Last>Brandt</b:Last>
            <b:First>F.</b:First>
          </b:Person>
        </b:NameList>
      </b:Author>
    </b:Author>
    <b:Title>The solid solution–aqueous solution system (Sr,Ba,Ra)SO4 + H2O: A combined experimental and theoretical study of phase equilibria at Sr-rich compositions</b:Title>
    <b:JournalName>Chemical Geology</b:JournalName>
    <b:Year>2018</b:Year>
    <b:Pages>1-17</b:Pages>
    <b:Volume>497</b:Volume>
    <b:RefOrder>7</b:RefOrder>
  </b:Source>
  <b:Source>
    <b:Tag>Yen09</b:Tag>
    <b:SourceType>JournalArticle</b:SourceType>
    <b:Guid>{DB6F80E4-CD9F-4C69-B7B5-63F8B1EE983A}</b:Guid>
    <b:Author>
      <b:Author>
        <b:NameList>
          <b:Person>
            <b:Last>Chen</b:Last>
            <b:First>Yen-Hua</b:First>
          </b:Person>
          <b:Person>
            <b:Last>Huang</b:Last>
            <b:First>Eugene</b:First>
          </b:Person>
          <b:Person>
            <b:Last>Yu</b:Last>
            <b:First>Shu-Cheng</b:First>
          </b:Person>
        </b:NameList>
      </b:Author>
    </b:Author>
    <b:Title>High-Pressure Raman study on  the BaSO4-SrSO4 series</b:Title>
    <b:JournalName>Solid State Communications</b:JournalName>
    <b:Year>2009</b:Year>
    <b:Pages>2050-2052</b:Pages>
    <b:Volume>45-46</b:Volume>
    <b:RefOrder>31</b:RefOrder>
  </b:Source>
  <b:Source>
    <b:Tag>Tak05</b:Tag>
    <b:SourceType>JournalArticle</b:SourceType>
    <b:Guid>{84429209-2262-4251-93ED-90C91E044EAA}</b:Guid>
    <b:Title>An Axisymmetric Flow-Focusing Microfluidic Device</b:Title>
    <b:JournalName>Advanced Materials</b:JournalName>
    <b:Year>2005</b:Year>
    <b:Pages>1067-1072</b:Pages>
    <b:Author>
      <b:Author>
        <b:NameList>
          <b:Person>
            <b:Last>Takeuchi</b:Last>
            <b:First>S.</b:First>
          </b:Person>
          <b:Person>
            <b:Last>Garstecki</b:Last>
            <b:First>P.</b:First>
          </b:Person>
          <b:Person>
            <b:Last>Weibel</b:Last>
            <b:First>D.</b:First>
          </b:Person>
          <b:Person>
            <b:Last>Whitesides</b:Last>
            <b:First>G.</b:First>
          </b:Person>
        </b:NameList>
      </b:Author>
    </b:Author>
    <b:DOI> https://doi.org/10.1002/adma.200401738</b:DOI>
    <b:RefOrder>50</b:RefOrder>
  </b:Source>
  <b:Source>
    <b:Tag>And14</b:Tag>
    <b:SourceType>JournalArticle</b:SourceType>
    <b:Guid>{D9A6C0CA-0004-4C65-838D-6F9A2AB6C306}</b:Guid>
    <b:Author>
      <b:Author>
        <b:NameList>
          <b:Person>
            <b:Last>Stack</b:Last>
            <b:First>Andrew</b:First>
            <b:Middle>G.</b:Middle>
          </b:Person>
          <b:Person>
            <b:Last>Fernandez-Martinez</b:Last>
            <b:First>Alejandro</b:First>
          </b:Person>
          <b:Person>
            <b:Last>Allard</b:Last>
            <b:First>Lawrence</b:First>
            <b:Middle>F.</b:Middle>
          </b:Person>
          <b:Person>
            <b:Last>Bañuelos</b:Last>
            <b:First>José</b:First>
            <b:Middle>L.</b:Middle>
          </b:Person>
          <b:Person>
            <b:Last>Rother</b:Last>
            <b:First>Gernot</b:First>
          </b:Person>
          <b:Person>
            <b:Last>Anovitz</b:Last>
            <b:First>Lawrence</b:First>
            <b:Middle>M.</b:Middle>
          </b:Person>
          <b:Person>
            <b:Last>Cole</b:Last>
            <b:First>David</b:First>
            <b:Middle>R.</b:Middle>
          </b:Person>
          <b:Person>
            <b:Last>Waychunas</b:Last>
            <b:First>and</b:First>
            <b:Middle>Glenn A.</b:Middle>
          </b:Person>
        </b:NameList>
      </b:Author>
    </b:Author>
    <b:Title>Pore-size-dependent calcium carbonate precipitation controlled by surface chemistry</b:Title>
    <b:JournalName>Environmental Science &amp; Technology</b:JournalName>
    <b:Year>2014</b:Year>
    <b:Pages>6177-6183</b:Pages>
    <b:Volume>48</b:Volume>
    <b:Issue>11</b:Issue>
    <b:RefOrder>23</b:RefOrder>
  </b:Source>
  <b:Source>
    <b:Tag>Zon201</b:Tag>
    <b:SourceType>JournalArticle</b:SourceType>
    <b:Guid>{2AEF0F7A-254C-40B6-99D6-392A2535FE48}</b:Guid>
    <b:Author>
      <b:Author>
        <b:NameList>
          <b:Person>
            <b:Last>Zhang</b:Last>
            <b:First>Zongwei</b:First>
          </b:Person>
          <b:Person>
            <b:Last>Gao</b:Last>
            <b:First>Yuan</b:First>
          </b:Person>
          <b:Person>
            <b:Last>Meldrum</b:Last>
            <b:First>Fiona</b:First>
            <b:Middle>C.</b:Middle>
          </b:Person>
          <b:Person>
            <b:Last>Shui</b:Last>
            <b:First>Lingling</b:First>
          </b:Person>
          <b:Person>
            <b:Last>Wang</b:Last>
            <b:First>Zhijun</b:First>
          </b:Person>
          <b:Person>
            <b:Last>Li</b:Last>
            <b:First>Shumbo</b:First>
          </b:Person>
          <b:Person>
            <b:Last>Li</b:Last>
            <b:First>Gang</b:First>
          </b:Person>
        </b:NameList>
      </b:Author>
    </b:Author>
    <b:Title>Investigating the nucleation kinetics of calcium carbonate using a zero water-loss microfluidic chip</b:Title>
    <b:JournalName>Crystal Growth &amp; Design</b:JournalName>
    <b:Year>2020</b:Year>
    <b:Pages>2787-2795</b:Pages>
    <b:Volume>20</b:Volume>
    <b:RefOrder>36</b:RefOrder>
  </b:Source>
  <b:Source>
    <b:Tag>Dos18</b:Tag>
    <b:SourceType>JournalArticle</b:SourceType>
    <b:Guid>{24785E9A-F87B-437D-81C7-C67729A9A4FF}</b:Guid>
    <b:Author>
      <b:Author>
        <b:NameList>
          <b:Person>
            <b:Last>Dos Santos</b:Last>
            <b:First>e.</b:First>
            <b:Middle>c</b:Middle>
          </b:Person>
          <b:Person>
            <b:Last>Ladosz</b:Last>
            <b:First>A.</b:First>
          </b:Person>
          <b:Person>
            <b:Last>Maggioni</b:Last>
            <b:First>G.</b:First>
            <b:Middle>M.</b:Middle>
          </b:Person>
          <b:Person>
            <b:Last>von Rohr</b:Last>
            <b:First>P.</b:First>
            <b:Middle>R.</b:Middle>
          </b:Person>
          <b:Person>
            <b:Last>Mazzotti</b:Last>
            <b:First>M.</b:First>
          </b:Person>
        </b:NameList>
      </b:Author>
    </b:Author>
    <b:Title>Characterization of shapes and volumes of droplets generated in PDMS T-junctions to study nucleation</b:Title>
    <b:JournalName>Chemical Engineering Research and Design</b:JournalName>
    <b:Year>2018</b:Year>
    <b:Pages>444-457</b:Pages>
    <b:Volume>138</b:Volume>
    <b:RefOrder>52</b:RefOrder>
  </b:Source>
  <b:Source>
    <b:Tag>Ben08</b:Tag>
    <b:SourceType>BookSection</b:SourceType>
    <b:Guid>{70FAD4E3-9B73-4B35-8EB0-F14659B591AC}</b:Guid>
    <b:Author>
      <b:Author>
        <b:NameList>
          <b:Person>
            <b:Last>Benning</b:Last>
            <b:First>L.</b:First>
          </b:Person>
          <b:Person>
            <b:Last>Waychunas</b:Last>
            <b:First>G.</b:First>
          </b:Person>
        </b:NameList>
      </b:Author>
      <b:Editor>
        <b:NameList>
          <b:Person>
            <b:Last>n: Brantley</b:Last>
            <b:First>S.,</b:First>
            <b:Middle>Kubicki, J., White, A.</b:Middle>
          </b:Person>
        </b:NameList>
      </b:Editor>
    </b:Author>
    <b:Title>Nucleation, Growth, and Aggregation of Mineral Phases: Mechanisms and Kinetic Controls.</b:Title>
    <b:Year>2008</b:Year>
    <b:BookTitle>Kinetics of Water-Rock Interaction</b:BookTitle>
    <b:City>New York</b:City>
    <b:Publisher>Springer</b:Publisher>
    <b:RefOrder>38</b:RefOrder>
  </b:Source>
  <b:Source>
    <b:Tag>BiY17</b:Tag>
    <b:SourceType>JournalArticle</b:SourceType>
    <b:Guid>{3978B4BA-CBC4-4584-A17F-8FA327475C34}</b:Guid>
    <b:Author>
      <b:Author>
        <b:NameList>
          <b:Person>
            <b:Last>Bi</b:Last>
            <b:First>Y.</b:First>
          </b:Person>
          <b:Person>
            <b:Last>Cao</b:Last>
            <b:First>B.</b:First>
          </b:Person>
          <b:Person>
            <b:Last>Li</b:Last>
            <b:First>T.</b:First>
          </b:Person>
        </b:NameList>
      </b:Author>
    </b:Author>
    <b:Title>Enhanced heterogeneous ice nucleation by special surface geometry</b:Title>
    <b:Year>2017</b:Year>
    <b:Pages>15372</b:Pages>
    <b:JournalName>Nature communications</b:JournalName>
    <b:Volume>8</b:Volume>
    <b:RefOrder>43</b:RefOrder>
  </b:Source>
  <b:Source>
    <b:Tag>Tey12</b:Tag>
    <b:SourceType>JournalArticle</b:SourceType>
    <b:Guid>{C2BA36F6-5BE6-4D23-870C-5A2E215FB666}</b:Guid>
    <b:Author>
      <b:Author>
        <b:NameList>
          <b:Person>
            <b:Last>Teychené</b:Last>
            <b:First>S.</b:First>
          </b:Person>
          <b:Person>
            <b:Last>Biscans</b:Last>
            <b:First>B.,</b:First>
          </b:Person>
        </b:NameList>
      </b:Author>
    </b:Author>
    <b:Title>Crystal nucleation in a droplet based microfluidic crystallizer</b:Title>
    <b:JournalName>Chemical Engineering Science</b:JournalName>
    <b:Year>2012</b:Year>
    <b:Pages>242-248</b:Pages>
    <b:Volume>77</b:Volume>
    <b:RefOrder>39</b:RefOrder>
  </b:Source>
  <b:Source>
    <b:Tag>Soh20</b:Tag>
    <b:SourceType>JournalArticle</b:SourceType>
    <b:Guid>{846791C6-CF92-451C-91A2-527008336821}</b:Guid>
    <b:Author>
      <b:Author>
        <b:NameList>
          <b:Person>
            <b:Last>Sohrabi</b:Last>
            <b:First>Somayeh</b:First>
          </b:Person>
          <b:Person>
            <b:Last>kassir</b:Last>
            <b:First>Nour</b:First>
          </b:Person>
          <b:Person>
            <b:Last>Keshavarz Moravej</b:Last>
            <b:First>Mostafa:</b:First>
          </b:Person>
        </b:NameList>
      </b:Author>
    </b:Author>
    <b:Title>Droplet microfluidics: fundamentals and its advanced applications</b:Title>
    <b:JournalName>Royal chemical society of chemistry</b:JournalName>
    <b:Year>2020</b:Year>
    <b:Pages>27560-27574</b:Pages>
    <b:Volume>10</b:Volume>
    <b:RefOrder>51</b:RefOrder>
  </b:Source>
  <b:Source>
    <b:Tag>Whi16</b:Tag>
    <b:SourceType>JournalArticle</b:SourceType>
    <b:Guid>{64379331-AC8C-4E1F-B251-061CD2B2A156}</b:Guid>
    <b:Author>
      <b:Author>
        <b:NameList>
          <b:Person>
            <b:Last>Whittaker</b:Last>
            <b:First>M.,</b:First>
            <b:Middle>Dove, P., Joester, D.</b:Middle>
          </b:Person>
        </b:NameList>
      </b:Author>
    </b:Author>
    <b:Title>Nucleation on surfaces and in confinement</b:Title>
    <b:JournalName>MRS Bulletin</b:JournalName>
    <b:Year>2016</b:Year>
    <b:Pages>388 - 392</b:Pages>
    <b:Volume>41</b:Volume>
    <b:Issue>5</b:Issue>
    <b:RefOrder>37</b:RefOrder>
  </b:Source>
  <b:Source>
    <b:Tag>Noo21</b:Tag>
    <b:SourceType>JournalArticle</b:SourceType>
    <b:Guid>{EB383EDD-FB24-41EF-845B-2BF0DC27F6A8}</b:Guid>
    <b:Author>
      <b:Author>
        <b:NameList>
          <b:Person>
            <b:Last>Nooraiepour</b:Last>
            <b:First>Mohammad</b:First>
          </b:Person>
          <b:Person>
            <b:Last>Masoudi</b:Last>
            <b:First>Mohammad</b:First>
          </b:Person>
          <b:Person>
            <b:Last>Hellevang</b:Last>
            <b:First>Helge</b:First>
          </b:Person>
        </b:NameList>
      </b:Author>
    </b:Author>
    <b:Title>Probabilistic nucleation governs time, amount, and location of mineral precipitation and geometry evolution in the porous medium</b:Title>
    <b:JournalName>Scientific Reports</b:JournalName>
    <b:Year>2021</b:Year>
    <b:Pages>16397</b:Pages>
    <b:Volume>11</b:Volume>
    <b:Issue>1</b:Issue>
    <b:RefOrder>10</b:RefOrder>
  </b:Source>
  <b:Source>
    <b:Year>2001</b:Year>
    <b:Volume>1</b:Volume>
    <b:BIBTEX_Entry>article</b:BIBTEX_Entry>
    <b:SourceType>JournalArticle</b:SourceType>
    <b:Title>The effect of pore size on cementation in porous rocks</b:Title>
    <b:Tag>Putnis200137</b:Tag>
    <b:URL>https://www.scopus.com/inward/record.uri?eid=2-s2.0-0002007562&amp;doi=10.1046%2fj.1468-8123.2001.11001.x&amp;partnerID=40&amp;md5=0edd3223bec72b96ab13a4bc1b0aa617</b:URL>
    <b:DOI>10.1046/j.1468-8123.2001.11001.x</b:DOI>
    <b:Author>
      <b:Author>
        <b:NameList>
          <b:Person>
            <b:Last>Putnis</b:Last>
            <b:First>A.</b:First>
          </b:Person>
          <b:Person>
            <b:Last>Mauthe</b:Last>
            <b:First>G.</b:First>
          </b:Person>
        </b:NameList>
      </b:Author>
    </b:Author>
    <b:Pages>37-41</b:Pages>
    <b:JournalName>Geofluids</b:JournalName>
    <b:Number>1</b:Number>
    <b:RefOrder>24</b:RefOrder>
  </b:Source>
  <b:Source>
    <b:Tag>Cur19</b:Tag>
    <b:SourceType>JournalArticle</b:SourceType>
    <b:Guid>{EC2FAC43-8115-4D69-B80F-B32B3A807EC3}</b:Guid>
    <b:Author>
      <b:Author>
        <b:NameList>
          <b:Person>
            <b:Last>Curti</b:Last>
            <b:First>E.</b:First>
          </b:Person>
          <b:Person>
            <b:Last>Xto</b:Last>
            <b:First>J.</b:First>
          </b:Person>
          <b:Person>
            <b:Last>Borca</b:Last>
            <b:First>C.</b:First>
          </b:Person>
          <b:Person>
            <b:Last>Henzler</b:Last>
            <b:First>K.</b:First>
          </b:Person>
          <b:Person>
            <b:Last>Huthwelker</b:Last>
            <b:First>T.</b:First>
          </b:Person>
          <b:Person>
            <b:Last>Prasianakis</b:Last>
            <b:First>N.</b:First>
          </b:Person>
        </b:NameList>
      </b:Author>
    </b:Author>
    <b:Title>Modelling Ra-baryte nucleation/precipitation kinetics at the pore scale</b:Title>
    <b:JournalName>Eur. J. Mineralogy</b:JournalName>
    <b:Year>2019.</b:Year>
    <b:Volume>31</b:Volume>
    <b:RefOrder>35</b:RefOrder>
  </b:Source>
  <b:Source>
    <b:Tag>Ope22</b:Tag>
    <b:SourceType>InternetSite</b:SourceType>
    <b:Guid>{8C785E87-8B62-4D4C-AC2B-A5CC7CC6E983}</b:Guid>
    <b:Title>Opencv-python tutorials</b:Title>
    <b:YearAccessed>2022</b:YearAccessed>
    <b:MonthAccessed>October</b:MonthAccessed>
    <b:DayAccessed>20</b:DayAccessed>
    <b:URL>https://docs.opencv.org/4.0.0.66/d6/d00/tutorial_py_root.html</b:URL>
    <b:RefOrder>55</b:RefOrder>
  </b:Source>
  <b:Source>
    <b:Tag>Gon09</b:Tag>
    <b:SourceType>Book</b:SourceType>
    <b:Guid>{5518FEAD-05D8-4EBF-BA36-FB72AF472AEA}</b:Guid>
    <b:Author>
      <b:Author>
        <b:NameList>
          <b:Person>
            <b:Last>Gonzalez</b:Last>
            <b:First>Rafael</b:First>
            <b:Middle>C.</b:Middle>
          </b:Person>
        </b:NameList>
      </b:Author>
    </b:Author>
    <b:Title>Digital image processing</b:Title>
    <b:Year>2009</b:Year>
    <b:Publisher>Pearson education india</b:Publisher>
    <b:RefOrder>54</b:RefOrder>
  </b:Source>
  <b:Source>
    <b:Tag>Kal11</b:Tag>
    <b:SourceType>Book</b:SourceType>
    <b:Guid>{BEA6FCBE-6D23-41A4-9C86-22E595DBA80F}</b:Guid>
    <b:Title>A concise guide to statistics</b:Title>
    <b:Year>2011</b:Year>
    <b:Author>
      <b:Author>
        <b:NameList>
          <b:Person>
            <b:Last>Kaltenbach</b:Last>
            <b:First>Hans-Michael</b:First>
          </b:Person>
        </b:NameList>
      </b:Author>
    </b:Author>
    <b:Publisher>Springer Science \&amp; Business Media</b:Publisher>
    <b:RefOrder>58</b:RefOrder>
  </b:Source>
  <b:Source>
    <b:Tag>Lin18</b:Tag>
    <b:SourceType>JournalArticle</b:SourceType>
    <b:Guid>{8A9076A7-34CF-4E9E-BD43-15696361BA73}</b:Guid>
    <b:Author>
      <b:Author>
        <b:NameList>
          <b:Person>
            <b:Last>Ling</b:Last>
            <b:First>F.T.</b:First>
          </b:Person>
          <b:Person>
            <b:Last>Hunter</b:Last>
            <b:First>H.A.</b:First>
          </b:Person>
          <b:Person>
            <b:Last>Fitts</b:Last>
            <b:First>J.P.</b:First>
          </b:Person>
          <b:Person>
            <b:Last>Peters</b:Last>
            <b:First>C.A.</b:First>
          </b:Person>
          <b:Person>
            <b:Last>Ascerbo</b:Last>
            <b:First>A.S</b:First>
          </b:Person>
          <b:Person>
            <b:Last>Huang</b:Last>
            <b:First>X.</b:First>
          </b:Person>
          <b:Person>
            <b:Last>Yan H.</b:Last>
          </b:Person>
          <b:Person>
            <b:Last>Nazaretski</b:Last>
            <b:First>E.</b:First>
          </b:Person>
          <b:Person>
            <b:Last>Chu</b:Last>
            <b:First>Y.S.</b:First>
          </b:Person>
        </b:NameList>
      </b:Author>
    </b:Author>
    <b:Title>Nanospectroscopy Captures Nanoscale Compositional Zonation in Barite Solid Solutions.</b:Title>
    <b:JournalName>Sci Rep</b:JournalName>
    <b:Year>2018</b:Year>
    <b:Pages>13041</b:Pages>
    <b:RefOrder>9</b:RefOrder>
  </b:Source>
  <b:Source>
    <b:Tag>Kul13</b:Tag>
    <b:SourceType>JournalArticle</b:SourceType>
    <b:Guid>{DFECD53D-F54B-4E59-A8B7-1B5C37B5FBFE}</b:Guid>
    <b:Author>
      <b:Author>
        <b:NameList>
          <b:Person>
            <b:Last>Kulik</b:Last>
            <b:First>D.</b:First>
            <b:Middle>A.</b:Middle>
          </b:Person>
          <b:Person>
            <b:Last>Wagner</b:Last>
            <b:First>T.</b:First>
          </b:Person>
          <b:Person>
            <b:Last>Dmytrieva</b:Last>
            <b:First>S.</b:First>
            <b:Middle>V.</b:Middle>
          </b:Person>
          <b:Person>
            <b:Last>Kosakowski</b:Last>
            <b:First>G.</b:First>
          </b:Person>
          <b:Person>
            <b:Last>Hingerl</b:Last>
            <b:First>F.</b:First>
            <b:Middle>F.</b:Middle>
          </b:Person>
          <b:Person>
            <b:Last>Chudnenko</b:Last>
            <b:First>K.</b:First>
            <b:Middle>V.</b:Middle>
          </b:Person>
          <b:Person>
            <b:Last>Berner</b:Last>
            <b:First>U.</b:First>
          </b:Person>
        </b:NameList>
      </b:Author>
    </b:Author>
    <b:Title>GEM-Selektor geochemical modeling package: Revised algorithm and GEMS3K numerical kernel for coupled simulation codes </b:Title>
    <b:JournalName>Computational Geosciences </b:JournalName>
    <b:Year>2013</b:Year>
    <b:Pages>1-24</b:Pages>
    <b:Volume>17</b:Volume>
    <b:RefOrder>40</b:RefOrder>
  </b:Source>
  <b:Source>
    <b:Tag>LiQ17</b:Tag>
    <b:SourceType>JournalArticle</b:SourceType>
    <b:Guid>{549CFD5E-EE0A-42FC-81C1-6A39416B5876}</b:Guid>
    <b:Author>
      <b:Author>
        <b:NameList>
          <b:Person>
            <b:Last>Li</b:Last>
            <b:First>Q.</b:First>
          </b:Person>
          <b:Person>
            <b:Last>Steefel</b:Last>
            <b:First>c.</b:First>
            <b:Middle>I.</b:Middle>
          </b:Person>
          <b:Person>
            <b:Last>Jun</b:Last>
            <b:First>Y.,</b:First>
          </b:Person>
        </b:NameList>
      </b:Author>
    </b:Author>
    <b:Title>Incorporating Nanoscale Effects into a Continuum-Scale Reactive Transport Model for CO2-Deteriorated Cement</b:Title>
    <b:Year>2017</b:Year>
    <b:JournalName>Environmental Science &amp; Technology</b:JournalName>
    <b:Pages>10861–10871</b:Pages>
    <b:Volume>51</b:Volume>
    <b:Issue>18</b:Issue>
    <b:RefOrder>46</b:RefOrder>
  </b:Source>
  <b:Source>
    <b:Tag>Noo211</b:Tag>
    <b:SourceType>JournalArticle</b:SourceType>
    <b:Guid>{16A7DC2D-10FF-44CC-99FC-1C10D2FE5C3E}</b:Guid>
    <b:Author>
      <b:Author>
        <b:NameList>
          <b:Person>
            <b:Last>Nooraiepour</b:Last>
            <b:First>Mohammad</b:First>
          </b:Person>
          <b:Person>
            <b:Last>Masoudi</b:Last>
            <b:First>Mohammad</b:First>
          </b:Person>
          <b:Person>
            <b:Last>Shokri</b:Last>
            <b:First>Nima</b:First>
          </b:Person>
          <b:Person>
            <b:Last>Hellevang</b:Last>
            <b:First>Helge.</b:First>
          </b:Person>
        </b:NameList>
      </b:Author>
    </b:Author>
    <b:Title>robabilistic Nucleation and Crystal Growth in Porous Medium: New Insights from Calcium Carbonate Precipitation on Primary and Secondary Substrates</b:Title>
    <b:JournalName>ACS Omega</b:JournalName>
    <b:Year>2021</b:Year>
    <b:Pages>28072-28083</b:Pages>
    <b:Volume>6</b:Volume>
    <b:Issue>42</b:Issue>
    <b:RefOrder>11</b:RefOrder>
  </b:Source>
  <b:Source>
    <b:Tag>Noo22</b:Tag>
    <b:SourceType>JournalArticle</b:SourceType>
    <b:Guid>{AEDBDF1A-2B1C-4CD8-B20C-4468994FE615}</b:Guid>
    <b:Author>
      <b:Author>
        <b:NameList>
          <b:Person>
            <b:Last>Nooraiepour</b:Last>
            <b:First>Mohammad</b:First>
          </b:Person>
          <b:Person>
            <b:Last>Masoudi</b:Last>
            <b:First>Mohammad</b:First>
          </b:Person>
          <b:Person>
            <b:Last>Shorki</b:Last>
            <b:First>Nima</b:First>
          </b:Person>
          <b:Person>
            <b:Last>Hellevang</b:Last>
            <b:First>Helge</b:First>
          </b:Person>
        </b:NameList>
      </b:Author>
    </b:Author>
    <b:Title>Precipitation-induced Geometry Evolution in Porous Media: Numerical and Experimental Insights based on New Model on Probabilistic Nucleation and Mineral Growth</b:Title>
    <b:JournalName>SSRN Electronic Journal</b:JournalName>
    <b:Year>2022</b:Year>
    <b:DOI>http://dx.doi.org/10.2139/ssrn.4272555 </b:DOI>
    <b:RefOrder>13</b:RefOrder>
  </b:Source>
  <b:Source>
    <b:Tag>Bra22</b:Tag>
    <b:SourceType>JournalArticle</b:SourceType>
    <b:Guid>{15040A3F-64E7-4308-9BF1-35D6FF31D922}</b:Guid>
    <b:Author>
      <b:Author>
        <b:NameList>
          <b:Person>
            <b:Last>Brady</b:Last>
            <b:First>Alexander</b:First>
          </b:Person>
          <b:Person>
            <b:Last>Weber</b:Last>
            <b:First>Juliane</b:First>
          </b:Person>
          <b:Person>
            <b:Last>Yuan</b:Last>
            <b:First>Ke</b:First>
          </b:Person>
          <b:Person>
            <b:Last>Allard</b:Last>
            <b:First>Lawrence</b:First>
          </b:Person>
          <b:Person>
            <b:Last>Avina</b:Last>
            <b:First>Omar</b:First>
          </b:Person>
          <b:Person>
            <b:Last>Ogaz</b:Last>
            <b:First>Ramon</b:First>
          </b:Person>
          <b:Person>
            <b:Last>Chang</b:Last>
            <b:First>Yao-Jen</b:First>
          </b:Person>
          <b:Person>
            <b:Last>Rampal</b:Last>
            <b:First>Nikhil</b:First>
          </b:Person>
          <b:Person>
            <b:Last>Starchenko</b:Last>
            <b:First>Vitalii</b:First>
          </b:Person>
          <b:Person>
            <b:Last>Rother</b:Last>
            <b:First>Gernot</b:First>
          </b:Person>
          <b:Person>
            <b:Last>Anovitz</b:Last>
            <b:First>Lawrence</b:First>
          </b:Person>
          <b:Person>
            <b:Last>Banuelos</b:Last>
            <b:First>Jose</b:First>
          </b:Person>
          <b:Person>
            <b:Last>Wang</b:Last>
            <b:First>Hsiu-Wen</b:First>
          </b:Person>
          <b:Person>
            <b:Last>Stack</b:Last>
            <b:First>Andrew</b:First>
          </b:Person>
        </b:NameList>
      </b:Author>
    </b:Author>
    <b:Title>In Situ Observations of Barium Sulfate Nucleation in Nanopores</b:Title>
    <b:JournalName>Crystal Growth &amp; Design</b:JournalName>
    <b:Year>2022</b:Year>
    <b:DOI>https://doi.org/10.1021/acs.cgd.2c00592</b:DOI>
    <b:RefOrder>27</b:RefOrder>
  </b:Source>
  <b:Source>
    <b:Tag>Poo22</b:Tag>
    <b:SourceType>JournalArticle</b:SourceType>
    <b:Guid>{56E73944-D00A-4D0E-8C7E-0D6C8DB8B1D1}</b:Guid>
    <b:Author>
      <b:Author>
        <b:NameList>
          <b:Person>
            <b:Last>Poonoosamy</b:Last>
            <b:First>J.</b:First>
          </b:Person>
          <b:Person>
            <b:Last>Lu</b:Last>
            <b:First>R.</b:First>
          </b:Person>
          <b:Person>
            <b:Last>Lönartz</b:Last>
            <b:First>M.I.</b:First>
          </b:Person>
          <b:Person>
            <b:Last>Deissmann</b:Last>
            <b:First>G.</b:First>
          </b:Person>
          <b:Person>
            <b:Last>Bosbach</b:Last>
            <b:First>D.</b:First>
          </b:Person>
          <b:Person>
            <b:Last>Yang</b:Last>
            <b:First>Y.</b:First>
          </b:Person>
        </b:NameList>
      </b:Author>
    </b:Author>
    <b:Title>A lab on a chip experiment for upscaling diffusivity of evolving porous media</b:Title>
    <b:JournalName>Energies</b:JournalName>
    <b:Year>2022</b:Year>
    <b:Pages>2160</b:Pages>
    <b:Volume>15</b:Volume>
    <b:Issue>6</b:Issue>
    <b:DOI> https://doi.org/10.3390/en15062160 </b:DOI>
    <b:RefOrder>30</b:RefOrder>
  </b:Source>
  <b:Source>
    <b:Tag>Thu19</b:Tag>
    <b:SourceType>JournalArticle</b:SourceType>
    <b:Guid>{63D13C62-8CCF-4ED1-B45B-BBA63E0B4E1F}</b:Guid>
    <b:Author>
      <b:Author>
        <b:NameList>
          <b:Person>
            <b:Last>Thurgood</b:Last>
            <b:First>P.</b:First>
          </b:Person>
          <b:Person>
            <b:Last>Baratchi</b:Last>
            <b:First>Sara</b:First>
          </b:Person>
          <b:Person>
            <b:Last>Arash</b:Last>
            <b:First>A.</b:First>
          </b:Person>
          <b:Person>
            <b:Last>Pirogova</b:Last>
            <b:First>E.</b:First>
          </b:Person>
          <b:Person>
            <b:Last>Jex</b:Last>
            <b:First>A.R.</b:First>
          </b:Person>
          <b:Person>
            <b:Last>Khoshmanesh</b:Last>
            <b:First>K.</b:First>
          </b:Person>
        </b:NameList>
      </b:Author>
    </b:Author>
    <b:Title>Asynchronous generation of oil droplets using a microfluidic flow focusing system</b:Title>
    <b:JournalName>Scientific Reports</b:JournalName>
    <b:Year>2019</b:Year>
    <b:Pages>10600</b:Pages>
    <b:Volume>9</b:Volume>
    <b:RefOrder>57</b:RefOrder>
  </b:Source>
  <b:Source>
    <b:Tag>Bua11</b:Tag>
    <b:SourceType>JournalArticle</b:SourceType>
    <b:Guid>{F2B53F6D-8DF0-4D00-B667-6FEED5E7553B}</b:Guid>
    <b:Title>Non-Local Means Denoising</b:Title>
    <b:Year>2011</b:Year>
    <b:Author>
      <b:Author>
        <b:NameList>
          <b:Person>
            <b:Last>Buades</b:Last>
            <b:First>Antoni</b:First>
          </b:Person>
          <b:Person>
            <b:Last>Coll</b:Last>
            <b:First>Bartomeu</b:First>
          </b:Person>
          <b:Person>
            <b:Last>Morel</b:Last>
            <b:First>Jean-Michel</b:First>
          </b:Person>
        </b:NameList>
      </b:Author>
    </b:Author>
    <b:JournalName>Image Processing On Line</b:JournalName>
    <b:Pages>208--212</b:Pages>
    <b:Volume>1</b:Volume>
    <b:RefOrder>53</b:RefOrder>
  </b:Source>
  <b:Source>
    <b:Year>2020</b:Year>
    <b:Volume>10</b:Volume>
    <b:BIBTEX_Entry>article</b:BIBTEX_Entry>
    <b:SourceType>JournalArticle</b:SourceType>
    <b:Title>Combination of MRI and SEM to assess changes in the chemical properties and permeability of porous media due to barite precipitation</b:Title>
    <b:Tag>Poonoosamy2020b</b:Tag>
    <b:DOI>10.3390/min10030226</b:DOI>
    <b:Author>
      <b:Author>
        <b:NameList>
          <b:Person>
            <b:Last>Poonoosamy</b:Last>
            <b:First>Jenna</b:First>
          </b:Person>
          <b:Person>
            <b:Last>Haber-Pohlmeier</b:Last>
            <b:First>Sabina</b:First>
          </b:Person>
          <b:Person>
            <b:Last>Deng</b:Last>
            <b:First>Hang</b:First>
          </b:Person>
          <b:Person>
            <b:Last>Deissmann</b:Last>
            <b:First>Guido</b:First>
          </b:Person>
          <b:Person>
            <b:Last>Klinkenberg</b:Last>
            <b:First>Martina</b:First>
          </b:Person>
          <b:Person>
            <b:Last>Gizatullin</b:Last>
            <b:First>Bulat</b:First>
          </b:Person>
          <b:Person>
            <b:Last>Stapf</b:Last>
            <b:First>Siegfried</b:First>
          </b:Person>
          <b:Person>
            <b:Last>Brandt</b:Last>
            <b:First>Felix</b:First>
          </b:Person>
          <b:Person>
            <b:Last>Bosbach</b:Last>
            <b:First>Dirk</b:First>
          </b:Person>
          <b:Person>
            <b:Last>Pohlmeier</b:Last>
            <b:First>Andreas</b:First>
          </b:Person>
        </b:NameList>
      </b:Author>
    </b:Author>
    <b:Pages>226</b:Pages>
    <b:JournalName>Minerals</b:JournalName>
    <b:Guid>{6DA03BDF-9B38-439E-8A23-BF1DF6BCCB1C}</b:Guid>
    <b:RefOrder>4</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3ae7e1a5-2f5f-411b-a1b0-8a771c7a6ebd" xsi:nil="true"/>
    <lcf76f155ced4ddcb4097134ff3c332f xmlns="04c03bf2-a7a6-418f-b28c-b1badef542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13D831-7EFA-4132-B1E6-7BE92C371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c03bf2-a7a6-418f-b28c-b1badef54232"/>
    <ds:schemaRef ds:uri="3ae7e1a5-2f5f-411b-a1b0-8a771c7a6e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EE5414-60C7-4627-892E-97208DB81BFD}">
  <ds:schemaRefs>
    <ds:schemaRef ds:uri="http://schemas.microsoft.com/sharepoint/v3/contenttype/forms"/>
  </ds:schemaRefs>
</ds:datastoreItem>
</file>

<file path=customXml/itemProps3.xml><?xml version="1.0" encoding="utf-8"?>
<ds:datastoreItem xmlns:ds="http://schemas.openxmlformats.org/officeDocument/2006/customXml" ds:itemID="{95974E39-A5CD-4118-9BD5-1C111E4252F2}">
  <ds:schemaRefs>
    <ds:schemaRef ds:uri="http://schemas.openxmlformats.org/officeDocument/2006/bibliography"/>
  </ds:schemaRefs>
</ds:datastoreItem>
</file>

<file path=customXml/itemProps4.xml><?xml version="1.0" encoding="utf-8"?>
<ds:datastoreItem xmlns:ds="http://schemas.openxmlformats.org/officeDocument/2006/customXml" ds:itemID="{A1DACC44-F793-4A04-840C-2249808AE308}">
  <ds:schemaRefs>
    <ds:schemaRef ds:uri="http://schemas.microsoft.com/office/2006/metadata/properties"/>
    <ds:schemaRef ds:uri="http://schemas.microsoft.com/office/infopath/2007/PartnerControls"/>
    <ds:schemaRef ds:uri="3ae7e1a5-2f5f-411b-a1b0-8a771c7a6ebd"/>
    <ds:schemaRef ds:uri="04c03bf2-a7a6-418f-b28c-b1badef54232"/>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5037</Words>
  <Characters>28711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Forschungszentrum Jülich GmbH</Company>
  <LinksUpToDate>false</LinksUpToDate>
  <CharactersWithSpaces>33681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Poonoosamy, Jenna</dc:creator>
  <cp:keywords/>
  <cp:lastModifiedBy>Poonoosamy, Jenna</cp:lastModifiedBy>
  <cp:revision>240</cp:revision>
  <cp:lastPrinted>2023-11-30T12:36:00Z</cp:lastPrinted>
  <dcterms:created xsi:type="dcterms:W3CDTF">2023-01-30T20:38:00Z</dcterms:created>
  <dcterms:modified xsi:type="dcterms:W3CDTF">2024-04-10T13:43:00Z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0x0101003669CBE9EBB5564F969BAD38844CD901</vt:lpwstr>
  </property>
  <property fmtid="{D5CDD505-2E9C-101B-9397-08002B2CF9AE}" pid="3" name="MediaServiceImageTags">
    <vt:lpwstr/>
  </property>
</Properties>
</file>