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96D4B" w14:textId="039C1E05" w:rsidR="006073AB" w:rsidRPr="008442C0" w:rsidRDefault="00F04D73" w:rsidP="006073AB">
      <w:pPr>
        <w:spacing w:line="480" w:lineRule="auto"/>
        <w:jc w:val="center"/>
        <w:rPr>
          <w:rFonts w:ascii="Calibri" w:hAnsi="Calibri" w:cs="Calibri"/>
          <w:b/>
          <w:bCs/>
          <w:sz w:val="30"/>
          <w:szCs w:val="30"/>
        </w:rPr>
      </w:pPr>
      <w:r w:rsidRPr="008442C0">
        <w:rPr>
          <w:rFonts w:ascii="Calibri" w:hAnsi="Calibri" w:cs="Calibri"/>
          <w:b/>
          <w:bCs/>
          <w:sz w:val="30"/>
          <w:szCs w:val="30"/>
        </w:rPr>
        <w:t>Supplementary materials</w:t>
      </w:r>
    </w:p>
    <w:p w14:paraId="2A992338" w14:textId="70B06419" w:rsidR="006073AB" w:rsidRPr="008442C0" w:rsidRDefault="00DC5A3D" w:rsidP="006073AB">
      <w:pPr>
        <w:spacing w:line="480" w:lineRule="auto"/>
        <w:rPr>
          <w:rFonts w:ascii="Calibri" w:hAnsi="Calibri" w:cs="Calibri"/>
          <w:sz w:val="24"/>
          <w:szCs w:val="24"/>
        </w:rPr>
      </w:pPr>
      <w:r w:rsidRPr="008442C0">
        <w:rPr>
          <w:rFonts w:ascii="Calibri" w:hAnsi="Calibri" w:cs="Calibri"/>
          <w:b/>
          <w:bCs/>
          <w:sz w:val="24"/>
          <w:szCs w:val="24"/>
        </w:rPr>
        <w:t xml:space="preserve">1. </w:t>
      </w:r>
      <w:r w:rsidR="006073AB" w:rsidRPr="008442C0">
        <w:rPr>
          <w:rFonts w:ascii="Calibri" w:hAnsi="Calibri" w:cs="Calibri"/>
          <w:sz w:val="24"/>
          <w:szCs w:val="24"/>
        </w:rPr>
        <w:t xml:space="preserve">Measurement of meropenem blood concentration using high-performance liquid chromatography-tandem mass spectrometry (HPLC-MS/MS) </w:t>
      </w:r>
    </w:p>
    <w:p w14:paraId="28F28481" w14:textId="3C003225" w:rsidR="00DC6A8F" w:rsidRPr="008442C0" w:rsidRDefault="006073AB" w:rsidP="006073AB">
      <w:pPr>
        <w:spacing w:line="480" w:lineRule="auto"/>
        <w:rPr>
          <w:rFonts w:ascii="Calibri" w:hAnsi="Calibri" w:cs="Calibri"/>
          <w:b/>
          <w:bCs/>
          <w:sz w:val="24"/>
          <w:szCs w:val="24"/>
        </w:rPr>
      </w:pPr>
      <w:r w:rsidRPr="008442C0">
        <w:rPr>
          <w:rFonts w:ascii="Calibri" w:hAnsi="Calibri" w:cs="Calibri"/>
          <w:b/>
          <w:bCs/>
          <w:sz w:val="24"/>
          <w:szCs w:val="24"/>
        </w:rPr>
        <w:t xml:space="preserve">1.1. </w:t>
      </w:r>
      <w:r w:rsidR="00DC6A8F" w:rsidRPr="008442C0">
        <w:rPr>
          <w:rFonts w:ascii="Calibri" w:hAnsi="Calibri" w:cs="Calibri"/>
          <w:sz w:val="24"/>
          <w:szCs w:val="24"/>
        </w:rPr>
        <w:t>Experimental instrument</w:t>
      </w:r>
      <w:bookmarkStart w:id="0" w:name="_GoBack"/>
      <w:bookmarkEnd w:id="0"/>
    </w:p>
    <w:p w14:paraId="71984C41" w14:textId="126E34F6" w:rsidR="006073AB" w:rsidRPr="008442C0" w:rsidRDefault="006073AB" w:rsidP="00DC6A8F">
      <w:pPr>
        <w:spacing w:line="480" w:lineRule="auto"/>
        <w:ind w:firstLineChars="100" w:firstLine="240"/>
        <w:rPr>
          <w:rFonts w:ascii="Calibri" w:hAnsi="Calibri" w:cs="Calibri"/>
          <w:sz w:val="24"/>
          <w:szCs w:val="24"/>
        </w:rPr>
      </w:pPr>
      <w:r w:rsidRPr="008442C0">
        <w:rPr>
          <w:rFonts w:ascii="Calibri" w:hAnsi="Calibri" w:cs="Calibri"/>
          <w:sz w:val="24"/>
          <w:szCs w:val="24"/>
        </w:rPr>
        <w:t xml:space="preserve">Instruments and equipment used in this study included an AB5500 QTRAP triple quadrupole mass spectrometer equipped with an electrospray ionization (ESI) source and Analyst1.5 data processing software (AB Sciex, USA), an LC-20A HPLC system (Shimadzu, Japan), a Vortex-Genius 2 vortex mixer (Scientific Industries, USA), a PICO 17 centrifuge (Thermo Fisher Scientific, USA), a KQ-1000KDB ultrasonic cleaner (Kunshan Ultrasonic Instruments Co., Ltd.), a MilliQ Direct-Q16 water purification system (Merck Millipore, USA), and a DENVER TB215D analytical balance (Denver Instrument, USA). </w:t>
      </w:r>
    </w:p>
    <w:p w14:paraId="2E010FED" w14:textId="31DDC5FC" w:rsidR="00DC6A8F" w:rsidRPr="008442C0" w:rsidRDefault="006073AB" w:rsidP="006073AB">
      <w:pPr>
        <w:spacing w:line="480" w:lineRule="auto"/>
        <w:rPr>
          <w:rFonts w:ascii="Calibri" w:hAnsi="Calibri" w:cs="Calibri"/>
          <w:b/>
          <w:bCs/>
          <w:sz w:val="24"/>
          <w:szCs w:val="24"/>
        </w:rPr>
      </w:pPr>
      <w:r w:rsidRPr="008442C0">
        <w:rPr>
          <w:rFonts w:ascii="Calibri" w:hAnsi="Calibri" w:cs="Calibri"/>
          <w:b/>
          <w:bCs/>
          <w:sz w:val="24"/>
          <w:szCs w:val="24"/>
        </w:rPr>
        <w:t xml:space="preserve">1.2. </w:t>
      </w:r>
      <w:r w:rsidR="00DC6A8F" w:rsidRPr="008442C0">
        <w:rPr>
          <w:rFonts w:ascii="Calibri" w:hAnsi="Calibri" w:cs="Calibri"/>
          <w:sz w:val="24"/>
          <w:szCs w:val="24"/>
        </w:rPr>
        <w:t>Experimental drug</w:t>
      </w:r>
    </w:p>
    <w:p w14:paraId="259105FF" w14:textId="57F0C127" w:rsidR="00DC6A8F" w:rsidRPr="008442C0" w:rsidRDefault="006073AB" w:rsidP="00DC6A8F">
      <w:pPr>
        <w:spacing w:line="480" w:lineRule="auto"/>
        <w:ind w:firstLineChars="100" w:firstLine="240"/>
        <w:rPr>
          <w:rFonts w:ascii="Calibri" w:hAnsi="Calibri" w:cs="Calibri"/>
          <w:b/>
          <w:bCs/>
          <w:sz w:val="24"/>
          <w:szCs w:val="24"/>
        </w:rPr>
      </w:pPr>
      <w:r w:rsidRPr="008442C0">
        <w:rPr>
          <w:rFonts w:ascii="Calibri" w:hAnsi="Calibri" w:cs="Calibri"/>
          <w:sz w:val="24"/>
          <w:szCs w:val="24"/>
        </w:rPr>
        <w:t xml:space="preserve">The drugs used in this study were meropenem (Sigma-Aldrich, USA; purity ≥97%), meropenem-d6 (Spectrum Chemical Mfg. Corp., China; purity ≥99.5%), formic acid (Sigma-Aldrich, USA), acetonitrile (Sigma-Aldrich, USA), and MilliQ ultra-pure water. </w:t>
      </w:r>
      <w:r w:rsidRPr="008442C0">
        <w:rPr>
          <w:rFonts w:ascii="Calibri" w:hAnsi="Calibri" w:cs="Calibri"/>
          <w:b/>
          <w:bCs/>
          <w:sz w:val="24"/>
          <w:szCs w:val="24"/>
        </w:rPr>
        <w:t xml:space="preserve">1.3. </w:t>
      </w:r>
      <w:r w:rsidR="00DC6A8F" w:rsidRPr="008442C0">
        <w:rPr>
          <w:rFonts w:ascii="Calibri" w:hAnsi="Calibri" w:cs="Calibri"/>
          <w:sz w:val="24"/>
          <w:szCs w:val="24"/>
        </w:rPr>
        <w:t>Chromatographic conditions and columns</w:t>
      </w:r>
    </w:p>
    <w:p w14:paraId="115EB234" w14:textId="23378FB6" w:rsidR="006073AB" w:rsidRPr="008442C0" w:rsidRDefault="006073AB" w:rsidP="00DC6A8F">
      <w:pPr>
        <w:spacing w:line="480" w:lineRule="auto"/>
        <w:ind w:firstLineChars="100" w:firstLine="240"/>
        <w:rPr>
          <w:rFonts w:ascii="Calibri" w:hAnsi="Calibri" w:cs="Calibri"/>
          <w:sz w:val="24"/>
          <w:szCs w:val="24"/>
        </w:rPr>
      </w:pPr>
      <w:r w:rsidRPr="008442C0">
        <w:rPr>
          <w:rFonts w:ascii="Calibri" w:hAnsi="Calibri" w:cs="Calibri"/>
          <w:sz w:val="24"/>
          <w:szCs w:val="24"/>
        </w:rPr>
        <w:t>Chromatographic separation was achieved using an Agilent Poroshell120 SB-C18 column (4.6 mm × 50 mm, 2.7 μm) with a column temperature of 40°C. The injection volume was 2.0 μL, and the mobile phase consisted of 0.1% formic acid aqueous solution (A) and acetonitrile (B). The composition and flow rate of the mobile phase gradient are shown in Table 1.</w:t>
      </w:r>
    </w:p>
    <w:p w14:paraId="0BC83A80" w14:textId="77777777" w:rsidR="006073AB" w:rsidRPr="008442C0" w:rsidRDefault="006073AB" w:rsidP="006073AB">
      <w:pPr>
        <w:spacing w:line="480" w:lineRule="auto"/>
        <w:rPr>
          <w:rFonts w:ascii="Calibri" w:hAnsi="Calibri" w:cs="Calibri"/>
          <w:sz w:val="24"/>
          <w:szCs w:val="24"/>
        </w:rPr>
      </w:pPr>
    </w:p>
    <w:p w14:paraId="0D3F8C73" w14:textId="770CB700" w:rsidR="006073AB" w:rsidRPr="008442C0" w:rsidRDefault="00DC6A8F" w:rsidP="006073AB">
      <w:pPr>
        <w:spacing w:line="480" w:lineRule="auto"/>
        <w:rPr>
          <w:rFonts w:ascii="Calibri" w:hAnsi="Calibri" w:cs="Calibri"/>
          <w:sz w:val="24"/>
          <w:szCs w:val="24"/>
        </w:rPr>
      </w:pPr>
      <w:r w:rsidRPr="008442C0">
        <w:rPr>
          <w:rFonts w:ascii="Calibri" w:hAnsi="Calibri" w:cs="Calibri"/>
          <w:b/>
          <w:bCs/>
          <w:sz w:val="24"/>
          <w:szCs w:val="24"/>
        </w:rPr>
        <w:t xml:space="preserve">Table </w:t>
      </w:r>
      <w:r w:rsidR="00AE764B" w:rsidRPr="008442C0">
        <w:rPr>
          <w:rFonts w:ascii="Calibri" w:hAnsi="Calibri" w:cs="Calibri"/>
          <w:b/>
          <w:bCs/>
          <w:sz w:val="24"/>
          <w:szCs w:val="24"/>
        </w:rPr>
        <w:t>S</w:t>
      </w:r>
      <w:r w:rsidRPr="008442C0">
        <w:rPr>
          <w:rFonts w:ascii="Calibri" w:hAnsi="Calibri" w:cs="Calibri"/>
          <w:b/>
          <w:bCs/>
          <w:sz w:val="24"/>
          <w:szCs w:val="24"/>
        </w:rPr>
        <w:t>1.</w:t>
      </w:r>
      <w:r w:rsidRPr="008442C0">
        <w:t xml:space="preserve"> </w:t>
      </w:r>
      <w:r w:rsidRPr="008442C0">
        <w:rPr>
          <w:rFonts w:ascii="Calibri" w:hAnsi="Calibri" w:cs="Calibri"/>
          <w:sz w:val="24"/>
          <w:szCs w:val="24"/>
        </w:rPr>
        <w:t>Mobile phase gradient composition and flow rate</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49"/>
        <w:gridCol w:w="2474"/>
        <w:gridCol w:w="2464"/>
        <w:gridCol w:w="1919"/>
      </w:tblGrid>
      <w:tr w:rsidR="006073AB" w:rsidRPr="008442C0" w14:paraId="658A54BB" w14:textId="77777777" w:rsidTr="00DC6A8F">
        <w:tc>
          <w:tcPr>
            <w:tcW w:w="872" w:type="pct"/>
            <w:tcBorders>
              <w:top w:val="single" w:sz="12" w:space="0" w:color="auto"/>
              <w:bottom w:val="single" w:sz="6" w:space="0" w:color="auto"/>
            </w:tcBorders>
          </w:tcPr>
          <w:p w14:paraId="624ACBA5" w14:textId="41881C63" w:rsidR="006073AB" w:rsidRPr="008442C0" w:rsidRDefault="00DC6A8F" w:rsidP="006073AB">
            <w:pPr>
              <w:spacing w:line="480" w:lineRule="auto"/>
              <w:rPr>
                <w:rFonts w:ascii="Calibri" w:hAnsi="Calibri" w:cs="Calibri"/>
                <w:sz w:val="24"/>
                <w:szCs w:val="24"/>
              </w:rPr>
            </w:pPr>
            <w:r w:rsidRPr="008442C0">
              <w:rPr>
                <w:rFonts w:ascii="Calibri" w:hAnsi="Calibri" w:cs="Calibri"/>
                <w:sz w:val="24"/>
                <w:szCs w:val="24"/>
              </w:rPr>
              <w:t>Time (min)</w:t>
            </w:r>
          </w:p>
        </w:tc>
        <w:tc>
          <w:tcPr>
            <w:tcW w:w="1489" w:type="pct"/>
            <w:tcBorders>
              <w:top w:val="single" w:sz="12" w:space="0" w:color="auto"/>
              <w:bottom w:val="single" w:sz="6" w:space="0" w:color="auto"/>
            </w:tcBorders>
          </w:tcPr>
          <w:p w14:paraId="6A736E94" w14:textId="0B76B852" w:rsidR="006073AB" w:rsidRPr="008442C0" w:rsidRDefault="00DC6A8F" w:rsidP="006073AB">
            <w:pPr>
              <w:spacing w:line="480" w:lineRule="auto"/>
              <w:rPr>
                <w:rFonts w:ascii="Calibri" w:hAnsi="Calibri" w:cs="Calibri"/>
                <w:sz w:val="24"/>
                <w:szCs w:val="24"/>
              </w:rPr>
            </w:pPr>
            <w:r w:rsidRPr="008442C0">
              <w:rPr>
                <w:rFonts w:ascii="Calibri" w:hAnsi="Calibri" w:cs="Calibri"/>
                <w:sz w:val="24"/>
                <w:szCs w:val="24"/>
              </w:rPr>
              <w:t>Flow rate (mL·min</w:t>
            </w:r>
            <w:r w:rsidRPr="008442C0">
              <w:rPr>
                <w:rFonts w:ascii="Calibri" w:hAnsi="Calibri" w:cs="Calibri"/>
                <w:sz w:val="24"/>
                <w:szCs w:val="24"/>
                <w:vertAlign w:val="superscript"/>
              </w:rPr>
              <w:t>-1</w:t>
            </w:r>
            <w:r w:rsidRPr="008442C0">
              <w:rPr>
                <w:rFonts w:ascii="Calibri" w:hAnsi="Calibri" w:cs="Calibri"/>
                <w:sz w:val="24"/>
                <w:szCs w:val="24"/>
              </w:rPr>
              <w:t>)</w:t>
            </w:r>
          </w:p>
        </w:tc>
        <w:tc>
          <w:tcPr>
            <w:tcW w:w="1483" w:type="pct"/>
            <w:tcBorders>
              <w:top w:val="single" w:sz="12" w:space="0" w:color="auto"/>
              <w:bottom w:val="single" w:sz="6" w:space="0" w:color="auto"/>
            </w:tcBorders>
          </w:tcPr>
          <w:p w14:paraId="69660459" w14:textId="2F66C385" w:rsidR="006073AB" w:rsidRPr="008442C0" w:rsidRDefault="00DC6A8F" w:rsidP="006073AB">
            <w:pPr>
              <w:spacing w:line="480" w:lineRule="auto"/>
              <w:rPr>
                <w:rFonts w:ascii="Calibri" w:hAnsi="Calibri" w:cs="Calibri"/>
                <w:sz w:val="24"/>
                <w:szCs w:val="24"/>
              </w:rPr>
            </w:pPr>
            <w:r w:rsidRPr="008442C0">
              <w:rPr>
                <w:rFonts w:ascii="Calibri" w:hAnsi="Calibri" w:cs="Calibri"/>
                <w:sz w:val="24"/>
                <w:szCs w:val="24"/>
              </w:rPr>
              <w:t>A (0.1% formic acid)</w:t>
            </w:r>
          </w:p>
        </w:tc>
        <w:tc>
          <w:tcPr>
            <w:tcW w:w="1155" w:type="pct"/>
            <w:tcBorders>
              <w:top w:val="single" w:sz="12" w:space="0" w:color="auto"/>
              <w:bottom w:val="single" w:sz="6" w:space="0" w:color="auto"/>
            </w:tcBorders>
          </w:tcPr>
          <w:p w14:paraId="09C1A958" w14:textId="3FC739B1" w:rsidR="006073AB" w:rsidRPr="008442C0" w:rsidRDefault="00DC6A8F" w:rsidP="006073AB">
            <w:pPr>
              <w:spacing w:line="480" w:lineRule="auto"/>
              <w:rPr>
                <w:rFonts w:ascii="Calibri" w:hAnsi="Calibri" w:cs="Calibri"/>
                <w:sz w:val="24"/>
                <w:szCs w:val="24"/>
              </w:rPr>
            </w:pPr>
            <w:r w:rsidRPr="008442C0">
              <w:rPr>
                <w:rFonts w:ascii="Calibri" w:hAnsi="Calibri" w:cs="Calibri"/>
                <w:sz w:val="24"/>
                <w:szCs w:val="24"/>
              </w:rPr>
              <w:t>B (Acetonitrile)</w:t>
            </w:r>
          </w:p>
        </w:tc>
      </w:tr>
      <w:tr w:rsidR="00DC6A8F" w:rsidRPr="008442C0" w14:paraId="7C939B32" w14:textId="77777777" w:rsidTr="00DC6A8F">
        <w:tc>
          <w:tcPr>
            <w:tcW w:w="872" w:type="pct"/>
            <w:tcBorders>
              <w:top w:val="single" w:sz="6" w:space="0" w:color="auto"/>
            </w:tcBorders>
          </w:tcPr>
          <w:p w14:paraId="06E179E1" w14:textId="4F756E17"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0.01</w:t>
            </w:r>
          </w:p>
        </w:tc>
        <w:tc>
          <w:tcPr>
            <w:tcW w:w="1489" w:type="pct"/>
            <w:tcBorders>
              <w:top w:val="single" w:sz="6" w:space="0" w:color="auto"/>
            </w:tcBorders>
          </w:tcPr>
          <w:p w14:paraId="130D6E74" w14:textId="3BB321A4"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0.7</w:t>
            </w:r>
          </w:p>
        </w:tc>
        <w:tc>
          <w:tcPr>
            <w:tcW w:w="1483" w:type="pct"/>
            <w:tcBorders>
              <w:top w:val="single" w:sz="6" w:space="0" w:color="auto"/>
            </w:tcBorders>
          </w:tcPr>
          <w:p w14:paraId="05531716" w14:textId="621E6399"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95</w:t>
            </w:r>
          </w:p>
        </w:tc>
        <w:tc>
          <w:tcPr>
            <w:tcW w:w="1155" w:type="pct"/>
            <w:tcBorders>
              <w:top w:val="single" w:sz="6" w:space="0" w:color="auto"/>
            </w:tcBorders>
          </w:tcPr>
          <w:p w14:paraId="5FA94A48" w14:textId="42DFC850"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5.0</w:t>
            </w:r>
          </w:p>
        </w:tc>
      </w:tr>
      <w:tr w:rsidR="00DC6A8F" w:rsidRPr="008442C0" w14:paraId="67008CCD" w14:textId="77777777" w:rsidTr="00DC6A8F">
        <w:tc>
          <w:tcPr>
            <w:tcW w:w="872" w:type="pct"/>
          </w:tcPr>
          <w:p w14:paraId="45B5D4B6" w14:textId="670D55C0"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0.50</w:t>
            </w:r>
          </w:p>
        </w:tc>
        <w:tc>
          <w:tcPr>
            <w:tcW w:w="1489" w:type="pct"/>
          </w:tcPr>
          <w:p w14:paraId="6BAE1438" w14:textId="1E1475D6"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0.7</w:t>
            </w:r>
          </w:p>
        </w:tc>
        <w:tc>
          <w:tcPr>
            <w:tcW w:w="1483" w:type="pct"/>
          </w:tcPr>
          <w:p w14:paraId="104A9AD6" w14:textId="11F9653E"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95</w:t>
            </w:r>
          </w:p>
        </w:tc>
        <w:tc>
          <w:tcPr>
            <w:tcW w:w="1155" w:type="pct"/>
          </w:tcPr>
          <w:p w14:paraId="1922CC33" w14:textId="27ADAE7A"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5.0</w:t>
            </w:r>
          </w:p>
        </w:tc>
      </w:tr>
      <w:tr w:rsidR="00DC6A8F" w:rsidRPr="008442C0" w14:paraId="43DE97F6" w14:textId="77777777" w:rsidTr="00DC6A8F">
        <w:tc>
          <w:tcPr>
            <w:tcW w:w="872" w:type="pct"/>
          </w:tcPr>
          <w:p w14:paraId="1B26913B" w14:textId="059F8816"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2.50</w:t>
            </w:r>
          </w:p>
        </w:tc>
        <w:tc>
          <w:tcPr>
            <w:tcW w:w="1489" w:type="pct"/>
          </w:tcPr>
          <w:p w14:paraId="319E4878" w14:textId="4D0B4594"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0.7</w:t>
            </w:r>
          </w:p>
        </w:tc>
        <w:tc>
          <w:tcPr>
            <w:tcW w:w="1483" w:type="pct"/>
          </w:tcPr>
          <w:p w14:paraId="204EFABD" w14:textId="44790EA4"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5.0</w:t>
            </w:r>
          </w:p>
        </w:tc>
        <w:tc>
          <w:tcPr>
            <w:tcW w:w="1155" w:type="pct"/>
          </w:tcPr>
          <w:p w14:paraId="10F5E1A8" w14:textId="7333752E"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95</w:t>
            </w:r>
          </w:p>
        </w:tc>
      </w:tr>
      <w:tr w:rsidR="00DC6A8F" w:rsidRPr="008442C0" w14:paraId="50EBE747" w14:textId="77777777" w:rsidTr="00DC6A8F">
        <w:tc>
          <w:tcPr>
            <w:tcW w:w="872" w:type="pct"/>
          </w:tcPr>
          <w:p w14:paraId="4D789F78" w14:textId="54346598"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4.50</w:t>
            </w:r>
          </w:p>
        </w:tc>
        <w:tc>
          <w:tcPr>
            <w:tcW w:w="1489" w:type="pct"/>
          </w:tcPr>
          <w:p w14:paraId="278A9609" w14:textId="18234A1E"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0.7</w:t>
            </w:r>
          </w:p>
        </w:tc>
        <w:tc>
          <w:tcPr>
            <w:tcW w:w="1483" w:type="pct"/>
          </w:tcPr>
          <w:p w14:paraId="0AAAB023" w14:textId="1CDF23A9"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5.0</w:t>
            </w:r>
          </w:p>
        </w:tc>
        <w:tc>
          <w:tcPr>
            <w:tcW w:w="1155" w:type="pct"/>
          </w:tcPr>
          <w:p w14:paraId="5133F286" w14:textId="3767DE2A"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95</w:t>
            </w:r>
          </w:p>
        </w:tc>
      </w:tr>
      <w:tr w:rsidR="00DC6A8F" w:rsidRPr="008442C0" w14:paraId="20CF7093" w14:textId="77777777" w:rsidTr="00DC6A8F">
        <w:tc>
          <w:tcPr>
            <w:tcW w:w="872" w:type="pct"/>
          </w:tcPr>
          <w:p w14:paraId="05147E84" w14:textId="792A5B7F"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4.6</w:t>
            </w:r>
          </w:p>
        </w:tc>
        <w:tc>
          <w:tcPr>
            <w:tcW w:w="1489" w:type="pct"/>
          </w:tcPr>
          <w:p w14:paraId="7E463AC2" w14:textId="26C2CDF2"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0.7</w:t>
            </w:r>
          </w:p>
        </w:tc>
        <w:tc>
          <w:tcPr>
            <w:tcW w:w="1483" w:type="pct"/>
          </w:tcPr>
          <w:p w14:paraId="67491624" w14:textId="1A638AD8"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95</w:t>
            </w:r>
          </w:p>
        </w:tc>
        <w:tc>
          <w:tcPr>
            <w:tcW w:w="1155" w:type="pct"/>
          </w:tcPr>
          <w:p w14:paraId="79E3520B" w14:textId="77D23058"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5</w:t>
            </w:r>
          </w:p>
        </w:tc>
      </w:tr>
      <w:tr w:rsidR="00DC6A8F" w:rsidRPr="008442C0" w14:paraId="337596C1" w14:textId="77777777" w:rsidTr="00DC6A8F">
        <w:tc>
          <w:tcPr>
            <w:tcW w:w="872" w:type="pct"/>
          </w:tcPr>
          <w:p w14:paraId="511E858D" w14:textId="69050AD3"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7.0</w:t>
            </w:r>
          </w:p>
        </w:tc>
        <w:tc>
          <w:tcPr>
            <w:tcW w:w="1489" w:type="pct"/>
          </w:tcPr>
          <w:p w14:paraId="1AF65D5F" w14:textId="5595A2CB"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0.7</w:t>
            </w:r>
          </w:p>
        </w:tc>
        <w:tc>
          <w:tcPr>
            <w:tcW w:w="1483" w:type="pct"/>
          </w:tcPr>
          <w:p w14:paraId="7868D59B" w14:textId="68932547"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95</w:t>
            </w:r>
          </w:p>
        </w:tc>
        <w:tc>
          <w:tcPr>
            <w:tcW w:w="1155" w:type="pct"/>
          </w:tcPr>
          <w:p w14:paraId="68D7A22D" w14:textId="700A0555" w:rsidR="00DC6A8F" w:rsidRPr="008442C0" w:rsidRDefault="00DC6A8F" w:rsidP="00DC6A8F">
            <w:pPr>
              <w:spacing w:line="480" w:lineRule="auto"/>
              <w:rPr>
                <w:rFonts w:ascii="Calibri" w:hAnsi="Calibri" w:cs="Calibri"/>
                <w:sz w:val="24"/>
                <w:szCs w:val="24"/>
              </w:rPr>
            </w:pPr>
            <w:r w:rsidRPr="008442C0">
              <w:rPr>
                <w:rFonts w:ascii="Calibri" w:hAnsi="Calibri" w:cs="Calibri"/>
                <w:kern w:val="0"/>
                <w:sz w:val="24"/>
                <w:szCs w:val="24"/>
              </w:rPr>
              <w:t>5</w:t>
            </w:r>
          </w:p>
        </w:tc>
      </w:tr>
    </w:tbl>
    <w:p w14:paraId="2B3A75E3" w14:textId="01255C9D" w:rsidR="006073AB" w:rsidRPr="008442C0" w:rsidRDefault="006073AB" w:rsidP="006073AB">
      <w:pPr>
        <w:spacing w:line="480" w:lineRule="auto"/>
        <w:rPr>
          <w:rFonts w:ascii="Calibri" w:hAnsi="Calibri" w:cs="Calibri"/>
          <w:sz w:val="24"/>
          <w:szCs w:val="24"/>
        </w:rPr>
      </w:pPr>
    </w:p>
    <w:p w14:paraId="555762E2" w14:textId="7BBB89A5" w:rsidR="00A310A7" w:rsidRPr="008442C0" w:rsidRDefault="00A310A7" w:rsidP="006073AB">
      <w:pPr>
        <w:spacing w:line="480" w:lineRule="auto"/>
        <w:rPr>
          <w:rFonts w:ascii="Calibri" w:hAnsi="Calibri" w:cs="Calibri"/>
          <w:sz w:val="24"/>
          <w:szCs w:val="24"/>
        </w:rPr>
      </w:pPr>
      <w:r w:rsidRPr="008442C0">
        <w:rPr>
          <w:rFonts w:ascii="Calibri" w:hAnsi="Calibri" w:cs="Calibri"/>
          <w:b/>
          <w:bCs/>
          <w:sz w:val="24"/>
          <w:szCs w:val="24"/>
        </w:rPr>
        <w:t xml:space="preserve">1.4. </w:t>
      </w:r>
      <w:r w:rsidRPr="008442C0">
        <w:rPr>
          <w:rFonts w:ascii="Calibri" w:hAnsi="Calibri" w:cs="Calibri"/>
          <w:sz w:val="24"/>
          <w:szCs w:val="24"/>
        </w:rPr>
        <w:t>Mass spectrum condition</w:t>
      </w:r>
    </w:p>
    <w:p w14:paraId="5F11EADD" w14:textId="515DB93E" w:rsidR="00A310A7" w:rsidRPr="008442C0" w:rsidRDefault="00A310A7" w:rsidP="00A310A7">
      <w:pPr>
        <w:spacing w:line="480" w:lineRule="auto"/>
        <w:ind w:firstLineChars="100" w:firstLine="240"/>
        <w:rPr>
          <w:rFonts w:ascii="Calibri" w:hAnsi="Calibri" w:cs="Calibri"/>
          <w:sz w:val="24"/>
          <w:szCs w:val="24"/>
        </w:rPr>
      </w:pPr>
      <w:r w:rsidRPr="008442C0">
        <w:rPr>
          <w:rFonts w:ascii="Calibri" w:hAnsi="Calibri" w:cs="Calibri"/>
          <w:sz w:val="24"/>
          <w:szCs w:val="24"/>
        </w:rPr>
        <w:t xml:space="preserve">The mass spectrometry analysis was performed using an electrospray ionization source (ESI) with high-purity nitrogen gas (&gt;99.99%) as the nebulizing and curtain gas.  The scan mode was set to positive ionization, and the detection method was multiple reaction monitoring (MRM). The ESI voltage was set to 5500 V, and the ion source temperature was maintained at 500 </w:t>
      </w:r>
      <w:r w:rsidRPr="008442C0">
        <w:rPr>
          <w:rFonts w:ascii="SimSun" w:eastAsia="SimSun" w:hAnsi="SimSun" w:cs="SimSun" w:hint="eastAsia"/>
          <w:sz w:val="24"/>
          <w:szCs w:val="24"/>
        </w:rPr>
        <w:t>℃</w:t>
      </w:r>
      <w:r w:rsidRPr="008442C0">
        <w:rPr>
          <w:rFonts w:ascii="Calibri" w:hAnsi="Calibri" w:cs="Calibri"/>
          <w:sz w:val="24"/>
          <w:szCs w:val="24"/>
        </w:rPr>
        <w:t>. The nebulizing gas pressure (Gas1) and curtain gas pressure (Gas2) were both set to 50 psi, while the collision gas pressure (CUR) was set to 30 psi with moderate collision energy. The entrance potential (EP) was set to 10 V, and the collision cell exit potential (CXP) was set to 12.0 V. The MRM monitored ion pairs, declustering potential (DP), and collision energy (CE) are detailed in Table 2.</w:t>
      </w:r>
    </w:p>
    <w:p w14:paraId="006CE756" w14:textId="3DD56805" w:rsidR="00661652" w:rsidRPr="008442C0" w:rsidRDefault="00661652" w:rsidP="00A310A7">
      <w:pPr>
        <w:spacing w:line="480" w:lineRule="auto"/>
        <w:ind w:firstLineChars="100" w:firstLine="240"/>
        <w:rPr>
          <w:rFonts w:ascii="Calibri" w:hAnsi="Calibri" w:cs="Calibri"/>
          <w:sz w:val="24"/>
          <w:szCs w:val="24"/>
        </w:rPr>
      </w:pPr>
      <w:r w:rsidRPr="008442C0">
        <w:rPr>
          <w:rFonts w:ascii="Calibri" w:hAnsi="Calibri" w:cs="Calibri"/>
          <w:b/>
          <w:bCs/>
          <w:sz w:val="24"/>
          <w:szCs w:val="24"/>
        </w:rPr>
        <w:t xml:space="preserve">Table </w:t>
      </w:r>
      <w:r w:rsidR="00AE764B" w:rsidRPr="008442C0">
        <w:rPr>
          <w:rFonts w:ascii="Calibri" w:hAnsi="Calibri" w:cs="Calibri"/>
          <w:b/>
          <w:bCs/>
          <w:sz w:val="24"/>
          <w:szCs w:val="24"/>
        </w:rPr>
        <w:t>S</w:t>
      </w:r>
      <w:r w:rsidRPr="008442C0">
        <w:rPr>
          <w:rFonts w:ascii="Calibri" w:hAnsi="Calibri" w:cs="Calibri"/>
          <w:b/>
          <w:bCs/>
          <w:sz w:val="24"/>
          <w:szCs w:val="24"/>
        </w:rPr>
        <w:t>2.</w:t>
      </w:r>
      <w:r w:rsidRPr="008442C0">
        <w:rPr>
          <w:rFonts w:ascii="Calibri" w:hAnsi="Calibri" w:cs="Calibri"/>
          <w:sz w:val="24"/>
          <w:szCs w:val="24"/>
        </w:rPr>
        <w:t xml:space="preserve"> Mass spectrum parameters of meropenem and its isotope internal targets</w:t>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558"/>
        <w:gridCol w:w="1562"/>
        <w:gridCol w:w="1718"/>
        <w:gridCol w:w="1626"/>
      </w:tblGrid>
      <w:tr w:rsidR="00661652" w:rsidRPr="008442C0" w14:paraId="6D49778B" w14:textId="77777777" w:rsidTr="00661652">
        <w:tc>
          <w:tcPr>
            <w:tcW w:w="1109" w:type="pct"/>
            <w:tcBorders>
              <w:top w:val="single" w:sz="12" w:space="0" w:color="auto"/>
              <w:bottom w:val="single" w:sz="6" w:space="0" w:color="auto"/>
            </w:tcBorders>
          </w:tcPr>
          <w:p w14:paraId="7E777991" w14:textId="5886C95E" w:rsidR="00661652" w:rsidRPr="008442C0" w:rsidRDefault="00661652" w:rsidP="00A310A7">
            <w:pPr>
              <w:spacing w:line="480" w:lineRule="auto"/>
              <w:rPr>
                <w:rFonts w:ascii="Calibri" w:hAnsi="Calibri" w:cs="Calibri"/>
                <w:sz w:val="24"/>
                <w:szCs w:val="24"/>
              </w:rPr>
            </w:pPr>
            <w:r w:rsidRPr="008442C0">
              <w:rPr>
                <w:rFonts w:ascii="Calibri" w:hAnsi="Calibri" w:cs="Calibri"/>
                <w:sz w:val="24"/>
                <w:szCs w:val="24"/>
              </w:rPr>
              <w:t>Drug</w:t>
            </w:r>
          </w:p>
        </w:tc>
        <w:tc>
          <w:tcPr>
            <w:tcW w:w="938" w:type="pct"/>
            <w:tcBorders>
              <w:top w:val="single" w:sz="12" w:space="0" w:color="auto"/>
              <w:bottom w:val="single" w:sz="6" w:space="0" w:color="auto"/>
            </w:tcBorders>
          </w:tcPr>
          <w:p w14:paraId="487FB07A" w14:textId="3EBB2548" w:rsidR="00661652" w:rsidRPr="008442C0" w:rsidRDefault="00661652" w:rsidP="00A310A7">
            <w:pPr>
              <w:spacing w:line="480" w:lineRule="auto"/>
              <w:rPr>
                <w:rFonts w:ascii="Calibri" w:hAnsi="Calibri" w:cs="Calibri"/>
                <w:sz w:val="24"/>
                <w:szCs w:val="24"/>
              </w:rPr>
            </w:pPr>
            <w:r w:rsidRPr="008442C0">
              <w:rPr>
                <w:rFonts w:ascii="Calibri" w:hAnsi="Calibri" w:cs="Calibri"/>
                <w:sz w:val="24"/>
                <w:szCs w:val="24"/>
              </w:rPr>
              <w:t>Precursor ion (m/z)</w:t>
            </w:r>
          </w:p>
        </w:tc>
        <w:tc>
          <w:tcPr>
            <w:tcW w:w="940" w:type="pct"/>
            <w:tcBorders>
              <w:top w:val="single" w:sz="12" w:space="0" w:color="auto"/>
              <w:bottom w:val="single" w:sz="6" w:space="0" w:color="auto"/>
            </w:tcBorders>
          </w:tcPr>
          <w:p w14:paraId="65A21B73" w14:textId="7A6A2353" w:rsidR="00661652" w:rsidRPr="008442C0" w:rsidRDefault="00661652" w:rsidP="00A310A7">
            <w:pPr>
              <w:spacing w:line="480" w:lineRule="auto"/>
              <w:rPr>
                <w:rFonts w:ascii="Calibri" w:hAnsi="Calibri" w:cs="Calibri"/>
                <w:sz w:val="24"/>
                <w:szCs w:val="24"/>
              </w:rPr>
            </w:pPr>
            <w:r w:rsidRPr="008442C0">
              <w:rPr>
                <w:rFonts w:ascii="Calibri" w:hAnsi="Calibri" w:cs="Calibri"/>
                <w:sz w:val="24"/>
                <w:szCs w:val="24"/>
              </w:rPr>
              <w:t>Product ion (m/z)</w:t>
            </w:r>
          </w:p>
        </w:tc>
        <w:tc>
          <w:tcPr>
            <w:tcW w:w="1034" w:type="pct"/>
            <w:tcBorders>
              <w:top w:val="single" w:sz="12" w:space="0" w:color="auto"/>
              <w:bottom w:val="single" w:sz="6" w:space="0" w:color="auto"/>
            </w:tcBorders>
          </w:tcPr>
          <w:p w14:paraId="1703F088" w14:textId="1A46D152" w:rsidR="00661652" w:rsidRPr="008442C0" w:rsidRDefault="00661652" w:rsidP="00A310A7">
            <w:pPr>
              <w:spacing w:line="480" w:lineRule="auto"/>
              <w:rPr>
                <w:rFonts w:ascii="Calibri" w:hAnsi="Calibri" w:cs="Calibri"/>
                <w:sz w:val="24"/>
                <w:szCs w:val="24"/>
              </w:rPr>
            </w:pPr>
            <w:r w:rsidRPr="008442C0">
              <w:rPr>
                <w:rFonts w:ascii="Calibri" w:hAnsi="Calibri" w:cs="Calibri"/>
                <w:sz w:val="24"/>
                <w:szCs w:val="24"/>
              </w:rPr>
              <w:t>Declustering voltage (V)</w:t>
            </w:r>
          </w:p>
        </w:tc>
        <w:tc>
          <w:tcPr>
            <w:tcW w:w="979" w:type="pct"/>
            <w:tcBorders>
              <w:top w:val="single" w:sz="12" w:space="0" w:color="auto"/>
              <w:bottom w:val="single" w:sz="6" w:space="0" w:color="auto"/>
            </w:tcBorders>
          </w:tcPr>
          <w:p w14:paraId="0D2F5E83" w14:textId="44E626DF" w:rsidR="00661652" w:rsidRPr="008442C0" w:rsidRDefault="00661652" w:rsidP="00A310A7">
            <w:pPr>
              <w:spacing w:line="480" w:lineRule="auto"/>
              <w:rPr>
                <w:rFonts w:ascii="Calibri" w:hAnsi="Calibri" w:cs="Calibri"/>
                <w:sz w:val="24"/>
                <w:szCs w:val="24"/>
              </w:rPr>
            </w:pPr>
            <w:r w:rsidRPr="008442C0">
              <w:rPr>
                <w:rFonts w:ascii="Calibri" w:hAnsi="Calibri" w:cs="Calibri"/>
                <w:sz w:val="24"/>
                <w:szCs w:val="24"/>
              </w:rPr>
              <w:t>Collision energy (eV)</w:t>
            </w:r>
          </w:p>
        </w:tc>
      </w:tr>
      <w:tr w:rsidR="00661652" w:rsidRPr="008442C0" w14:paraId="75A47884" w14:textId="77777777" w:rsidTr="00661652">
        <w:tc>
          <w:tcPr>
            <w:tcW w:w="1109" w:type="pct"/>
            <w:tcBorders>
              <w:top w:val="single" w:sz="6" w:space="0" w:color="auto"/>
            </w:tcBorders>
          </w:tcPr>
          <w:p w14:paraId="367BF2ED" w14:textId="26A67F42" w:rsidR="00661652" w:rsidRPr="008442C0" w:rsidRDefault="00661652" w:rsidP="00661652">
            <w:pPr>
              <w:spacing w:line="480" w:lineRule="auto"/>
              <w:rPr>
                <w:rFonts w:ascii="Calibri" w:hAnsi="Calibri" w:cs="Calibri"/>
                <w:sz w:val="24"/>
                <w:szCs w:val="24"/>
              </w:rPr>
            </w:pPr>
            <w:r w:rsidRPr="008442C0">
              <w:rPr>
                <w:rFonts w:ascii="Calibri" w:hAnsi="Calibri" w:cs="Calibri"/>
                <w:sz w:val="24"/>
                <w:szCs w:val="24"/>
              </w:rPr>
              <w:t>Meropenem</w:t>
            </w:r>
          </w:p>
        </w:tc>
        <w:tc>
          <w:tcPr>
            <w:tcW w:w="938" w:type="pct"/>
            <w:tcBorders>
              <w:top w:val="single" w:sz="6" w:space="0" w:color="auto"/>
            </w:tcBorders>
          </w:tcPr>
          <w:p w14:paraId="4C23496F" w14:textId="3E617998" w:rsidR="00661652" w:rsidRPr="008442C0" w:rsidRDefault="00661652" w:rsidP="00661652">
            <w:pPr>
              <w:spacing w:line="480" w:lineRule="auto"/>
              <w:rPr>
                <w:rFonts w:ascii="Calibri" w:hAnsi="Calibri" w:cs="Calibri"/>
                <w:sz w:val="24"/>
                <w:szCs w:val="24"/>
              </w:rPr>
            </w:pPr>
            <w:r w:rsidRPr="008442C0">
              <w:rPr>
                <w:rFonts w:ascii="Calibri" w:hAnsi="Calibri" w:cs="Calibri"/>
                <w:sz w:val="24"/>
                <w:szCs w:val="24"/>
              </w:rPr>
              <w:t>384.0</w:t>
            </w:r>
          </w:p>
        </w:tc>
        <w:tc>
          <w:tcPr>
            <w:tcW w:w="940" w:type="pct"/>
            <w:tcBorders>
              <w:top w:val="single" w:sz="6" w:space="0" w:color="auto"/>
            </w:tcBorders>
          </w:tcPr>
          <w:p w14:paraId="00C51147" w14:textId="3C82A2CC" w:rsidR="00661652" w:rsidRPr="008442C0" w:rsidRDefault="00661652" w:rsidP="00661652">
            <w:pPr>
              <w:spacing w:line="480" w:lineRule="auto"/>
              <w:rPr>
                <w:rFonts w:ascii="Calibri" w:hAnsi="Calibri" w:cs="Calibri"/>
                <w:sz w:val="24"/>
                <w:szCs w:val="24"/>
              </w:rPr>
            </w:pPr>
            <w:r w:rsidRPr="008442C0">
              <w:rPr>
                <w:rFonts w:ascii="Calibri" w:hAnsi="Calibri" w:cs="Calibri"/>
                <w:sz w:val="24"/>
                <w:szCs w:val="24"/>
              </w:rPr>
              <w:t>141.0</w:t>
            </w:r>
          </w:p>
        </w:tc>
        <w:tc>
          <w:tcPr>
            <w:tcW w:w="1034" w:type="pct"/>
            <w:tcBorders>
              <w:top w:val="single" w:sz="6" w:space="0" w:color="auto"/>
            </w:tcBorders>
          </w:tcPr>
          <w:p w14:paraId="23347E20" w14:textId="7AAC3922" w:rsidR="00661652" w:rsidRPr="008442C0" w:rsidRDefault="00661652" w:rsidP="00661652">
            <w:pPr>
              <w:spacing w:line="480" w:lineRule="auto"/>
              <w:rPr>
                <w:rFonts w:ascii="Calibri" w:hAnsi="Calibri" w:cs="Calibri"/>
                <w:sz w:val="24"/>
                <w:szCs w:val="24"/>
              </w:rPr>
            </w:pPr>
            <w:r w:rsidRPr="008442C0">
              <w:rPr>
                <w:rFonts w:ascii="Calibri" w:hAnsi="Calibri" w:cs="Calibri"/>
                <w:sz w:val="24"/>
                <w:szCs w:val="24"/>
              </w:rPr>
              <w:t>80</w:t>
            </w:r>
          </w:p>
        </w:tc>
        <w:tc>
          <w:tcPr>
            <w:tcW w:w="979" w:type="pct"/>
            <w:tcBorders>
              <w:top w:val="single" w:sz="6" w:space="0" w:color="auto"/>
            </w:tcBorders>
          </w:tcPr>
          <w:p w14:paraId="2FD76758" w14:textId="3C18C311" w:rsidR="00661652" w:rsidRPr="008442C0" w:rsidRDefault="00661652" w:rsidP="00661652">
            <w:pPr>
              <w:spacing w:line="480" w:lineRule="auto"/>
              <w:rPr>
                <w:rFonts w:ascii="Calibri" w:hAnsi="Calibri" w:cs="Calibri"/>
                <w:sz w:val="24"/>
                <w:szCs w:val="24"/>
              </w:rPr>
            </w:pPr>
            <w:r w:rsidRPr="008442C0">
              <w:rPr>
                <w:rFonts w:ascii="Calibri" w:hAnsi="Calibri" w:cs="Calibri"/>
                <w:sz w:val="24"/>
                <w:szCs w:val="24"/>
              </w:rPr>
              <w:t>18</w:t>
            </w:r>
          </w:p>
        </w:tc>
      </w:tr>
      <w:tr w:rsidR="00661652" w:rsidRPr="008442C0" w14:paraId="3B2C13A9" w14:textId="77777777" w:rsidTr="00661652">
        <w:tc>
          <w:tcPr>
            <w:tcW w:w="1109" w:type="pct"/>
            <w:tcBorders>
              <w:bottom w:val="single" w:sz="12" w:space="0" w:color="auto"/>
            </w:tcBorders>
          </w:tcPr>
          <w:p w14:paraId="41B04478" w14:textId="037670A0" w:rsidR="00661652" w:rsidRPr="008442C0" w:rsidRDefault="00661652" w:rsidP="00661652">
            <w:pPr>
              <w:spacing w:line="480" w:lineRule="auto"/>
              <w:rPr>
                <w:rFonts w:ascii="Calibri" w:hAnsi="Calibri" w:cs="Calibri"/>
                <w:sz w:val="24"/>
                <w:szCs w:val="24"/>
              </w:rPr>
            </w:pPr>
            <w:r w:rsidRPr="008442C0">
              <w:rPr>
                <w:rFonts w:ascii="Calibri" w:hAnsi="Calibri" w:cs="Calibri"/>
                <w:sz w:val="24"/>
                <w:szCs w:val="24"/>
              </w:rPr>
              <w:t>Meropenem -d6</w:t>
            </w:r>
          </w:p>
        </w:tc>
        <w:tc>
          <w:tcPr>
            <w:tcW w:w="938" w:type="pct"/>
            <w:tcBorders>
              <w:bottom w:val="single" w:sz="12" w:space="0" w:color="auto"/>
            </w:tcBorders>
          </w:tcPr>
          <w:p w14:paraId="223F9007" w14:textId="1D002471" w:rsidR="00661652" w:rsidRPr="008442C0" w:rsidRDefault="00661652" w:rsidP="00661652">
            <w:pPr>
              <w:spacing w:line="480" w:lineRule="auto"/>
              <w:rPr>
                <w:rFonts w:ascii="Calibri" w:hAnsi="Calibri" w:cs="Calibri"/>
                <w:sz w:val="24"/>
                <w:szCs w:val="24"/>
              </w:rPr>
            </w:pPr>
            <w:r w:rsidRPr="008442C0">
              <w:rPr>
                <w:rFonts w:ascii="Calibri" w:hAnsi="Calibri" w:cs="Calibri"/>
                <w:sz w:val="24"/>
                <w:szCs w:val="24"/>
              </w:rPr>
              <w:t>390.0</w:t>
            </w:r>
          </w:p>
        </w:tc>
        <w:tc>
          <w:tcPr>
            <w:tcW w:w="940" w:type="pct"/>
            <w:tcBorders>
              <w:bottom w:val="single" w:sz="12" w:space="0" w:color="auto"/>
            </w:tcBorders>
          </w:tcPr>
          <w:p w14:paraId="7B852D9D" w14:textId="2982BE8C" w:rsidR="00661652" w:rsidRPr="008442C0" w:rsidRDefault="00661652" w:rsidP="00661652">
            <w:pPr>
              <w:spacing w:line="480" w:lineRule="auto"/>
              <w:rPr>
                <w:rFonts w:ascii="Calibri" w:hAnsi="Calibri" w:cs="Calibri"/>
                <w:sz w:val="24"/>
                <w:szCs w:val="24"/>
              </w:rPr>
            </w:pPr>
            <w:r w:rsidRPr="008442C0">
              <w:rPr>
                <w:rFonts w:ascii="Calibri" w:hAnsi="Calibri" w:cs="Calibri"/>
                <w:sz w:val="24"/>
                <w:szCs w:val="24"/>
              </w:rPr>
              <w:t>147.0</w:t>
            </w:r>
          </w:p>
        </w:tc>
        <w:tc>
          <w:tcPr>
            <w:tcW w:w="1034" w:type="pct"/>
            <w:tcBorders>
              <w:bottom w:val="single" w:sz="12" w:space="0" w:color="auto"/>
            </w:tcBorders>
          </w:tcPr>
          <w:p w14:paraId="3F33CE68" w14:textId="17D4BCE1" w:rsidR="00661652" w:rsidRPr="008442C0" w:rsidRDefault="00661652" w:rsidP="00661652">
            <w:pPr>
              <w:spacing w:line="480" w:lineRule="auto"/>
              <w:rPr>
                <w:rFonts w:ascii="Calibri" w:hAnsi="Calibri" w:cs="Calibri"/>
                <w:sz w:val="24"/>
                <w:szCs w:val="24"/>
              </w:rPr>
            </w:pPr>
            <w:r w:rsidRPr="008442C0">
              <w:rPr>
                <w:rFonts w:ascii="Calibri" w:hAnsi="Calibri" w:cs="Calibri"/>
                <w:sz w:val="24"/>
                <w:szCs w:val="24"/>
              </w:rPr>
              <w:t>80</w:t>
            </w:r>
          </w:p>
        </w:tc>
        <w:tc>
          <w:tcPr>
            <w:tcW w:w="979" w:type="pct"/>
            <w:tcBorders>
              <w:bottom w:val="single" w:sz="12" w:space="0" w:color="auto"/>
            </w:tcBorders>
          </w:tcPr>
          <w:p w14:paraId="418234B0" w14:textId="575ECA2B" w:rsidR="00661652" w:rsidRPr="008442C0" w:rsidRDefault="00661652" w:rsidP="00661652">
            <w:pPr>
              <w:spacing w:line="480" w:lineRule="auto"/>
              <w:rPr>
                <w:rFonts w:ascii="Calibri" w:hAnsi="Calibri" w:cs="Calibri"/>
                <w:sz w:val="24"/>
                <w:szCs w:val="24"/>
              </w:rPr>
            </w:pPr>
            <w:r w:rsidRPr="008442C0">
              <w:rPr>
                <w:rFonts w:ascii="Calibri" w:hAnsi="Calibri" w:cs="Calibri"/>
                <w:sz w:val="24"/>
                <w:szCs w:val="24"/>
              </w:rPr>
              <w:t>20</w:t>
            </w:r>
          </w:p>
        </w:tc>
      </w:tr>
    </w:tbl>
    <w:p w14:paraId="6E6C9D6E" w14:textId="38C1DDF6" w:rsidR="00661652" w:rsidRPr="008442C0" w:rsidRDefault="00661652" w:rsidP="00A310A7">
      <w:pPr>
        <w:spacing w:line="480" w:lineRule="auto"/>
        <w:ind w:firstLineChars="100" w:firstLine="240"/>
        <w:rPr>
          <w:rFonts w:ascii="Calibri" w:hAnsi="Calibri" w:cs="Calibri"/>
          <w:sz w:val="24"/>
          <w:szCs w:val="24"/>
        </w:rPr>
      </w:pPr>
    </w:p>
    <w:p w14:paraId="4B80D227" w14:textId="1B716BFC" w:rsidR="002375F1" w:rsidRPr="008442C0" w:rsidRDefault="002375F1" w:rsidP="00B15204">
      <w:pPr>
        <w:spacing w:line="480" w:lineRule="auto"/>
        <w:rPr>
          <w:rFonts w:ascii="Calibri" w:hAnsi="Calibri" w:cs="Calibri"/>
          <w:sz w:val="24"/>
          <w:szCs w:val="24"/>
        </w:rPr>
      </w:pPr>
      <w:r w:rsidRPr="008442C0">
        <w:rPr>
          <w:rFonts w:ascii="Calibri" w:hAnsi="Calibri" w:cs="Calibri"/>
          <w:b/>
          <w:bCs/>
          <w:sz w:val="24"/>
          <w:szCs w:val="24"/>
        </w:rPr>
        <w:t xml:space="preserve">1.5. </w:t>
      </w:r>
      <w:r w:rsidRPr="008442C0">
        <w:rPr>
          <w:rFonts w:ascii="Calibri" w:hAnsi="Calibri" w:cs="Calibri"/>
          <w:sz w:val="24"/>
          <w:szCs w:val="24"/>
        </w:rPr>
        <w:t>Preparation of standard solution</w:t>
      </w:r>
    </w:p>
    <w:p w14:paraId="192CBDEE" w14:textId="257A4E63" w:rsidR="002375F1" w:rsidRPr="008442C0" w:rsidRDefault="002375F1" w:rsidP="00A310A7">
      <w:pPr>
        <w:spacing w:line="480" w:lineRule="auto"/>
        <w:ind w:firstLineChars="100" w:firstLine="240"/>
        <w:rPr>
          <w:rFonts w:ascii="Calibri" w:hAnsi="Calibri" w:cs="Calibri"/>
          <w:sz w:val="24"/>
          <w:szCs w:val="24"/>
        </w:rPr>
      </w:pPr>
      <w:r w:rsidRPr="008442C0">
        <w:rPr>
          <w:rFonts w:ascii="Calibri" w:hAnsi="Calibri" w:cs="Calibri"/>
          <w:sz w:val="24"/>
          <w:szCs w:val="24"/>
        </w:rPr>
        <w:t>reparation of standard and quality control solutions: Accurately weigh 10 mg of meropenem reference standard in a 10 mL volumetric flask. Dissolve it in acetonitrile-water (50/50, v/v) and dilute to the mark, shake well, and prepare a 1 mg/mL meropenem stock solution. Take appropriate amounts of the stock solution and dilute with blank plasma to obtain standard series solutions with meropenem plasma concentrations of 0.5, 1, 2, 5, 10, 20, 30, and 50 μg/mL respectively, as required for the standard curve. Take suitable amounts of the stock solution and dilute with blank plasma to prepare low, medium</w:t>
      </w:r>
      <w:r w:rsidR="00EF6638" w:rsidRPr="008442C0">
        <w:rPr>
          <w:rFonts w:ascii="Calibri" w:hAnsi="Calibri" w:cs="Calibri"/>
          <w:sz w:val="24"/>
          <w:szCs w:val="24"/>
        </w:rPr>
        <w:t xml:space="preserve">, </w:t>
      </w:r>
      <w:r w:rsidRPr="008442C0">
        <w:rPr>
          <w:rFonts w:ascii="Calibri" w:hAnsi="Calibri" w:cs="Calibri"/>
          <w:sz w:val="24"/>
          <w:szCs w:val="24"/>
        </w:rPr>
        <w:t>and high quality control solutions with meropenem plasma concentrations of 1.5, 8, and 40 μg/mL, respectively, as required for the quality control samples. Preparation of internal standard solution: Accurately weigh 1 mg of meropenem-d6 reference standard, add 1 mL of acetonitrile-water (50/50, v/v), dissolve and mix well, and prepare a 1 mg/mL meropenem-d6 stock solution. Store it in a refrigerator at -20°C for later use. Dilute the internal standard stock solution to a concentration of 10 μg/mL to obtain the internal standard solution, which should be stored in a refrigerator at -20°C for later use.</w:t>
      </w:r>
    </w:p>
    <w:p w14:paraId="7EC9BF49" w14:textId="3CEEA72A" w:rsidR="00B15204" w:rsidRPr="008442C0" w:rsidRDefault="00B15204" w:rsidP="00B15204">
      <w:pPr>
        <w:spacing w:line="480" w:lineRule="auto"/>
        <w:rPr>
          <w:rFonts w:ascii="Calibri" w:hAnsi="Calibri" w:cs="Calibri"/>
          <w:sz w:val="24"/>
          <w:szCs w:val="24"/>
        </w:rPr>
      </w:pPr>
      <w:r w:rsidRPr="008442C0">
        <w:rPr>
          <w:rFonts w:ascii="Calibri" w:hAnsi="Calibri" w:cs="Calibri"/>
          <w:b/>
          <w:bCs/>
          <w:sz w:val="24"/>
          <w:szCs w:val="24"/>
        </w:rPr>
        <w:t xml:space="preserve">1.6. </w:t>
      </w:r>
      <w:r w:rsidRPr="008442C0">
        <w:rPr>
          <w:rFonts w:ascii="Calibri" w:hAnsi="Calibri" w:cs="Calibri"/>
          <w:sz w:val="24"/>
          <w:szCs w:val="24"/>
        </w:rPr>
        <w:t>Plasma samples</w:t>
      </w:r>
    </w:p>
    <w:p w14:paraId="69408B7C" w14:textId="2D6B2CE4" w:rsidR="00B15204" w:rsidRPr="008442C0" w:rsidRDefault="00B15204" w:rsidP="00B15204">
      <w:pPr>
        <w:spacing w:line="480" w:lineRule="auto"/>
        <w:ind w:firstLineChars="100" w:firstLine="240"/>
        <w:rPr>
          <w:rFonts w:ascii="Calibri" w:hAnsi="Calibri" w:cs="Calibri"/>
          <w:sz w:val="24"/>
          <w:szCs w:val="24"/>
        </w:rPr>
      </w:pPr>
      <w:r w:rsidRPr="008442C0">
        <w:rPr>
          <w:rFonts w:ascii="Calibri" w:hAnsi="Calibri" w:cs="Calibri"/>
          <w:sz w:val="24"/>
          <w:szCs w:val="24"/>
        </w:rPr>
        <w:t xml:space="preserve">Take several 1.5 mL EP tubes and label them accordingly. Precisely pipette 30 μl of the test plasma sample into each tube. Add 30 μl of the internal standard solution (meropenem-d6, 10 μg/mL) and then add 840 μl of acetonitrile. Mix the contents by vortexing for 5 minutes, then centrifuge at a speed of 13,300 rpm for 5 minutes. Take 2 μl of the supernatant for LC-MS/MS analysis. Representative chromatograms of meropenem and the internal standard are shown in Figure </w:t>
      </w:r>
      <w:r w:rsidR="00CB5C47" w:rsidRPr="008442C0">
        <w:rPr>
          <w:rFonts w:ascii="Calibri" w:hAnsi="Calibri" w:cs="Calibri" w:hint="eastAsia"/>
          <w:sz w:val="24"/>
          <w:szCs w:val="24"/>
        </w:rPr>
        <w:t>S</w:t>
      </w:r>
      <w:r w:rsidRPr="008442C0">
        <w:rPr>
          <w:rFonts w:ascii="Calibri" w:hAnsi="Calibri" w:cs="Calibri"/>
          <w:sz w:val="24"/>
          <w:szCs w:val="24"/>
        </w:rPr>
        <w:t>1.</w:t>
      </w:r>
    </w:p>
    <w:p w14:paraId="694B09F4" w14:textId="22BD50BF" w:rsidR="00B15204" w:rsidRPr="008442C0" w:rsidRDefault="004B6ADC" w:rsidP="004B6ADC">
      <w:pPr>
        <w:spacing w:line="480" w:lineRule="auto"/>
        <w:rPr>
          <w:rFonts w:ascii="Calibri" w:hAnsi="Calibri" w:cs="Calibri"/>
          <w:sz w:val="24"/>
          <w:szCs w:val="24"/>
        </w:rPr>
      </w:pPr>
      <w:r w:rsidRPr="008442C0">
        <w:rPr>
          <w:rFonts w:ascii="Calibri" w:hAnsi="Calibri" w:cs="Calibri" w:hint="eastAsia"/>
          <w:noProof/>
          <w:sz w:val="24"/>
          <w:szCs w:val="24"/>
          <w:lang w:val="en-IN" w:eastAsia="en-IN"/>
        </w:rPr>
        <w:drawing>
          <wp:inline distT="0" distB="0" distL="0" distR="0" wp14:anchorId="53CF67A8" wp14:editId="7BAA80E5">
            <wp:extent cx="5274310" cy="4586605"/>
            <wp:effectExtent l="0" t="0" r="2540" b="4445"/>
            <wp:docPr id="6606806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80689" name="图片 6606806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586605"/>
                    </a:xfrm>
                    <a:prstGeom prst="rect">
                      <a:avLst/>
                    </a:prstGeom>
                  </pic:spPr>
                </pic:pic>
              </a:graphicData>
            </a:graphic>
          </wp:inline>
        </w:drawing>
      </w:r>
    </w:p>
    <w:p w14:paraId="05510150" w14:textId="03A5F32F" w:rsidR="004B6ADC" w:rsidRDefault="004B6ADC" w:rsidP="004B6ADC">
      <w:pPr>
        <w:spacing w:line="480" w:lineRule="auto"/>
        <w:rPr>
          <w:rFonts w:ascii="Calibri" w:hAnsi="Calibri" w:cs="Calibri"/>
          <w:sz w:val="24"/>
          <w:szCs w:val="24"/>
        </w:rPr>
      </w:pPr>
      <w:r w:rsidRPr="008442C0">
        <w:rPr>
          <w:rFonts w:ascii="Calibri" w:hAnsi="Calibri" w:cs="Calibri"/>
          <w:b/>
          <w:bCs/>
          <w:sz w:val="24"/>
          <w:szCs w:val="24"/>
        </w:rPr>
        <w:t xml:space="preserve">Figure </w:t>
      </w:r>
      <w:r w:rsidR="00CB5C47" w:rsidRPr="008442C0">
        <w:rPr>
          <w:rFonts w:ascii="Calibri" w:hAnsi="Calibri" w:cs="Calibri" w:hint="eastAsia"/>
          <w:b/>
          <w:bCs/>
          <w:sz w:val="24"/>
          <w:szCs w:val="24"/>
        </w:rPr>
        <w:t>S</w:t>
      </w:r>
      <w:r w:rsidRPr="008442C0">
        <w:rPr>
          <w:rFonts w:ascii="Calibri" w:hAnsi="Calibri" w:cs="Calibri"/>
          <w:b/>
          <w:bCs/>
          <w:sz w:val="24"/>
          <w:szCs w:val="24"/>
        </w:rPr>
        <w:t>1.</w:t>
      </w:r>
      <w:r w:rsidRPr="008442C0">
        <w:t xml:space="preserve"> </w:t>
      </w:r>
      <w:r w:rsidRPr="008442C0">
        <w:rPr>
          <w:rFonts w:ascii="Calibri" w:hAnsi="Calibri" w:cs="Calibri"/>
          <w:sz w:val="24"/>
          <w:szCs w:val="24"/>
        </w:rPr>
        <w:t xml:space="preserve">Representative chromatographic diagram of meropenem and </w:t>
      </w:r>
      <w:r w:rsidR="00CB5C47" w:rsidRPr="008442C0">
        <w:rPr>
          <w:rFonts w:ascii="Calibri" w:hAnsi="Calibri" w:cs="Calibri"/>
          <w:sz w:val="24"/>
          <w:szCs w:val="24"/>
        </w:rPr>
        <w:t>internal standard</w:t>
      </w:r>
      <w:r w:rsidRPr="008442C0">
        <w:rPr>
          <w:rFonts w:ascii="Calibri" w:hAnsi="Calibri" w:cs="Calibri"/>
          <w:sz w:val="24"/>
          <w:szCs w:val="24"/>
        </w:rPr>
        <w:t xml:space="preserve"> in human plasma.</w:t>
      </w:r>
      <w:r w:rsidRPr="008442C0">
        <w:t xml:space="preserve"> </w:t>
      </w:r>
      <w:r w:rsidRPr="008442C0">
        <w:rPr>
          <w:rFonts w:ascii="Calibri" w:hAnsi="Calibri" w:cs="Calibri"/>
          <w:sz w:val="24"/>
          <w:szCs w:val="24"/>
        </w:rPr>
        <w:t>(A) Blank plasma samples; (B) Blank plasma with internal standard sample (10μg/mL); (C) Blank plasma plus control (0.5μg/mL) and internal standard (10µg/mL) samples; (D) Actual human plasma samples.</w:t>
      </w:r>
    </w:p>
    <w:sectPr w:rsidR="004B6ADC" w:rsidSect="008442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443F5" w14:textId="77777777" w:rsidR="00945CF7" w:rsidRDefault="00945CF7" w:rsidP="006073AB">
      <w:r>
        <w:separator/>
      </w:r>
    </w:p>
  </w:endnote>
  <w:endnote w:type="continuationSeparator" w:id="0">
    <w:p w14:paraId="0F09A0C7" w14:textId="77777777" w:rsidR="00945CF7" w:rsidRDefault="00945CF7" w:rsidP="00607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等线">
    <w:altName w:val="Arial Unicode MS"/>
    <w:charset w:val="86"/>
    <w:family w:val="auto"/>
    <w:pitch w:val="variable"/>
    <w:sig w:usb0="00000000"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823D3" w14:textId="77777777" w:rsidR="00945CF7" w:rsidRDefault="00945CF7" w:rsidP="006073AB">
      <w:r>
        <w:separator/>
      </w:r>
    </w:p>
  </w:footnote>
  <w:footnote w:type="continuationSeparator" w:id="0">
    <w:p w14:paraId="5583BE1C" w14:textId="77777777" w:rsidR="00945CF7" w:rsidRDefault="00945CF7" w:rsidP="006073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D023A"/>
    <w:multiLevelType w:val="hybridMultilevel"/>
    <w:tmpl w:val="360019BC"/>
    <w:lvl w:ilvl="0" w:tplc="FC1EBC44">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nsid w:val="256D0616"/>
    <w:multiLevelType w:val="hybridMultilevel"/>
    <w:tmpl w:val="C542F598"/>
    <w:lvl w:ilvl="0" w:tplc="D9CE321C">
      <w:numFmt w:val="bullet"/>
      <w:lvlText w:val="-"/>
      <w:lvlJc w:val="left"/>
      <w:pPr>
        <w:ind w:left="720" w:hanging="360"/>
      </w:pPr>
      <w:rPr>
        <w:rFonts w:ascii="Calibri" w:eastAsiaTheme="minorEastAsia" w:hAnsi="Calibri" w:cs="Calibri"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2">
    <w:nsid w:val="32AB789B"/>
    <w:multiLevelType w:val="multilevel"/>
    <w:tmpl w:val="44AA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966FB0"/>
    <w:multiLevelType w:val="hybridMultilevel"/>
    <w:tmpl w:val="585E9772"/>
    <w:lvl w:ilvl="0" w:tplc="7B583ED2">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nsid w:val="45465D71"/>
    <w:multiLevelType w:val="hybridMultilevel"/>
    <w:tmpl w:val="5D80780C"/>
    <w:lvl w:ilvl="0" w:tplc="4A6EB348">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86"/>
    <w:rsid w:val="000E43C7"/>
    <w:rsid w:val="00152B21"/>
    <w:rsid w:val="002375F1"/>
    <w:rsid w:val="0025731E"/>
    <w:rsid w:val="002919E5"/>
    <w:rsid w:val="00380AD0"/>
    <w:rsid w:val="00446CDE"/>
    <w:rsid w:val="004B6ADC"/>
    <w:rsid w:val="006073AB"/>
    <w:rsid w:val="00661652"/>
    <w:rsid w:val="008442C0"/>
    <w:rsid w:val="00942886"/>
    <w:rsid w:val="00945CF7"/>
    <w:rsid w:val="00A04344"/>
    <w:rsid w:val="00A102A2"/>
    <w:rsid w:val="00A310A7"/>
    <w:rsid w:val="00AE764B"/>
    <w:rsid w:val="00B15204"/>
    <w:rsid w:val="00C567C7"/>
    <w:rsid w:val="00CB5C47"/>
    <w:rsid w:val="00D35E95"/>
    <w:rsid w:val="00DC5A3D"/>
    <w:rsid w:val="00DC6A8F"/>
    <w:rsid w:val="00EF6638"/>
    <w:rsid w:val="00F04D73"/>
    <w:rsid w:val="00F82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42CEC"/>
  <w15:chartTrackingRefBased/>
  <w15:docId w15:val="{AA7CEB5A-89C7-484C-AF3C-51B26A846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3AB"/>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073AB"/>
    <w:rPr>
      <w:sz w:val="18"/>
      <w:szCs w:val="18"/>
    </w:rPr>
  </w:style>
  <w:style w:type="paragraph" w:styleId="Footer">
    <w:name w:val="footer"/>
    <w:basedOn w:val="Normal"/>
    <w:link w:val="FooterChar"/>
    <w:uiPriority w:val="99"/>
    <w:unhideWhenUsed/>
    <w:rsid w:val="006073A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073AB"/>
    <w:rPr>
      <w:sz w:val="18"/>
      <w:szCs w:val="18"/>
    </w:rPr>
  </w:style>
  <w:style w:type="table" w:styleId="TableGrid">
    <w:name w:val="Table Grid"/>
    <w:basedOn w:val="TableNormal"/>
    <w:uiPriority w:val="39"/>
    <w:rsid w:val="006073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43C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13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1</Pages>
  <Words>707</Words>
  <Characters>4035</Characters>
  <Application>Microsoft Office Word</Application>
  <DocSecurity>0</DocSecurity>
  <Lines>33</Lines>
  <Paragraphs>9</Paragraphs>
  <ScaleCrop>false</ScaleCrop>
  <Company/>
  <LinksUpToDate>false</LinksUpToDate>
  <CharactersWithSpaces>4733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友泉 王</dc:creator>
  <cp:keywords/>
  <dc:description/>
  <cp:lastModifiedBy>Bhuvaneswari R.</cp:lastModifiedBy>
  <cp:revision>16</cp:revision>
  <dcterms:created xsi:type="dcterms:W3CDTF">2023-09-22T02:17:00Z</dcterms:created>
  <dcterms:modified xsi:type="dcterms:W3CDTF">2024-04-30T01:26:00Z</dcterms:modified>
</cp:coreProperties>
</file>