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F46" w:rsidRDefault="000067BE" w:rsidP="002F1B8D">
      <w:r>
        <w:rPr>
          <w:noProof/>
        </w:rPr>
        <w:pict>
          <v:roundrect id="_x0000_s1026" style="position:absolute;margin-left:8.25pt;margin-top:230.25pt;width:19.5pt;height:18.75pt;z-index:251658240" arcsize="10923f">
            <v:textbox>
              <w:txbxContent>
                <w:p w:rsidR="006D58F8" w:rsidRDefault="006D58F8">
                  <w:proofErr w:type="gramStart"/>
                  <w:r>
                    <w:t>a</w:t>
                  </w:r>
                  <w:proofErr w:type="gramEnd"/>
                </w:p>
              </w:txbxContent>
            </v:textbox>
          </v:roundrect>
        </w:pict>
      </w:r>
      <w:r w:rsidR="006D58F8" w:rsidRPr="006D58F8">
        <w:rPr>
          <w:noProof/>
          <w:lang w:val="en-IN" w:eastAsia="en-IN"/>
        </w:rPr>
        <w:drawing>
          <wp:inline distT="0" distB="0" distL="0" distR="0">
            <wp:extent cx="5212080" cy="3200400"/>
            <wp:effectExtent l="19050" t="0" r="26670" b="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D58F8" w:rsidRDefault="000067BE" w:rsidP="006D58F8">
      <w:pPr>
        <w:tabs>
          <w:tab w:val="left" w:pos="3000"/>
        </w:tabs>
      </w:pPr>
      <w:r>
        <w:rPr>
          <w:noProof/>
        </w:rPr>
        <w:pict>
          <v:roundrect id="_x0000_s1027" style="position:absolute;margin-left:8.25pt;margin-top:216.05pt;width:23.25pt;height:21.75pt;z-index:251659264" arcsize="10923f">
            <v:textbox>
              <w:txbxContent>
                <w:p w:rsidR="006D58F8" w:rsidRDefault="006D58F8">
                  <w:proofErr w:type="gramStart"/>
                  <w:r>
                    <w:t>b</w:t>
                  </w:r>
                  <w:proofErr w:type="gramEnd"/>
                </w:p>
              </w:txbxContent>
            </v:textbox>
          </v:roundrect>
        </w:pict>
      </w:r>
      <w:r w:rsidR="006D58F8" w:rsidRPr="006D58F8">
        <w:rPr>
          <w:noProof/>
          <w:lang w:val="en-IN" w:eastAsia="en-IN"/>
        </w:rPr>
        <w:drawing>
          <wp:inline distT="0" distB="0" distL="0" distR="0">
            <wp:extent cx="5238750" cy="3200400"/>
            <wp:effectExtent l="19050" t="0" r="19050" b="0"/>
            <wp:docPr id="2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F1B8D" w:rsidRDefault="000067BE" w:rsidP="006D58F8">
      <w:pPr>
        <w:tabs>
          <w:tab w:val="left" w:pos="3000"/>
        </w:tabs>
      </w:pPr>
      <w:r>
        <w:rPr>
          <w:noProof/>
        </w:rPr>
        <w:lastRenderedPageBreak/>
        <w:pict>
          <v:roundrect id="_x0000_s1028" style="position:absolute;margin-left:11.25pt;margin-top:222.75pt;width:18pt;height:18.75pt;z-index:251660288" arcsize="10923f">
            <v:textbox>
              <w:txbxContent>
                <w:p w:rsidR="006D58F8" w:rsidRDefault="006D58F8">
                  <w:proofErr w:type="gramStart"/>
                  <w:r>
                    <w:t>c</w:t>
                  </w:r>
                  <w:proofErr w:type="gramEnd"/>
                </w:p>
              </w:txbxContent>
            </v:textbox>
          </v:roundrect>
        </w:pict>
      </w:r>
      <w:r w:rsidR="002F1B8D" w:rsidRPr="002F1B8D">
        <w:rPr>
          <w:noProof/>
          <w:lang w:val="en-IN" w:eastAsia="en-IN"/>
        </w:rPr>
        <w:drawing>
          <wp:inline distT="0" distB="0" distL="0" distR="0">
            <wp:extent cx="5212080" cy="3200400"/>
            <wp:effectExtent l="19050" t="0" r="26670" b="0"/>
            <wp:docPr id="1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F1B8D" w:rsidRDefault="002F1B8D" w:rsidP="006D58F8">
      <w:pPr>
        <w:tabs>
          <w:tab w:val="left" w:pos="3000"/>
        </w:tabs>
      </w:pPr>
    </w:p>
    <w:p w:rsidR="006D58F8" w:rsidRDefault="00D8516C" w:rsidP="006D58F8">
      <w:pPr>
        <w:tabs>
          <w:tab w:val="left" w:pos="3000"/>
        </w:tabs>
      </w:pPr>
      <w:r w:rsidRPr="00D8516C">
        <w:rPr>
          <w:noProof/>
          <w:lang w:val="en-IN" w:eastAsia="en-IN"/>
        </w:rPr>
        <w:drawing>
          <wp:inline distT="0" distB="0" distL="0" distR="0">
            <wp:extent cx="5238749" cy="3305175"/>
            <wp:effectExtent l="19050" t="0" r="19051" b="0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0067BE">
        <w:rPr>
          <w:noProof/>
        </w:rPr>
        <w:pict>
          <v:roundrect id="_x0000_s1029" style="position:absolute;margin-left:11.25pt;margin-top:233.45pt;width:18pt;height:24pt;z-index:251661312;mso-position-horizontal-relative:text;mso-position-vertical-relative:text" arcsize="10923f">
            <v:textbox>
              <w:txbxContent>
                <w:p w:rsidR="006D58F8" w:rsidRDefault="006D58F8">
                  <w:proofErr w:type="gramStart"/>
                  <w:r>
                    <w:t>d</w:t>
                  </w:r>
                  <w:proofErr w:type="gramEnd"/>
                </w:p>
              </w:txbxContent>
            </v:textbox>
          </v:roundrect>
        </w:pict>
      </w:r>
    </w:p>
    <w:p w:rsidR="006D58F8" w:rsidRPr="00A23161" w:rsidRDefault="006D58F8" w:rsidP="00CD0E68">
      <w:pPr>
        <w:tabs>
          <w:tab w:val="left" w:pos="3375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23161">
        <w:rPr>
          <w:rFonts w:asciiTheme="majorBidi" w:hAnsiTheme="majorBidi" w:cstheme="majorBidi"/>
          <w:sz w:val="24"/>
          <w:szCs w:val="24"/>
        </w:rPr>
        <w:t xml:space="preserve">Fig. </w:t>
      </w:r>
      <w:r>
        <w:rPr>
          <w:rFonts w:asciiTheme="majorBidi" w:hAnsiTheme="majorBidi" w:cstheme="majorBidi"/>
          <w:sz w:val="24"/>
          <w:szCs w:val="24"/>
        </w:rPr>
        <w:t>1</w:t>
      </w:r>
      <w:bookmarkStart w:id="0" w:name="_GoBack"/>
      <w:bookmarkEnd w:id="0"/>
      <w:r w:rsidRPr="00A23161">
        <w:rPr>
          <w:rFonts w:asciiTheme="majorBidi" w:hAnsiTheme="majorBidi" w:cstheme="majorBidi"/>
          <w:sz w:val="24"/>
          <w:szCs w:val="24"/>
        </w:rPr>
        <w:t xml:space="preserve">. </w:t>
      </w:r>
      <w:r w:rsidRPr="007E7F39">
        <w:rPr>
          <w:rFonts w:asciiTheme="majorBidi" w:hAnsiTheme="majorBidi" w:cstheme="majorBidi"/>
          <w:sz w:val="24"/>
          <w:szCs w:val="24"/>
        </w:rPr>
        <w:t xml:space="preserve">Kinetic  adsorption  results  of  </w:t>
      </w:r>
      <w:r>
        <w:rPr>
          <w:rFonts w:asciiTheme="majorBidi" w:hAnsiTheme="majorBidi" w:cstheme="majorBidi"/>
          <w:sz w:val="24"/>
          <w:szCs w:val="24"/>
        </w:rPr>
        <w:t>p</w:t>
      </w:r>
      <w:r w:rsidRPr="00E67264">
        <w:rPr>
          <w:rFonts w:asciiTheme="majorBidi" w:hAnsiTheme="majorBidi" w:cstheme="majorBidi"/>
          <w:sz w:val="24"/>
          <w:szCs w:val="24"/>
        </w:rPr>
        <w:t>seudo-first-order</w:t>
      </w:r>
      <w:r w:rsidRPr="00A231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23161">
        <w:rPr>
          <w:rFonts w:asciiTheme="majorBidi" w:hAnsiTheme="majorBidi" w:cstheme="majorBidi"/>
          <w:sz w:val="24"/>
          <w:szCs w:val="24"/>
        </w:rPr>
        <w:t>plots for the adsorption of  Cu</w:t>
      </w:r>
      <w:r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Pr="00A23161">
        <w:rPr>
          <w:rFonts w:asciiTheme="majorBidi" w:hAnsiTheme="majorBidi" w:cstheme="majorBidi"/>
          <w:sz w:val="24"/>
          <w:szCs w:val="24"/>
        </w:rPr>
        <w:t xml:space="preserve"> and Cd</w:t>
      </w:r>
      <w:r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Pr="00A23161">
        <w:rPr>
          <w:rFonts w:asciiTheme="majorBidi" w:hAnsiTheme="majorBidi" w:cstheme="majorBidi"/>
          <w:sz w:val="24"/>
          <w:szCs w:val="24"/>
        </w:rPr>
        <w:t xml:space="preserve">  ions (a) ,(</w:t>
      </w:r>
      <w:r w:rsidR="002F1B8D">
        <w:rPr>
          <w:rFonts w:asciiTheme="majorBidi" w:hAnsiTheme="majorBidi" w:cstheme="majorBidi"/>
          <w:sz w:val="24"/>
          <w:szCs w:val="24"/>
        </w:rPr>
        <w:t>b</w:t>
      </w:r>
      <w:r w:rsidRPr="00A23161">
        <w:rPr>
          <w:rFonts w:asciiTheme="majorBidi" w:hAnsiTheme="majorBidi" w:cstheme="majorBidi"/>
          <w:sz w:val="24"/>
          <w:szCs w:val="24"/>
        </w:rPr>
        <w:t>) onto the</w:t>
      </w:r>
      <w:r w:rsidR="002F1B8D" w:rsidRPr="002F1B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F1B8D" w:rsidRPr="00A23161">
        <w:rPr>
          <w:rFonts w:asciiTheme="majorBidi" w:hAnsiTheme="majorBidi" w:cstheme="majorBidi"/>
          <w:sz w:val="24"/>
          <w:szCs w:val="24"/>
        </w:rPr>
        <w:t>CS@Fe-PA</w:t>
      </w:r>
      <w:proofErr w:type="spellEnd"/>
      <w:r w:rsidRPr="00A23161">
        <w:rPr>
          <w:rFonts w:asciiTheme="majorBidi" w:hAnsiTheme="majorBidi" w:cstheme="majorBidi"/>
          <w:sz w:val="24"/>
          <w:szCs w:val="24"/>
        </w:rPr>
        <w:t>; and  Cu</w:t>
      </w:r>
      <w:r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Pr="00A23161">
        <w:rPr>
          <w:rFonts w:asciiTheme="majorBidi" w:hAnsiTheme="majorBidi" w:cstheme="majorBidi"/>
          <w:sz w:val="24"/>
          <w:szCs w:val="24"/>
        </w:rPr>
        <w:t xml:space="preserve"> and Cd</w:t>
      </w:r>
      <w:r w:rsidRPr="00A23161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Pr="00A23161">
        <w:rPr>
          <w:rFonts w:asciiTheme="majorBidi" w:hAnsiTheme="majorBidi" w:cstheme="majorBidi"/>
          <w:sz w:val="24"/>
          <w:szCs w:val="24"/>
        </w:rPr>
        <w:t xml:space="preserve">  ions (</w:t>
      </w:r>
      <w:r w:rsidR="002F1B8D">
        <w:rPr>
          <w:rFonts w:asciiTheme="majorBidi" w:hAnsiTheme="majorBidi" w:cstheme="majorBidi"/>
          <w:sz w:val="24"/>
          <w:szCs w:val="24"/>
        </w:rPr>
        <w:t>c</w:t>
      </w:r>
      <w:r w:rsidRPr="00A23161">
        <w:rPr>
          <w:rFonts w:asciiTheme="majorBidi" w:hAnsiTheme="majorBidi" w:cstheme="majorBidi"/>
          <w:sz w:val="24"/>
          <w:szCs w:val="24"/>
        </w:rPr>
        <w:t xml:space="preserve">),(d) onto  </w:t>
      </w:r>
      <w:proofErr w:type="spellStart"/>
      <w:r w:rsidR="002F1B8D" w:rsidRPr="00A23161">
        <w:rPr>
          <w:rFonts w:asciiTheme="majorBidi" w:hAnsiTheme="majorBidi" w:cstheme="majorBidi"/>
          <w:sz w:val="24"/>
          <w:szCs w:val="24"/>
        </w:rPr>
        <w:t>MgO@Pp</w:t>
      </w:r>
      <w:proofErr w:type="spellEnd"/>
      <w:r w:rsidR="00846703">
        <w:rPr>
          <w:rFonts w:asciiTheme="majorBidi" w:hAnsiTheme="majorBidi" w:cstheme="majorBidi"/>
          <w:sz w:val="24"/>
          <w:szCs w:val="24"/>
        </w:rPr>
        <w:t>.</w:t>
      </w:r>
    </w:p>
    <w:p w:rsidR="006D58F8" w:rsidRPr="00ED5152" w:rsidRDefault="006D58F8" w:rsidP="006D58F8">
      <w:pPr>
        <w:jc w:val="center"/>
      </w:pPr>
    </w:p>
    <w:p w:rsidR="006D58F8" w:rsidRDefault="006D58F8" w:rsidP="006D58F8">
      <w:pPr>
        <w:tabs>
          <w:tab w:val="left" w:pos="3000"/>
        </w:tabs>
      </w:pPr>
    </w:p>
    <w:p w:rsidR="006D58F8" w:rsidRDefault="006D58F8" w:rsidP="006D58F8">
      <w:pPr>
        <w:tabs>
          <w:tab w:val="left" w:pos="3000"/>
        </w:tabs>
      </w:pPr>
    </w:p>
    <w:p w:rsidR="006D58F8" w:rsidRPr="006D58F8" w:rsidRDefault="006D58F8" w:rsidP="006D58F8">
      <w:pPr>
        <w:tabs>
          <w:tab w:val="left" w:pos="3000"/>
        </w:tabs>
      </w:pPr>
    </w:p>
    <w:sectPr w:rsidR="006D58F8" w:rsidRPr="006D58F8" w:rsidSect="009B23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58F8"/>
    <w:rsid w:val="00000829"/>
    <w:rsid w:val="0000402A"/>
    <w:rsid w:val="000067BE"/>
    <w:rsid w:val="00061ACB"/>
    <w:rsid w:val="00073C11"/>
    <w:rsid w:val="000776CA"/>
    <w:rsid w:val="000A0AE3"/>
    <w:rsid w:val="000A5F06"/>
    <w:rsid w:val="000D66E4"/>
    <w:rsid w:val="000E1445"/>
    <w:rsid w:val="000F4B82"/>
    <w:rsid w:val="000F4C84"/>
    <w:rsid w:val="00100FE9"/>
    <w:rsid w:val="001576D3"/>
    <w:rsid w:val="0016037B"/>
    <w:rsid w:val="00176BBE"/>
    <w:rsid w:val="00190D23"/>
    <w:rsid w:val="00194135"/>
    <w:rsid w:val="001971AD"/>
    <w:rsid w:val="001B0901"/>
    <w:rsid w:val="001B70E1"/>
    <w:rsid w:val="001C21FE"/>
    <w:rsid w:val="001C6085"/>
    <w:rsid w:val="001E194F"/>
    <w:rsid w:val="001F4E77"/>
    <w:rsid w:val="001F77EA"/>
    <w:rsid w:val="00225CFE"/>
    <w:rsid w:val="002411E7"/>
    <w:rsid w:val="00242734"/>
    <w:rsid w:val="00262B4B"/>
    <w:rsid w:val="00264197"/>
    <w:rsid w:val="0027790E"/>
    <w:rsid w:val="00280181"/>
    <w:rsid w:val="00284A72"/>
    <w:rsid w:val="002854DB"/>
    <w:rsid w:val="002921B9"/>
    <w:rsid w:val="002956B9"/>
    <w:rsid w:val="00296E19"/>
    <w:rsid w:val="002A3237"/>
    <w:rsid w:val="002B66EB"/>
    <w:rsid w:val="002C0B41"/>
    <w:rsid w:val="002D07FE"/>
    <w:rsid w:val="002D1E93"/>
    <w:rsid w:val="002D6496"/>
    <w:rsid w:val="002E0A97"/>
    <w:rsid w:val="002E1A94"/>
    <w:rsid w:val="002F1B8D"/>
    <w:rsid w:val="002F3DDE"/>
    <w:rsid w:val="00301FCF"/>
    <w:rsid w:val="00303E62"/>
    <w:rsid w:val="0033386B"/>
    <w:rsid w:val="00350FAF"/>
    <w:rsid w:val="003641D6"/>
    <w:rsid w:val="003643FD"/>
    <w:rsid w:val="00375625"/>
    <w:rsid w:val="00385CA9"/>
    <w:rsid w:val="00391974"/>
    <w:rsid w:val="003A19BA"/>
    <w:rsid w:val="003A51BF"/>
    <w:rsid w:val="003C31C5"/>
    <w:rsid w:val="003E033E"/>
    <w:rsid w:val="003E7BE3"/>
    <w:rsid w:val="00413B2B"/>
    <w:rsid w:val="0046419A"/>
    <w:rsid w:val="00465382"/>
    <w:rsid w:val="0047170D"/>
    <w:rsid w:val="00472019"/>
    <w:rsid w:val="0047438B"/>
    <w:rsid w:val="004A4504"/>
    <w:rsid w:val="004A5DD6"/>
    <w:rsid w:val="004B0683"/>
    <w:rsid w:val="004B6A25"/>
    <w:rsid w:val="004C75BD"/>
    <w:rsid w:val="004D687D"/>
    <w:rsid w:val="004E23F3"/>
    <w:rsid w:val="004E4284"/>
    <w:rsid w:val="004F603F"/>
    <w:rsid w:val="004F755C"/>
    <w:rsid w:val="005000BF"/>
    <w:rsid w:val="005018D4"/>
    <w:rsid w:val="005266AE"/>
    <w:rsid w:val="0053313B"/>
    <w:rsid w:val="00533956"/>
    <w:rsid w:val="005922AC"/>
    <w:rsid w:val="005A4B9F"/>
    <w:rsid w:val="005A659F"/>
    <w:rsid w:val="005C2E96"/>
    <w:rsid w:val="005C44A8"/>
    <w:rsid w:val="005E4A3A"/>
    <w:rsid w:val="005E72EF"/>
    <w:rsid w:val="005F5E8A"/>
    <w:rsid w:val="0060463C"/>
    <w:rsid w:val="00612250"/>
    <w:rsid w:val="00631FB7"/>
    <w:rsid w:val="00633586"/>
    <w:rsid w:val="006430C4"/>
    <w:rsid w:val="00661D9D"/>
    <w:rsid w:val="00673027"/>
    <w:rsid w:val="006A29DC"/>
    <w:rsid w:val="006B51C8"/>
    <w:rsid w:val="006C4791"/>
    <w:rsid w:val="006D09AC"/>
    <w:rsid w:val="006D58F8"/>
    <w:rsid w:val="006D5B56"/>
    <w:rsid w:val="006D6010"/>
    <w:rsid w:val="00702F3D"/>
    <w:rsid w:val="00705F2D"/>
    <w:rsid w:val="00720D4B"/>
    <w:rsid w:val="00726C37"/>
    <w:rsid w:val="007300B9"/>
    <w:rsid w:val="00731EE3"/>
    <w:rsid w:val="00747497"/>
    <w:rsid w:val="0077238A"/>
    <w:rsid w:val="00772FBA"/>
    <w:rsid w:val="00784D94"/>
    <w:rsid w:val="007C100B"/>
    <w:rsid w:val="007C7C8E"/>
    <w:rsid w:val="007D66A0"/>
    <w:rsid w:val="007E679E"/>
    <w:rsid w:val="007F0F43"/>
    <w:rsid w:val="008271CE"/>
    <w:rsid w:val="0083468E"/>
    <w:rsid w:val="00846703"/>
    <w:rsid w:val="00857D79"/>
    <w:rsid w:val="00875268"/>
    <w:rsid w:val="00885F2B"/>
    <w:rsid w:val="0089017D"/>
    <w:rsid w:val="008A164D"/>
    <w:rsid w:val="008A5831"/>
    <w:rsid w:val="008A69E4"/>
    <w:rsid w:val="008B3A11"/>
    <w:rsid w:val="008B5399"/>
    <w:rsid w:val="008B72ED"/>
    <w:rsid w:val="008B7FE3"/>
    <w:rsid w:val="008C187C"/>
    <w:rsid w:val="008C364F"/>
    <w:rsid w:val="008D03C7"/>
    <w:rsid w:val="008D78FC"/>
    <w:rsid w:val="008F4701"/>
    <w:rsid w:val="00900E54"/>
    <w:rsid w:val="00913A2D"/>
    <w:rsid w:val="0096278A"/>
    <w:rsid w:val="00992B4A"/>
    <w:rsid w:val="009A2041"/>
    <w:rsid w:val="009B1473"/>
    <w:rsid w:val="009B238F"/>
    <w:rsid w:val="009B488A"/>
    <w:rsid w:val="009D3CB5"/>
    <w:rsid w:val="00A10E37"/>
    <w:rsid w:val="00A11D2D"/>
    <w:rsid w:val="00A27537"/>
    <w:rsid w:val="00A45C5C"/>
    <w:rsid w:val="00A55FD3"/>
    <w:rsid w:val="00A562A2"/>
    <w:rsid w:val="00A6049B"/>
    <w:rsid w:val="00A667A3"/>
    <w:rsid w:val="00AA6DE8"/>
    <w:rsid w:val="00AB474B"/>
    <w:rsid w:val="00AC708B"/>
    <w:rsid w:val="00AD11AF"/>
    <w:rsid w:val="00AF3340"/>
    <w:rsid w:val="00AF4537"/>
    <w:rsid w:val="00B03E52"/>
    <w:rsid w:val="00B121E0"/>
    <w:rsid w:val="00B1378B"/>
    <w:rsid w:val="00B260FF"/>
    <w:rsid w:val="00B34627"/>
    <w:rsid w:val="00B46639"/>
    <w:rsid w:val="00B479DA"/>
    <w:rsid w:val="00B55593"/>
    <w:rsid w:val="00B66CF3"/>
    <w:rsid w:val="00B9176E"/>
    <w:rsid w:val="00B94FED"/>
    <w:rsid w:val="00BA46EB"/>
    <w:rsid w:val="00BC11B2"/>
    <w:rsid w:val="00BC2780"/>
    <w:rsid w:val="00BC3483"/>
    <w:rsid w:val="00BD454C"/>
    <w:rsid w:val="00BD7D5D"/>
    <w:rsid w:val="00BE6BE4"/>
    <w:rsid w:val="00BF2AA9"/>
    <w:rsid w:val="00BF33AC"/>
    <w:rsid w:val="00C12CF7"/>
    <w:rsid w:val="00C230D4"/>
    <w:rsid w:val="00C47EF3"/>
    <w:rsid w:val="00C5572E"/>
    <w:rsid w:val="00C57B47"/>
    <w:rsid w:val="00C65789"/>
    <w:rsid w:val="00C6669F"/>
    <w:rsid w:val="00C71BB2"/>
    <w:rsid w:val="00C765E9"/>
    <w:rsid w:val="00CB0E03"/>
    <w:rsid w:val="00CB131D"/>
    <w:rsid w:val="00CC25AD"/>
    <w:rsid w:val="00CC63DD"/>
    <w:rsid w:val="00CD0E68"/>
    <w:rsid w:val="00CD35E0"/>
    <w:rsid w:val="00CD6D7D"/>
    <w:rsid w:val="00CE0069"/>
    <w:rsid w:val="00CE4498"/>
    <w:rsid w:val="00CF408A"/>
    <w:rsid w:val="00D23B24"/>
    <w:rsid w:val="00D34B79"/>
    <w:rsid w:val="00D515FC"/>
    <w:rsid w:val="00D8516C"/>
    <w:rsid w:val="00DA1B78"/>
    <w:rsid w:val="00DA7E05"/>
    <w:rsid w:val="00DB1A23"/>
    <w:rsid w:val="00DC3BFF"/>
    <w:rsid w:val="00DC7B46"/>
    <w:rsid w:val="00DD66B6"/>
    <w:rsid w:val="00E059AA"/>
    <w:rsid w:val="00E13BE8"/>
    <w:rsid w:val="00E20B59"/>
    <w:rsid w:val="00E5402C"/>
    <w:rsid w:val="00E576AE"/>
    <w:rsid w:val="00E62237"/>
    <w:rsid w:val="00E778D6"/>
    <w:rsid w:val="00EA3910"/>
    <w:rsid w:val="00EB4A0E"/>
    <w:rsid w:val="00EC2AEF"/>
    <w:rsid w:val="00ED4919"/>
    <w:rsid w:val="00EE0D14"/>
    <w:rsid w:val="00EE1E59"/>
    <w:rsid w:val="00EE4823"/>
    <w:rsid w:val="00EF7EB3"/>
    <w:rsid w:val="00F04F6F"/>
    <w:rsid w:val="00F07274"/>
    <w:rsid w:val="00F37FDC"/>
    <w:rsid w:val="00F476D5"/>
    <w:rsid w:val="00F51517"/>
    <w:rsid w:val="00F52EB4"/>
    <w:rsid w:val="00F534B6"/>
    <w:rsid w:val="00F63FA3"/>
    <w:rsid w:val="00F67C02"/>
    <w:rsid w:val="00FA0E60"/>
    <w:rsid w:val="00FA53CB"/>
    <w:rsid w:val="00FA6E5D"/>
    <w:rsid w:val="00FD1AE4"/>
    <w:rsid w:val="00FF5D71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2080DC4A-DEF7-4F8E-AF50-85C1E7B8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58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taha%20cu%20chang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taha%20cd-%20chang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SABBA%20cu-changemg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metals\sababbbb\models%20kietic%20taha-sabb\SABBA%20cd-mg-chang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forward val="2"/>
            <c:dispRSqr val="0"/>
            <c:dispEq val="0"/>
          </c:trendline>
          <c:trendline>
            <c:spPr>
              <a:ln>
                <a:prstDash val="sysDot"/>
              </a:ln>
            </c:spPr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0.44226035643242279"/>
                  <c:y val="2.305475504322766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0.014x + 1.484
R² = 0.892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xVal>
            <c:numRef>
              <c:f>'1st order '!$B$3:$B$7</c:f>
              <c:numCache>
                <c:formatCode>General</c:formatCode>
                <c:ptCount val="5"/>
                <c:pt idx="0">
                  <c:v>15</c:v>
                </c:pt>
                <c:pt idx="1">
                  <c:v>30</c:v>
                </c:pt>
                <c:pt idx="2">
                  <c:v>60</c:v>
                </c:pt>
                <c:pt idx="3">
                  <c:v>70</c:v>
                </c:pt>
                <c:pt idx="4">
                  <c:v>120</c:v>
                </c:pt>
              </c:numCache>
            </c:numRef>
          </c:xVal>
          <c:yVal>
            <c:numRef>
              <c:f>'1st order '!$G$3:$G$7</c:f>
              <c:numCache>
                <c:formatCode>0.00</c:formatCode>
                <c:ptCount val="5"/>
                <c:pt idx="0">
                  <c:v>1.5177235948337355</c:v>
                </c:pt>
                <c:pt idx="1">
                  <c:v>1.5204835327407971</c:v>
                </c:pt>
                <c:pt idx="2">
                  <c:v>1.5870258780927893</c:v>
                </c:pt>
                <c:pt idx="3">
                  <c:v>1.6208540778583549</c:v>
                </c:pt>
                <c:pt idx="4">
                  <c:v>1.6872613462435064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2180160"/>
        <c:axId val="882181728"/>
      </c:scatterChart>
      <c:valAx>
        <c:axId val="882180160"/>
        <c:scaling>
          <c:orientation val="minMax"/>
          <c:max val="120"/>
          <c:min val="15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400"/>
                </a:pPr>
                <a:r>
                  <a:rPr lang="en-US" sz="1400"/>
                  <a:t>Time (min)</a:t>
                </a:r>
                <a:endParaRPr lang="en-US" sz="1400" baseline="-25000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81728"/>
        <c:crosses val="autoZero"/>
        <c:crossBetween val="midCat"/>
      </c:valAx>
      <c:valAx>
        <c:axId val="882181728"/>
        <c:scaling>
          <c:orientation val="minMax"/>
          <c:max val="1.7"/>
          <c:min val="1.5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400"/>
                </a:pPr>
                <a:r>
                  <a:rPr lang="en-US" sz="1400"/>
                  <a:t>log (q</a:t>
                </a:r>
                <a:r>
                  <a:rPr lang="en-US" sz="1400" baseline="-25000"/>
                  <a:t>e </a:t>
                </a:r>
                <a:r>
                  <a:rPr lang="en-US" sz="1400" baseline="0"/>
                  <a:t>-q</a:t>
                </a:r>
                <a:r>
                  <a:rPr lang="en-US" sz="1400" baseline="-25000"/>
                  <a:t>t</a:t>
                </a:r>
                <a:r>
                  <a:rPr lang="en-US" sz="1400" baseline="0"/>
                  <a:t>)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33409922717994289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80160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forward val="2"/>
            <c:dispRSqr val="0"/>
            <c:dispEq val="0"/>
          </c:trendline>
          <c:trendline>
            <c:spPr>
              <a:ln>
                <a:prstDash val="sysDot"/>
              </a:ln>
            </c:spPr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0.19235329338065638"/>
                  <c:y val="-3.3775119195371898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0.011x + 1.424
R² = 0.874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xVal>
            <c:numRef>
              <c:f>'1 st'!$G$3:$G$7</c:f>
              <c:numCache>
                <c:formatCode>General</c:formatCode>
                <c:ptCount val="5"/>
                <c:pt idx="0">
                  <c:v>15</c:v>
                </c:pt>
                <c:pt idx="1">
                  <c:v>30</c:v>
                </c:pt>
                <c:pt idx="2">
                  <c:v>60</c:v>
                </c:pt>
                <c:pt idx="3">
                  <c:v>75</c:v>
                </c:pt>
                <c:pt idx="4">
                  <c:v>90</c:v>
                </c:pt>
              </c:numCache>
            </c:numRef>
          </c:xVal>
          <c:yVal>
            <c:numRef>
              <c:f>'1 st'!$F$3:$F$7</c:f>
              <c:numCache>
                <c:formatCode>0.00</c:formatCode>
                <c:ptCount val="5"/>
                <c:pt idx="0">
                  <c:v>1.6522463410033241</c:v>
                </c:pt>
                <c:pt idx="1">
                  <c:v>1.6711450617957404</c:v>
                </c:pt>
                <c:pt idx="2">
                  <c:v>1.6892822144730495</c:v>
                </c:pt>
                <c:pt idx="3">
                  <c:v>1.6969676407440231</c:v>
                </c:pt>
                <c:pt idx="4">
                  <c:v>1.6970548922725739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2181336"/>
        <c:axId val="882179376"/>
      </c:scatterChart>
      <c:valAx>
        <c:axId val="882181336"/>
        <c:scaling>
          <c:orientation val="minMax"/>
          <c:max val="100"/>
          <c:min val="15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400"/>
                </a:pPr>
                <a:r>
                  <a:rPr lang="en-US" sz="1400"/>
                  <a:t>Time (min)</a:t>
                </a:r>
                <a:endParaRPr lang="en-US" sz="1400" baseline="-25000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79376"/>
        <c:crosses val="autoZero"/>
        <c:crossBetween val="midCat"/>
        <c:majorUnit val="10"/>
      </c:valAx>
      <c:valAx>
        <c:axId val="882179376"/>
        <c:scaling>
          <c:orientation val="minMax"/>
          <c:max val="1.72"/>
          <c:min val="1.6300000000000001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400"/>
                </a:pPr>
                <a:r>
                  <a:rPr lang="en-US" sz="1400"/>
                  <a:t>log (q</a:t>
                </a:r>
                <a:r>
                  <a:rPr lang="en-US" sz="1400" baseline="-25000"/>
                  <a:t>e </a:t>
                </a:r>
                <a:r>
                  <a:rPr lang="en-US" sz="1400" baseline="0"/>
                  <a:t>-q</a:t>
                </a:r>
                <a:r>
                  <a:rPr lang="en-US" sz="1400" baseline="-25000"/>
                  <a:t>t</a:t>
                </a:r>
                <a:r>
                  <a:rPr lang="en-US" sz="1400" baseline="0"/>
                  <a:t>)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3340992271799435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81336"/>
        <c:crosses val="autoZero"/>
        <c:crossBetween val="midCat"/>
        <c:majorUnit val="2.0000000000000011E-2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forward val="2"/>
            <c:dispRSqr val="0"/>
            <c:dispEq val="0"/>
          </c:trendline>
          <c:trendline>
            <c:spPr>
              <a:ln>
                <a:prstDash val="sysDot"/>
              </a:ln>
            </c:spPr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0.24334626453758443"/>
                  <c:y val="-4.459188999069651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0.008x + 1.638
R² = 0.926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xVal>
            <c:numRef>
              <c:f>'1st order '!$B$3:$B$7</c:f>
              <c:numCache>
                <c:formatCode>General</c:formatCode>
                <c:ptCount val="5"/>
                <c:pt idx="0">
                  <c:v>15</c:v>
                </c:pt>
                <c:pt idx="1">
                  <c:v>30</c:v>
                </c:pt>
                <c:pt idx="2">
                  <c:v>60</c:v>
                </c:pt>
                <c:pt idx="3">
                  <c:v>70</c:v>
                </c:pt>
                <c:pt idx="4">
                  <c:v>90</c:v>
                </c:pt>
              </c:numCache>
            </c:numRef>
          </c:xVal>
          <c:yVal>
            <c:numRef>
              <c:f>'1st order '!$G$3:$G$7</c:f>
              <c:numCache>
                <c:formatCode>0.00</c:formatCode>
                <c:ptCount val="5"/>
                <c:pt idx="0">
                  <c:v>1.6201360549737609</c:v>
                </c:pt>
                <c:pt idx="1">
                  <c:v>1.6473829701146201</c:v>
                </c:pt>
                <c:pt idx="2">
                  <c:v>1.667452952889954</c:v>
                </c:pt>
                <c:pt idx="3">
                  <c:v>1.6776069527204918</c:v>
                </c:pt>
                <c:pt idx="4">
                  <c:v>1.6785183790401141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2178592"/>
        <c:axId val="882180552"/>
      </c:scatterChart>
      <c:valAx>
        <c:axId val="882178592"/>
        <c:scaling>
          <c:orientation val="minMax"/>
          <c:max val="92"/>
          <c:min val="15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400"/>
                </a:pPr>
                <a:r>
                  <a:rPr lang="en-US" sz="1400"/>
                  <a:t>Time (min)</a:t>
                </a:r>
                <a:endParaRPr lang="en-US" sz="1400" baseline="-25000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80552"/>
        <c:crosses val="autoZero"/>
        <c:crossBetween val="midCat"/>
      </c:valAx>
      <c:valAx>
        <c:axId val="882180552"/>
        <c:scaling>
          <c:orientation val="minMax"/>
          <c:min val="1.6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400"/>
                </a:pPr>
                <a:r>
                  <a:rPr lang="en-US" sz="1400"/>
                  <a:t>log (q</a:t>
                </a:r>
                <a:r>
                  <a:rPr lang="en-US" sz="1400" baseline="-25000"/>
                  <a:t>e </a:t>
                </a:r>
                <a:r>
                  <a:rPr lang="en-US" sz="1400" baseline="0"/>
                  <a:t>-q</a:t>
                </a:r>
                <a:r>
                  <a:rPr lang="en-US" sz="1400" baseline="-25000"/>
                  <a:t>t</a:t>
                </a:r>
                <a:r>
                  <a:rPr lang="en-US" sz="1400" baseline="0"/>
                  <a:t>)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33409922717994273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7859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forward val="2"/>
            <c:dispRSqr val="0"/>
            <c:dispEq val="0"/>
          </c:trendline>
          <c:trendline>
            <c:spPr>
              <a:ln>
                <a:prstDash val="sysDot"/>
              </a:ln>
            </c:spPr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0.27486142206851294"/>
                  <c:y val="-8.0244767674933992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sz="1200" b="1" baseline="0"/>
                      <a:t>y = 0.026x + 1.419
R² = 0.844</a:t>
                    </a:r>
                    <a:endParaRPr lang="en-US" sz="1200" b="1"/>
                  </a:p>
                </c:rich>
              </c:tx>
              <c:numFmt formatCode="General" sourceLinked="0"/>
            </c:trendlineLbl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xVal>
            <c:numRef>
              <c:f>'1st order '!$B$3:$B$8</c:f>
              <c:numCache>
                <c:formatCode>General</c:formatCode>
                <c:ptCount val="6"/>
                <c:pt idx="0">
                  <c:v>15</c:v>
                </c:pt>
                <c:pt idx="1">
                  <c:v>30</c:v>
                </c:pt>
                <c:pt idx="2">
                  <c:v>60</c:v>
                </c:pt>
                <c:pt idx="3">
                  <c:v>70</c:v>
                </c:pt>
                <c:pt idx="4">
                  <c:v>90</c:v>
                </c:pt>
                <c:pt idx="5">
                  <c:v>120</c:v>
                </c:pt>
              </c:numCache>
            </c:numRef>
          </c:xVal>
          <c:yVal>
            <c:numRef>
              <c:f>'1st order '!$G$3:$G$8</c:f>
              <c:numCache>
                <c:formatCode>0.00</c:formatCode>
                <c:ptCount val="6"/>
                <c:pt idx="0">
                  <c:v>1.6454222693490919</c:v>
                </c:pt>
                <c:pt idx="1">
                  <c:v>1.6665179805548811</c:v>
                </c:pt>
                <c:pt idx="2">
                  <c:v>1.6803355134145634</c:v>
                </c:pt>
                <c:pt idx="3">
                  <c:v>1.68304703823885</c:v>
                </c:pt>
                <c:pt idx="4">
                  <c:v>1.6893088591236203</c:v>
                </c:pt>
                <c:pt idx="5">
                  <c:v>1.6910814921229682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2178984"/>
        <c:axId val="897718584"/>
      </c:scatterChart>
      <c:valAx>
        <c:axId val="882178984"/>
        <c:scaling>
          <c:orientation val="minMax"/>
          <c:max val="120"/>
          <c:min val="15"/>
        </c:scaling>
        <c:delete val="0"/>
        <c:axPos val="b"/>
        <c:title>
          <c:tx>
            <c:rich>
              <a:bodyPr/>
              <a:lstStyle/>
              <a:p>
                <a:pPr>
                  <a:defRPr lang="ar-EG" sz="1400"/>
                </a:pPr>
                <a:r>
                  <a:rPr lang="en-US" sz="1400"/>
                  <a:t>Time (min)</a:t>
                </a:r>
                <a:endParaRPr lang="en-US" sz="1400" baseline="-25000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97718584"/>
        <c:crosses val="autoZero"/>
        <c:crossBetween val="midCat"/>
      </c:valAx>
      <c:valAx>
        <c:axId val="897718584"/>
        <c:scaling>
          <c:orientation val="minMax"/>
          <c:max val="1.71"/>
          <c:min val="1.6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ar-EG" sz="1400"/>
                </a:pPr>
                <a:r>
                  <a:rPr lang="en-US" sz="1400"/>
                  <a:t>log (q</a:t>
                </a:r>
                <a:r>
                  <a:rPr lang="en-US" sz="1400" baseline="-25000"/>
                  <a:t>e </a:t>
                </a:r>
                <a:r>
                  <a:rPr lang="en-US" sz="1400" baseline="0"/>
                  <a:t>-q</a:t>
                </a:r>
                <a:r>
                  <a:rPr lang="en-US" sz="1400" baseline="-25000"/>
                  <a:t>t</a:t>
                </a:r>
                <a:r>
                  <a:rPr lang="en-US" sz="1400" baseline="0"/>
                  <a:t>)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33409922717994023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lang="ar-EG"/>
            </a:pPr>
            <a:endParaRPr lang="en-US"/>
          </a:p>
        </c:txPr>
        <c:crossAx val="882178984"/>
        <c:crosses val="autoZero"/>
        <c:crossBetween val="midCat"/>
        <c:majorUnit val="2.0000000000000011E-2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Mohamed M</cp:lastModifiedBy>
  <cp:revision>4</cp:revision>
  <dcterms:created xsi:type="dcterms:W3CDTF">2023-11-15T19:14:00Z</dcterms:created>
  <dcterms:modified xsi:type="dcterms:W3CDTF">2024-05-10T01:47:00Z</dcterms:modified>
</cp:coreProperties>
</file>