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A81CA" w14:textId="555CB87E" w:rsidR="003B581B" w:rsidRPr="003B581B" w:rsidRDefault="003B581B" w:rsidP="003B5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inorHAnsi" w:eastAsia="Arial" w:hAnsiTheme="minorHAnsi" w:cstheme="minorHAnsi"/>
          <w:b/>
          <w:kern w:val="0"/>
          <w:sz w:val="28"/>
          <w:szCs w:val="28"/>
          <w:lang w:eastAsia="en-US"/>
        </w:rPr>
      </w:pPr>
      <w:r w:rsidRPr="003B581B">
        <w:rPr>
          <w:rFonts w:asciiTheme="minorHAnsi" w:eastAsia="Arial" w:hAnsiTheme="minorHAnsi" w:cstheme="minorHAnsi"/>
          <w:b/>
          <w:kern w:val="0"/>
          <w:sz w:val="28"/>
          <w:szCs w:val="28"/>
          <w:lang w:eastAsia="en-US"/>
        </w:rPr>
        <w:t>Supplementary Material</w:t>
      </w:r>
    </w:p>
    <w:p w14:paraId="6D9BB155" w14:textId="77777777" w:rsidR="009A0CA8" w:rsidRDefault="009A0CA8" w:rsidP="009A0CA8">
      <w:pPr>
        <w:jc w:val="center"/>
        <w:rPr>
          <w:rFonts w:asciiTheme="minorHAnsi" w:eastAsia="Arial" w:hAnsiTheme="minorHAnsi" w:cstheme="minorHAnsi"/>
          <w:b/>
          <w:kern w:val="0"/>
          <w:sz w:val="24"/>
          <w:szCs w:val="24"/>
          <w:lang w:eastAsia="en-US"/>
        </w:rPr>
      </w:pPr>
      <w:r w:rsidRPr="009A0CA8">
        <w:rPr>
          <w:rFonts w:asciiTheme="minorHAnsi" w:eastAsia="Arial" w:hAnsiTheme="minorHAnsi" w:cstheme="minorHAnsi"/>
          <w:b/>
          <w:kern w:val="0"/>
          <w:sz w:val="24"/>
          <w:szCs w:val="24"/>
          <w:lang w:eastAsia="en-US"/>
        </w:rPr>
        <w:t>Uncertainty Quantification in Multivariable Regression for Material Property Prediction with Bayesian Neural Networks</w:t>
      </w:r>
    </w:p>
    <w:p w14:paraId="7819A908" w14:textId="13C5F018" w:rsidR="009A0CA8" w:rsidRPr="009A0CA8" w:rsidRDefault="009A0CA8" w:rsidP="009A0CA8">
      <w:pPr>
        <w:spacing w:after="240"/>
        <w:jc w:val="center"/>
        <w:rPr>
          <w:rFonts w:asciiTheme="minorHAnsi" w:eastAsia="Arial" w:hAnsiTheme="minorHAnsi" w:cstheme="minorHAnsi"/>
          <w:kern w:val="0"/>
          <w:sz w:val="24"/>
          <w:szCs w:val="24"/>
          <w:lang w:eastAsia="en-US"/>
        </w:rPr>
      </w:pPr>
      <w:r w:rsidRPr="009A0CA8">
        <w:rPr>
          <w:rFonts w:asciiTheme="minorHAnsi" w:hAnsiTheme="minorHAnsi" w:cstheme="minorHAnsi"/>
          <w:i/>
          <w:iCs/>
        </w:rPr>
        <w:t>Longze Li, Jiang Cha</w:t>
      </w:r>
      <w:r w:rsidRPr="009A0CA8">
        <w:rPr>
          <w:rFonts w:asciiTheme="minorHAnsi" w:hAnsiTheme="minorHAnsi" w:cstheme="minorHAnsi"/>
          <w:i/>
          <w:iCs/>
        </w:rPr>
        <w:t>ng</w:t>
      </w:r>
      <w:r w:rsidRPr="009A0CA8">
        <w:rPr>
          <w:rFonts w:asciiTheme="minorHAnsi" w:hAnsiTheme="minorHAnsi" w:cstheme="minorHAnsi"/>
          <w:i/>
          <w:iCs/>
        </w:rPr>
        <w:t>, Aleksandar Vakanski, Yachun Wang, Tiankai Yao, Min Xian</w:t>
      </w:r>
    </w:p>
    <w:p w14:paraId="1F730860" w14:textId="77777777" w:rsidR="003B581B" w:rsidRDefault="003B581B" w:rsidP="009A0CA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rFonts w:asciiTheme="minorHAnsi" w:hAnsiTheme="minorHAnsi" w:cstheme="minorHAnsi"/>
        </w:rPr>
      </w:pPr>
    </w:p>
    <w:p w14:paraId="7781D568" w14:textId="3DBD3A51" w:rsidR="003B581B" w:rsidRPr="003B581B" w:rsidRDefault="003B581B" w:rsidP="003B5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Theme="minorHAnsi" w:hAnsiTheme="minorHAnsi" w:cstheme="minorHAnsi"/>
        </w:rPr>
      </w:pPr>
      <w:r w:rsidRPr="003B581B">
        <w:rPr>
          <w:rFonts w:asciiTheme="minorHAnsi" w:hAnsiTheme="minorHAnsi" w:cstheme="minorHAnsi"/>
        </w:rPr>
        <w:t xml:space="preserve">Figures </w:t>
      </w:r>
      <w:r w:rsidRPr="003B581B">
        <w:rPr>
          <w:rFonts w:asciiTheme="minorHAnsi" w:hAnsiTheme="minorHAnsi" w:cstheme="minorHAnsi"/>
        </w:rPr>
        <w:t>S</w:t>
      </w:r>
      <w:r w:rsidRPr="003B581B">
        <w:rPr>
          <w:rFonts w:asciiTheme="minorHAnsi" w:hAnsiTheme="minorHAnsi" w:cstheme="minorHAnsi"/>
        </w:rPr>
        <w:t xml:space="preserve">.1 to </w:t>
      </w:r>
      <w:r w:rsidRPr="003B581B">
        <w:rPr>
          <w:rFonts w:asciiTheme="minorHAnsi" w:hAnsiTheme="minorHAnsi" w:cstheme="minorHAnsi"/>
        </w:rPr>
        <w:t>S</w:t>
      </w:r>
      <w:r w:rsidRPr="003B581B">
        <w:rPr>
          <w:rFonts w:asciiTheme="minorHAnsi" w:hAnsiTheme="minorHAnsi" w:cstheme="minorHAnsi"/>
        </w:rPr>
        <w:t xml:space="preserve">.3 present the histograms of the input features for the three datasets. </w:t>
      </w:r>
    </w:p>
    <w:p w14:paraId="4645810F" w14:textId="77777777" w:rsidR="003B581B" w:rsidRPr="003B581B" w:rsidRDefault="003B581B" w:rsidP="003B5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Theme="minorHAnsi" w:hAnsiTheme="minorHAnsi" w:cstheme="minorHAnsi"/>
        </w:rPr>
      </w:pPr>
    </w:p>
    <w:p w14:paraId="0B9B7331" w14:textId="2518A6A1" w:rsidR="003B581B" w:rsidRPr="003B581B" w:rsidRDefault="003B581B" w:rsidP="003B5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Theme="minorHAnsi" w:eastAsia="Arial" w:hAnsiTheme="minorHAnsi" w:cstheme="minorHAnsi"/>
          <w:b/>
          <w:kern w:val="0"/>
          <w:sz w:val="28"/>
          <w:szCs w:val="28"/>
          <w:lang w:eastAsia="en-US"/>
        </w:rPr>
      </w:pPr>
      <w:r w:rsidRPr="003B581B">
        <w:rPr>
          <w:rFonts w:asciiTheme="minorHAnsi" w:hAnsiTheme="minorHAnsi" w:cstheme="minorHAnsi"/>
          <w:i/>
          <w:iCs/>
          <w:noProof/>
          <w:sz w:val="20"/>
          <w:szCs w:val="20"/>
          <w14:ligatures w14:val="standardContextual"/>
        </w:rPr>
        <w:drawing>
          <wp:inline distT="0" distB="0" distL="0" distR="0" wp14:anchorId="088A0E86" wp14:editId="00D2AF99">
            <wp:extent cx="5943600" cy="5951855"/>
            <wp:effectExtent l="0" t="0" r="0" b="0"/>
            <wp:docPr id="449980629" name="Picture 1" descr="A collage of blue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980629" name="Picture 1" descr="A collage of blue and white b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5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81B">
        <w:rPr>
          <w:rFonts w:asciiTheme="minorHAnsi" w:hAnsiTheme="minorHAnsi" w:cstheme="minorHAnsi"/>
          <w:b/>
          <w:bCs/>
          <w:i/>
          <w:iCs/>
        </w:rPr>
        <w:t xml:space="preserve"> Figure </w:t>
      </w:r>
      <w:r>
        <w:rPr>
          <w:rFonts w:asciiTheme="minorHAnsi" w:hAnsiTheme="minorHAnsi" w:cstheme="minorHAnsi"/>
          <w:b/>
          <w:bCs/>
          <w:i/>
          <w:iCs/>
        </w:rPr>
        <w:t>S</w:t>
      </w:r>
      <w:r w:rsidRPr="003B581B">
        <w:rPr>
          <w:rFonts w:asciiTheme="minorHAnsi" w:hAnsiTheme="minorHAnsi" w:cstheme="minorHAnsi"/>
          <w:b/>
          <w:bCs/>
          <w:i/>
          <w:iCs/>
        </w:rPr>
        <w:t>.1</w:t>
      </w:r>
      <w:r w:rsidRPr="003B581B">
        <w:rPr>
          <w:rFonts w:asciiTheme="minorHAnsi" w:hAnsiTheme="minorHAnsi" w:cstheme="minorHAnsi"/>
          <w:b/>
          <w:bCs/>
        </w:rPr>
        <w:t xml:space="preserve">. </w:t>
      </w:r>
      <w:r w:rsidRPr="003B581B">
        <w:rPr>
          <w:rFonts w:asciiTheme="minorHAnsi" w:hAnsiTheme="minorHAnsi" w:cstheme="minorHAnsi"/>
          <w:i/>
          <w:iCs/>
          <w:sz w:val="20"/>
          <w:szCs w:val="20"/>
        </w:rPr>
        <w:t>Histograms of the input features for the stainless steel SS316 alloys dataset. “Min”, “Max”, “Mean”, and “Std” represent the minimum, maximum, mean, and standard deviation values, respectively.</w:t>
      </w:r>
    </w:p>
    <w:p w14:paraId="659EE216" w14:textId="77777777" w:rsidR="003B581B" w:rsidRPr="003B581B" w:rsidRDefault="003B581B" w:rsidP="003B581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B581B">
        <w:rPr>
          <w:rFonts w:asciiTheme="minorHAnsi" w:hAnsiTheme="minorHAnsi" w:cstheme="minorHAnsi"/>
          <w:i/>
          <w:i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82CA1C4" wp14:editId="51673E6D">
            <wp:extent cx="5943600" cy="5975985"/>
            <wp:effectExtent l="0" t="0" r="0" b="5715"/>
            <wp:docPr id="1965726802" name="Picture 2" descr="A collage of blue and white b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726802" name="Picture 2" descr="A collage of blue and white bar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4442E" w14:textId="57166971" w:rsidR="003B581B" w:rsidRPr="003B581B" w:rsidRDefault="003B581B" w:rsidP="003B581B">
      <w:pPr>
        <w:rPr>
          <w:rFonts w:asciiTheme="minorHAnsi" w:hAnsiTheme="minorHAnsi" w:cstheme="minorHAnsi"/>
          <w:b/>
          <w:bCs/>
          <w:i/>
          <w:iCs/>
        </w:rPr>
      </w:pPr>
      <w:r w:rsidRPr="003B581B">
        <w:rPr>
          <w:rFonts w:asciiTheme="minorHAnsi" w:hAnsiTheme="minorHAnsi" w:cstheme="minorHAnsi"/>
          <w:b/>
          <w:bCs/>
          <w:i/>
          <w:iCs/>
        </w:rPr>
        <w:t xml:space="preserve">Figure </w:t>
      </w:r>
      <w:r>
        <w:rPr>
          <w:rFonts w:asciiTheme="minorHAnsi" w:hAnsiTheme="minorHAnsi" w:cstheme="minorHAnsi"/>
          <w:b/>
          <w:bCs/>
          <w:i/>
          <w:iCs/>
        </w:rPr>
        <w:t>S</w:t>
      </w:r>
      <w:r w:rsidRPr="003B581B">
        <w:rPr>
          <w:rFonts w:asciiTheme="minorHAnsi" w:hAnsiTheme="minorHAnsi" w:cstheme="minorHAnsi"/>
          <w:b/>
          <w:bCs/>
          <w:i/>
          <w:iCs/>
        </w:rPr>
        <w:t>.2</w:t>
      </w:r>
      <w:r w:rsidRPr="003B581B">
        <w:rPr>
          <w:rFonts w:asciiTheme="minorHAnsi" w:hAnsiTheme="minorHAnsi" w:cstheme="minorHAnsi"/>
          <w:b/>
          <w:bCs/>
        </w:rPr>
        <w:t xml:space="preserve">. </w:t>
      </w:r>
      <w:r w:rsidRPr="003B581B">
        <w:rPr>
          <w:rFonts w:asciiTheme="minorHAnsi" w:hAnsiTheme="minorHAnsi" w:cstheme="minorHAnsi"/>
          <w:i/>
          <w:iCs/>
          <w:sz w:val="20"/>
          <w:szCs w:val="20"/>
        </w:rPr>
        <w:t>Histograms of the input features for the Nickel-based superalloys dataset. “Min”, “Max”, “Mean”, and “Std” represent the minimum, maximum, mean, and standard deviation values, respectively.</w:t>
      </w:r>
    </w:p>
    <w:p w14:paraId="0AC8588E" w14:textId="77777777" w:rsidR="003B581B" w:rsidRPr="003B581B" w:rsidRDefault="003B581B" w:rsidP="003B581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B581B">
        <w:rPr>
          <w:rFonts w:asciiTheme="minorHAnsi" w:hAnsiTheme="minorHAnsi" w:cstheme="minorHAnsi"/>
          <w:i/>
          <w:iCs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2099526C" wp14:editId="5941EE7E">
            <wp:extent cx="5943600" cy="5963920"/>
            <wp:effectExtent l="0" t="0" r="0" b="0"/>
            <wp:docPr id="1915755066" name="Picture 3" descr="A collage of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755066" name="Picture 3" descr="A collage of graph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6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F9E9C5" w14:textId="26301F3D" w:rsidR="003B581B" w:rsidRDefault="003B581B" w:rsidP="003B581B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3B581B">
        <w:rPr>
          <w:rFonts w:asciiTheme="minorHAnsi" w:hAnsiTheme="minorHAnsi" w:cstheme="minorHAnsi"/>
          <w:b/>
          <w:bCs/>
          <w:i/>
          <w:iCs/>
        </w:rPr>
        <w:t xml:space="preserve">Figure </w:t>
      </w:r>
      <w:r>
        <w:rPr>
          <w:rFonts w:asciiTheme="minorHAnsi" w:hAnsiTheme="minorHAnsi" w:cstheme="minorHAnsi"/>
          <w:b/>
          <w:bCs/>
          <w:i/>
          <w:iCs/>
        </w:rPr>
        <w:t>S</w:t>
      </w:r>
      <w:r w:rsidRPr="003B581B">
        <w:rPr>
          <w:rFonts w:asciiTheme="minorHAnsi" w:hAnsiTheme="minorHAnsi" w:cstheme="minorHAnsi"/>
          <w:b/>
          <w:bCs/>
          <w:i/>
          <w:iCs/>
        </w:rPr>
        <w:t>.3</w:t>
      </w:r>
      <w:r w:rsidRPr="003B581B">
        <w:rPr>
          <w:rFonts w:asciiTheme="minorHAnsi" w:hAnsiTheme="minorHAnsi" w:cstheme="minorHAnsi"/>
          <w:b/>
          <w:bCs/>
        </w:rPr>
        <w:t xml:space="preserve">. </w:t>
      </w:r>
      <w:r w:rsidRPr="003B581B">
        <w:rPr>
          <w:rFonts w:asciiTheme="minorHAnsi" w:hAnsiTheme="minorHAnsi" w:cstheme="minorHAnsi"/>
          <w:i/>
          <w:iCs/>
          <w:sz w:val="20"/>
          <w:szCs w:val="20"/>
        </w:rPr>
        <w:t>Histograms of the input features for the Titanium-based alloys dataset. “Min”, “Max”, “Mean”, and “Std” represent the minimum, maximum, mean, and standard deviation values, respectively.</w:t>
      </w:r>
    </w:p>
    <w:p w14:paraId="6980C1E6" w14:textId="77777777" w:rsidR="003B581B" w:rsidRDefault="003B581B" w:rsidP="003B58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Theme="minorHAnsi" w:hAnsiTheme="minorHAnsi" w:cstheme="minorHAnsi"/>
        </w:rPr>
      </w:pPr>
    </w:p>
    <w:p w14:paraId="729EFFA5" w14:textId="77777777" w:rsidR="007F5CDE" w:rsidRDefault="007F5CDE"/>
    <w:sectPr w:rsidR="007F5CDE"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6A815" w14:textId="77777777" w:rsidR="00FC2598" w:rsidRDefault="00FC2598" w:rsidP="003B581B">
      <w:pPr>
        <w:spacing w:after="0" w:line="240" w:lineRule="auto"/>
      </w:pPr>
      <w:r>
        <w:separator/>
      </w:r>
    </w:p>
  </w:endnote>
  <w:endnote w:type="continuationSeparator" w:id="0">
    <w:p w14:paraId="3C7CED6B" w14:textId="77777777" w:rsidR="00FC2598" w:rsidRDefault="00FC2598" w:rsidP="003B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49785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8E2AF1" w14:textId="733D078A" w:rsidR="003B581B" w:rsidRDefault="003B58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487C18" w14:textId="77777777" w:rsidR="003B581B" w:rsidRDefault="003B58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AEA6EB" w14:textId="77777777" w:rsidR="00FC2598" w:rsidRDefault="00FC2598" w:rsidP="003B581B">
      <w:pPr>
        <w:spacing w:after="0" w:line="240" w:lineRule="auto"/>
      </w:pPr>
      <w:r>
        <w:separator/>
      </w:r>
    </w:p>
  </w:footnote>
  <w:footnote w:type="continuationSeparator" w:id="0">
    <w:p w14:paraId="52A841D0" w14:textId="77777777" w:rsidR="00FC2598" w:rsidRDefault="00FC2598" w:rsidP="003B58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IysjAyNjGxNLQ0NDRS0lEKTi0uzszPAykwrAUAjWe6HCwAAAA="/>
  </w:docVars>
  <w:rsids>
    <w:rsidRoot w:val="003B581B"/>
    <w:rsid w:val="00236017"/>
    <w:rsid w:val="003B581B"/>
    <w:rsid w:val="007F5CDE"/>
    <w:rsid w:val="009A0CA8"/>
    <w:rsid w:val="00F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75BE1"/>
  <w15:chartTrackingRefBased/>
  <w15:docId w15:val="{9C997759-1266-45C8-9F69-D11BF52D6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81B"/>
    <w:pPr>
      <w:spacing w:after="120" w:line="252" w:lineRule="auto"/>
      <w:jc w:val="both"/>
    </w:pPr>
    <w:rPr>
      <w:rFonts w:ascii="Calibri" w:eastAsia="Times New Roman" w:hAnsi="Calibri" w:cs="Times New Roman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581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581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581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81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581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581B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581B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581B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581B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5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5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5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8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58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58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58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58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58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581B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B5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581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B5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581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B58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581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B58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5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58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581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B5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81B"/>
    <w:rPr>
      <w:rFonts w:ascii="Calibri" w:eastAsia="Times New Roman" w:hAnsi="Calibri" w:cs="Times New Roman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58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81B"/>
    <w:rPr>
      <w:rFonts w:ascii="Calibri" w:eastAsia="Times New Roman" w:hAnsi="Calibri" w:cs="Times New Roman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3.wdp"/><Relationship Id="rId5" Type="http://schemas.openxmlformats.org/officeDocument/2006/relationships/endnotes" Target="endnotes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microsoft.com/office/2007/relationships/hdphoto" Target="media/hdphoto2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Vakanski, Aleksandar (vakanski@uidaho.edu)</dc:creator>
  <cp:keywords/>
  <dc:description/>
  <cp:lastModifiedBy>Vakanski, Aleksandar (vakanski@uidaho.edu)</cp:lastModifiedBy>
  <cp:revision>2</cp:revision>
  <dcterms:created xsi:type="dcterms:W3CDTF">2024-02-12T16:17:00Z</dcterms:created>
  <dcterms:modified xsi:type="dcterms:W3CDTF">2024-02-12T16:20:00Z</dcterms:modified>
</cp:coreProperties>
</file>