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E20" w:rsidRDefault="00265D11">
      <w:pPr>
        <w:rPr>
          <w:rFonts w:ascii="Times New Roman" w:eastAsia="SimSun" w:hAnsi="Times New Roman" w:cs="Times New Roman"/>
          <w:szCs w:val="22"/>
        </w:rPr>
      </w:pPr>
      <w:bookmarkStart w:id="0" w:name="_GoBack"/>
      <w:r>
        <w:rPr>
          <w:rFonts w:ascii="Times New Roman" w:eastAsia="SimSun" w:hAnsi="Times New Roman" w:cs="Times New Roman"/>
          <w:b/>
          <w:bCs/>
          <w:szCs w:val="22"/>
        </w:rPr>
        <w:t>Supplementary Figure 1: Quality Control and Feature Selection in Single-Cell RNA Sequencing Data of Lung Adenocarcinoma.</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(A)</w:t>
      </w:r>
      <w:r>
        <w:rPr>
          <w:rFonts w:ascii="Times New Roman" w:eastAsia="SimSun" w:hAnsi="Times New Roman" w:cs="Times New Roman"/>
          <w:szCs w:val="22"/>
        </w:rPr>
        <w:t xml:space="preserve"> Scatter plots illustrating the quality control metrics for single-cell RNA sequencing data, including the number of genes detected per cell (</w:t>
      </w:r>
      <w:proofErr w:type="spellStart"/>
      <w:r>
        <w:rPr>
          <w:rFonts w:ascii="Times New Roman" w:eastAsia="SimSun" w:hAnsi="Times New Roman" w:cs="Times New Roman"/>
          <w:szCs w:val="22"/>
        </w:rPr>
        <w:t>nFeature_RNA</w:t>
      </w:r>
      <w:proofErr w:type="spellEnd"/>
      <w:r>
        <w:rPr>
          <w:rFonts w:ascii="Times New Roman" w:eastAsia="SimSun" w:hAnsi="Times New Roman" w:cs="Times New Roman"/>
          <w:szCs w:val="22"/>
        </w:rPr>
        <w:t>), the total counts per cell (</w:t>
      </w:r>
      <w:proofErr w:type="spellStart"/>
      <w:r>
        <w:rPr>
          <w:rFonts w:ascii="Times New Roman" w:eastAsia="SimSun" w:hAnsi="Times New Roman" w:cs="Times New Roman"/>
          <w:szCs w:val="22"/>
        </w:rPr>
        <w:t>nCount_RNA</w:t>
      </w:r>
      <w:proofErr w:type="spellEnd"/>
      <w:r>
        <w:rPr>
          <w:rFonts w:ascii="Times New Roman" w:eastAsia="SimSun" w:hAnsi="Times New Roman" w:cs="Times New Roman"/>
          <w:szCs w:val="22"/>
        </w:rPr>
        <w:t>), the percentage of mitochondrial gene counts (percent.mt), and the percentage of ribosomal gene counts (</w:t>
      </w:r>
      <w:proofErr w:type="spellStart"/>
      <w:r>
        <w:rPr>
          <w:rFonts w:ascii="Times New Roman" w:eastAsia="SimSun" w:hAnsi="Times New Roman" w:cs="Times New Roman"/>
          <w:szCs w:val="22"/>
        </w:rPr>
        <w:t>percent.Ribo</w:t>
      </w:r>
      <w:proofErr w:type="spellEnd"/>
      <w:r>
        <w:rPr>
          <w:rFonts w:ascii="Times New Roman" w:eastAsia="SimSun" w:hAnsi="Times New Roman" w:cs="Times New Roman"/>
          <w:szCs w:val="22"/>
        </w:rPr>
        <w:t>). Each point represents a single cell, with the correlation between these metrics shown.</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(B)</w:t>
      </w:r>
      <w:r>
        <w:rPr>
          <w:rFonts w:ascii="Times New Roman" w:eastAsia="SimSun" w:hAnsi="Times New Roman" w:cs="Times New Roman"/>
          <w:szCs w:val="22"/>
        </w:rPr>
        <w:t xml:space="preserve"> Violin plots representing the distribution of quality control metrics across different cell identities in the dataset, showcasing the variability in gene detection, total counts, mitochondrial gene percentages, and ribosomal gene percentages.</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(C)</w:t>
      </w:r>
      <w:r>
        <w:rPr>
          <w:rFonts w:ascii="Times New Roman" w:eastAsia="SimSun" w:hAnsi="Times New Roman" w:cs="Times New Roman"/>
          <w:szCs w:val="22"/>
        </w:rPr>
        <w:t xml:space="preserve"> Additional violin plots for a subset of cells, focusing on the same quality control metrics, providing a detailed view of the distribution of these features within specific cell populations.</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(D)</w:t>
      </w:r>
      <w:r>
        <w:rPr>
          <w:rFonts w:ascii="Times New Roman" w:eastAsia="SimSun" w:hAnsi="Times New Roman" w:cs="Times New Roman"/>
          <w:szCs w:val="22"/>
        </w:rPr>
        <w:t xml:space="preserve"> Elbow plot depicting the standard deviation of the principal components (PCs), used to determine the number of significant PCs to retain for downstream analysis.</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(E)</w:t>
      </w:r>
      <w:r>
        <w:rPr>
          <w:rFonts w:ascii="Times New Roman" w:eastAsia="SimSun" w:hAnsi="Times New Roman" w:cs="Times New Roman"/>
          <w:szCs w:val="22"/>
        </w:rPr>
        <w:t xml:space="preserve"> Dot plot showing the correlation of different principal components with the quality control metrics, with the size of the dots proportional to the strength of the correlation and the color indicating the specific metric.</w:t>
      </w:r>
    </w:p>
    <w:p w:rsidR="00DB7E20" w:rsidRDefault="00DB7E20">
      <w:pPr>
        <w:rPr>
          <w:rFonts w:ascii="Times New Roman" w:eastAsia="SimSun" w:hAnsi="Times New Roman" w:cs="Times New Roman"/>
          <w:szCs w:val="22"/>
        </w:rPr>
      </w:pPr>
    </w:p>
    <w:p w:rsidR="00DB7E20" w:rsidRDefault="00DB7E20">
      <w:pPr>
        <w:rPr>
          <w:rFonts w:ascii="Times New Roman" w:eastAsia="SimSun" w:hAnsi="Times New Roman" w:cs="Times New Roman"/>
          <w:szCs w:val="22"/>
        </w:rPr>
      </w:pPr>
    </w:p>
    <w:p w:rsidR="00DB7E20" w:rsidRDefault="00265D11">
      <w:pPr>
        <w:rPr>
          <w:rFonts w:ascii="Times New Roman" w:eastAsia="SimSun" w:hAnsi="Times New Roman" w:cs="Times New Roman"/>
          <w:szCs w:val="22"/>
        </w:rPr>
      </w:pPr>
      <w:r>
        <w:rPr>
          <w:rFonts w:ascii="Times New Roman" w:eastAsia="SimSun" w:hAnsi="Times New Roman" w:cs="Times New Roman"/>
          <w:b/>
          <w:bCs/>
          <w:szCs w:val="22"/>
        </w:rPr>
        <w:br/>
        <w:t>Supplementary Figure 2: Gene Expression Profiling and Marker Gene Analysis in Lung Adenocarcinoma Single-Cell RNA Sequencing Data.</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(A)</w:t>
      </w:r>
      <w:r>
        <w:rPr>
          <w:rFonts w:ascii="Times New Roman" w:eastAsia="SimSun" w:hAnsi="Times New Roman" w:cs="Times New Roman"/>
          <w:szCs w:val="22"/>
        </w:rPr>
        <w:t xml:space="preserve"> </w:t>
      </w:r>
      <w:proofErr w:type="spellStart"/>
      <w:r>
        <w:rPr>
          <w:rFonts w:ascii="Times New Roman" w:eastAsia="SimSun" w:hAnsi="Times New Roman" w:cs="Times New Roman"/>
          <w:szCs w:val="22"/>
        </w:rPr>
        <w:t>Heatmap</w:t>
      </w:r>
      <w:proofErr w:type="spellEnd"/>
      <w:r>
        <w:rPr>
          <w:rFonts w:ascii="Times New Roman" w:eastAsia="SimSun" w:hAnsi="Times New Roman" w:cs="Times New Roman"/>
          <w:szCs w:val="22"/>
        </w:rPr>
        <w:t xml:space="preserve"> with hierarchical clustering showing the expression levels of genes across single cells from lung adenocarcinoma samples. The color gradient from blue to red represents the normalized expression levels, with blue indicating lower and red indicating higher expression. Clusters of cells are differentiated by color coding on the </w:t>
      </w:r>
      <w:proofErr w:type="spellStart"/>
      <w:r>
        <w:rPr>
          <w:rFonts w:ascii="Times New Roman" w:eastAsia="SimSun" w:hAnsi="Times New Roman" w:cs="Times New Roman"/>
          <w:szCs w:val="22"/>
        </w:rPr>
        <w:t>dendrogram</w:t>
      </w:r>
      <w:proofErr w:type="spellEnd"/>
      <w:r>
        <w:rPr>
          <w:rFonts w:ascii="Times New Roman" w:eastAsia="SimSun" w:hAnsi="Times New Roman" w:cs="Times New Roman"/>
          <w:szCs w:val="22"/>
        </w:rPr>
        <w:t>.</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(B)</w:t>
      </w:r>
      <w:r>
        <w:rPr>
          <w:rFonts w:ascii="Times New Roman" w:eastAsia="SimSun" w:hAnsi="Times New Roman" w:cs="Times New Roman"/>
          <w:szCs w:val="22"/>
        </w:rPr>
        <w:t xml:space="preserve"> Dot plot representing the top 5 marker genes for each identified cell cluster. Dot size reflects the percentage of cells expressing the gene, and the color intensity represents the average expression level of that gene within the cluster.</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(C)</w:t>
      </w:r>
      <w:r>
        <w:rPr>
          <w:rFonts w:ascii="Times New Roman" w:eastAsia="SimSun" w:hAnsi="Times New Roman" w:cs="Times New Roman"/>
          <w:szCs w:val="22"/>
        </w:rPr>
        <w:t xml:space="preserve"> Bubble chart illustrating the expression levels and ratio of various genes across different cell clusters. The size of the bubbles indicates the proportion of cells within a cluster expressing a given gene (ratio), while the color gradient shows the average expression level (</w:t>
      </w:r>
      <w:proofErr w:type="spellStart"/>
      <w:r>
        <w:rPr>
          <w:rFonts w:ascii="Times New Roman" w:eastAsia="SimSun" w:hAnsi="Times New Roman" w:cs="Times New Roman"/>
          <w:szCs w:val="22"/>
        </w:rPr>
        <w:t>exp</w:t>
      </w:r>
      <w:proofErr w:type="spellEnd"/>
      <w:r>
        <w:rPr>
          <w:rFonts w:ascii="Times New Roman" w:eastAsia="SimSun" w:hAnsi="Times New Roman" w:cs="Times New Roman"/>
          <w:szCs w:val="22"/>
        </w:rPr>
        <w:t>).</w:t>
      </w:r>
    </w:p>
    <w:p w:rsidR="00DB7E20" w:rsidRDefault="00DB7E20">
      <w:pPr>
        <w:rPr>
          <w:rFonts w:ascii="Times New Roman" w:eastAsia="SimSun" w:hAnsi="Times New Roman" w:cs="Times New Roman"/>
          <w:szCs w:val="22"/>
        </w:rPr>
      </w:pPr>
    </w:p>
    <w:p w:rsidR="00DB7E20" w:rsidRDefault="00DB7E20">
      <w:pPr>
        <w:rPr>
          <w:rFonts w:ascii="Times New Roman" w:eastAsia="SimSun" w:hAnsi="Times New Roman" w:cs="Times New Roman"/>
          <w:szCs w:val="22"/>
        </w:rPr>
      </w:pPr>
    </w:p>
    <w:p w:rsidR="00DB7E20" w:rsidRDefault="00265D11">
      <w:pPr>
        <w:rPr>
          <w:rFonts w:ascii="Times New Roman" w:eastAsia="SimSun" w:hAnsi="Times New Roman" w:cs="Times New Roman"/>
          <w:szCs w:val="22"/>
        </w:rPr>
      </w:pPr>
      <w:r>
        <w:rPr>
          <w:rFonts w:ascii="Times New Roman" w:eastAsia="SimSun" w:hAnsi="Times New Roman" w:cs="Times New Roman"/>
          <w:b/>
          <w:bCs/>
          <w:szCs w:val="22"/>
        </w:rPr>
        <w:t>Supplementary Figure 3: Clustering Analysis and Differential Expression in Lung Adenocarcinoma.</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(A)</w:t>
      </w:r>
      <w:r>
        <w:rPr>
          <w:rFonts w:ascii="Times New Roman" w:eastAsia="SimSun" w:hAnsi="Times New Roman" w:cs="Times New Roman"/>
          <w:szCs w:val="22"/>
        </w:rPr>
        <w:t xml:space="preserve"> </w:t>
      </w:r>
      <w:proofErr w:type="spellStart"/>
      <w:r>
        <w:rPr>
          <w:rFonts w:ascii="Times New Roman" w:eastAsia="SimSun" w:hAnsi="Times New Roman" w:cs="Times New Roman"/>
          <w:szCs w:val="22"/>
        </w:rPr>
        <w:t>Heatmap</w:t>
      </w:r>
      <w:proofErr w:type="spellEnd"/>
      <w:r>
        <w:rPr>
          <w:rFonts w:ascii="Times New Roman" w:eastAsia="SimSun" w:hAnsi="Times New Roman" w:cs="Times New Roman"/>
          <w:szCs w:val="22"/>
        </w:rPr>
        <w:t xml:space="preserve"> displaying the differential gene expression across various clusters within lung adenocarcinoma samples. Gene expression levels are represented by a color gradient, with red indicating higher expression.</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(B)</w:t>
      </w:r>
      <w:r>
        <w:rPr>
          <w:rFonts w:ascii="Times New Roman" w:eastAsia="SimSun" w:hAnsi="Times New Roman" w:cs="Times New Roman"/>
          <w:szCs w:val="22"/>
        </w:rPr>
        <w:t xml:space="preserve"> Volcano plot illustrating the differentially expressed genes between clusters, with statistically significant genes highlighted in green (downregulated) and red (upregulated), based on adjusted p-values and log fold changes.</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(C)</w:t>
      </w:r>
      <w:r>
        <w:rPr>
          <w:rFonts w:ascii="Times New Roman" w:eastAsia="SimSun" w:hAnsi="Times New Roman" w:cs="Times New Roman"/>
          <w:szCs w:val="22"/>
        </w:rPr>
        <w:t xml:space="preserve"> Series of </w:t>
      </w:r>
      <w:proofErr w:type="spellStart"/>
      <w:r>
        <w:rPr>
          <w:rFonts w:ascii="Times New Roman" w:eastAsia="SimSun" w:hAnsi="Times New Roman" w:cs="Times New Roman"/>
          <w:szCs w:val="22"/>
        </w:rPr>
        <w:t>heatmaps</w:t>
      </w:r>
      <w:proofErr w:type="spellEnd"/>
      <w:r>
        <w:rPr>
          <w:rFonts w:ascii="Times New Roman" w:eastAsia="SimSun" w:hAnsi="Times New Roman" w:cs="Times New Roman"/>
          <w:szCs w:val="22"/>
        </w:rPr>
        <w:t xml:space="preserve"> representing consensus matrix scores for different cluster numbers, supporting the selection of the optimal number of clusters based on stability and consistency of the patterns shown.</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(D)</w:t>
      </w:r>
      <w:r>
        <w:rPr>
          <w:rFonts w:ascii="Times New Roman" w:eastAsia="SimSun" w:hAnsi="Times New Roman" w:cs="Times New Roman"/>
          <w:szCs w:val="22"/>
        </w:rPr>
        <w:t xml:space="preserve"> The consensus cumulative distribution function (CDF) plot for various cluster numbers, assisting in determining the most stable cluster solution.</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(E)</w:t>
      </w:r>
      <w:r>
        <w:rPr>
          <w:rFonts w:ascii="Times New Roman" w:eastAsia="SimSun" w:hAnsi="Times New Roman" w:cs="Times New Roman"/>
          <w:szCs w:val="22"/>
        </w:rPr>
        <w:t xml:space="preserve"> Delta area plot depicting the relative change in area under the CDF curve for different numbers of clusters (k), facilitating the identification of the cluster number with the highest stability.</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(F)</w:t>
      </w:r>
      <w:r>
        <w:rPr>
          <w:rFonts w:ascii="Times New Roman" w:eastAsia="SimSun" w:hAnsi="Times New Roman" w:cs="Times New Roman"/>
          <w:szCs w:val="22"/>
        </w:rPr>
        <w:t xml:space="preserve"> Kaplan-Meier survival analysis comparing the survival probability between patients in different clusters, with the p-value indicating significant differences in survival </w:t>
      </w:r>
      <w:r>
        <w:rPr>
          <w:rFonts w:ascii="Times New Roman" w:eastAsia="SimSun" w:hAnsi="Times New Roman" w:cs="Times New Roman"/>
          <w:szCs w:val="22"/>
        </w:rPr>
        <w:lastRenderedPageBreak/>
        <w:t>outcomes.</w:t>
      </w:r>
    </w:p>
    <w:p w:rsidR="00DB7E20" w:rsidRDefault="00DB7E20">
      <w:pPr>
        <w:rPr>
          <w:rFonts w:ascii="Times New Roman" w:eastAsia="SimSun" w:hAnsi="Times New Roman" w:cs="Times New Roman"/>
          <w:szCs w:val="22"/>
        </w:rPr>
      </w:pPr>
    </w:p>
    <w:p w:rsidR="00DB7E20" w:rsidRDefault="00265D11">
      <w:pPr>
        <w:rPr>
          <w:rFonts w:ascii="Times New Roman" w:eastAsia="SimSun" w:hAnsi="Times New Roman" w:cs="Times New Roman"/>
          <w:szCs w:val="22"/>
        </w:rPr>
      </w:pPr>
      <w:r>
        <w:rPr>
          <w:rFonts w:ascii="Times New Roman" w:eastAsia="SimSun" w:hAnsi="Times New Roman" w:cs="Times New Roman"/>
          <w:b/>
          <w:bCs/>
          <w:szCs w:val="22"/>
        </w:rPr>
        <w:t>Supplementary Figure 4: Gene Expression Profiling and Functional Enrichment Analysis in Lung Adenocarcinoma.</w:t>
      </w:r>
    </w:p>
    <w:p w:rsidR="00DB7E20" w:rsidRDefault="00265D11">
      <w:pPr>
        <w:rPr>
          <w:rFonts w:ascii="Times New Roman" w:eastAsia="SimSun" w:hAnsi="Times New Roman" w:cs="Times New Roman"/>
          <w:szCs w:val="22"/>
        </w:rPr>
      </w:pPr>
      <w:r>
        <w:rPr>
          <w:rFonts w:ascii="Times New Roman" w:eastAsia="SimSun" w:hAnsi="Times New Roman" w:cs="Times New Roman"/>
          <w:b/>
          <w:bCs/>
          <w:szCs w:val="22"/>
        </w:rPr>
        <w:t>(A)</w:t>
      </w:r>
      <w:r>
        <w:rPr>
          <w:rFonts w:ascii="Times New Roman" w:eastAsia="SimSun" w:hAnsi="Times New Roman" w:cs="Times New Roman"/>
          <w:szCs w:val="22"/>
        </w:rPr>
        <w:t xml:space="preserve"> </w:t>
      </w:r>
      <w:proofErr w:type="spellStart"/>
      <w:r>
        <w:rPr>
          <w:rFonts w:ascii="Times New Roman" w:eastAsia="SimSun" w:hAnsi="Times New Roman" w:cs="Times New Roman"/>
          <w:szCs w:val="22"/>
        </w:rPr>
        <w:t>Heatmap</w:t>
      </w:r>
      <w:proofErr w:type="spellEnd"/>
      <w:r>
        <w:rPr>
          <w:rFonts w:ascii="Times New Roman" w:eastAsia="SimSun" w:hAnsi="Times New Roman" w:cs="Times New Roman"/>
          <w:szCs w:val="22"/>
        </w:rPr>
        <w:t xml:space="preserve"> with hierarchical clustering based on gene expression data from lung adenocarcinoma samples, classified into distinct clusters. The color scale represents gene expression intensity, with red indicating high expression and blue indicating low expression. Clusters are color-coded in the column </w:t>
      </w:r>
      <w:proofErr w:type="spellStart"/>
      <w:r>
        <w:rPr>
          <w:rFonts w:ascii="Times New Roman" w:eastAsia="SimSun" w:hAnsi="Times New Roman" w:cs="Times New Roman"/>
          <w:szCs w:val="22"/>
        </w:rPr>
        <w:t>dendrogram</w:t>
      </w:r>
      <w:proofErr w:type="spellEnd"/>
      <w:r>
        <w:rPr>
          <w:rFonts w:ascii="Times New Roman" w:eastAsia="SimSun" w:hAnsi="Times New Roman" w:cs="Times New Roman"/>
          <w:szCs w:val="22"/>
        </w:rPr>
        <w:t>.</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(B)</w:t>
      </w:r>
      <w:r>
        <w:rPr>
          <w:rFonts w:ascii="Times New Roman" w:eastAsia="SimSun" w:hAnsi="Times New Roman" w:cs="Times New Roman"/>
          <w:szCs w:val="22"/>
        </w:rPr>
        <w:t xml:space="preserve"> Bar graph of the top enriched terms in the biological process category from the Gene Ontology (GO) analysis, showing the count of genes associated with terms related to chromosome segregation and mitotic nuclear division, among others. The color gradient represents the p-value, indicating the significance of the enrichment.</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(C)</w:t>
      </w:r>
      <w:r>
        <w:rPr>
          <w:rFonts w:ascii="Times New Roman" w:eastAsia="SimSun" w:hAnsi="Times New Roman" w:cs="Times New Roman"/>
          <w:szCs w:val="22"/>
        </w:rPr>
        <w:t xml:space="preserve"> </w:t>
      </w:r>
      <w:r w:rsidR="00B57269" w:rsidRPr="00B57269">
        <w:rPr>
          <w:rFonts w:ascii="Times New Roman" w:eastAsia="SimSun" w:hAnsi="Times New Roman" w:cs="Times New Roman"/>
          <w:szCs w:val="22"/>
        </w:rPr>
        <w:t>Bar graph of the top enriched pathways from the Kyoto Encyclopedia of Genes and Genomes (KEGG) analysis, with pathways such as cell cycle, p53 signaling, and DNA replication highlighted. The color intensity denotes the p-value, reflecting the significance of the pathway enrichment. KEGG pathway information was used for analysis.</w:t>
      </w:r>
    </w:p>
    <w:p w:rsidR="00DB7E20" w:rsidRDefault="00DB7E20">
      <w:pPr>
        <w:rPr>
          <w:rFonts w:ascii="Times New Roman" w:eastAsia="SimSun" w:hAnsi="Times New Roman" w:cs="Times New Roman"/>
          <w:szCs w:val="22"/>
        </w:rPr>
      </w:pPr>
    </w:p>
    <w:p w:rsidR="00DB7E20" w:rsidRDefault="00DB7E20">
      <w:pPr>
        <w:rPr>
          <w:rFonts w:ascii="Times New Roman" w:eastAsia="SimSun" w:hAnsi="Times New Roman" w:cs="Times New Roman"/>
          <w:szCs w:val="22"/>
        </w:rPr>
      </w:pPr>
    </w:p>
    <w:p w:rsidR="00DB7E20" w:rsidRDefault="00265D11">
      <w:pPr>
        <w:rPr>
          <w:rFonts w:ascii="Times New Roman" w:eastAsia="SimSun" w:hAnsi="Times New Roman" w:cs="Times New Roman"/>
          <w:b/>
          <w:szCs w:val="22"/>
        </w:rPr>
      </w:pPr>
      <w:r>
        <w:rPr>
          <w:rFonts w:ascii="Times New Roman" w:eastAsia="SimSun" w:hAnsi="Times New Roman" w:cs="Times New Roman"/>
          <w:b/>
          <w:bCs/>
          <w:szCs w:val="22"/>
        </w:rPr>
        <w:t xml:space="preserve">Supplementary Figure 5: </w:t>
      </w:r>
      <w:r>
        <w:rPr>
          <w:rFonts w:ascii="Times New Roman" w:eastAsia="SimSun" w:hAnsi="Times New Roman" w:cs="Times New Roman"/>
          <w:b/>
          <w:szCs w:val="22"/>
        </w:rPr>
        <w:t xml:space="preserve">Integrated analysis of differentiation states and survival correlations in cancer cohorts from TCGA and GEO databases. </w:t>
      </w:r>
      <w:r>
        <w:rPr>
          <w:rFonts w:ascii="Times New Roman" w:eastAsia="SimSun" w:hAnsi="Times New Roman" w:cs="Times New Roman"/>
          <w:b/>
          <w:bCs/>
          <w:szCs w:val="22"/>
        </w:rPr>
        <w:t>(A)</w:t>
      </w:r>
      <w:r>
        <w:rPr>
          <w:rFonts w:ascii="Times New Roman" w:eastAsia="SimSun" w:hAnsi="Times New Roman" w:cs="Times New Roman"/>
          <w:szCs w:val="22"/>
        </w:rPr>
        <w:t xml:space="preserve">: Lasso coefficient profiles for genes across different levels of regularization indicated by </w:t>
      </w:r>
      <w:proofErr w:type="gramStart"/>
      <w:r>
        <w:rPr>
          <w:rFonts w:ascii="Times New Roman" w:eastAsia="SimSun" w:hAnsi="Times New Roman" w:cs="Times New Roman"/>
          <w:szCs w:val="22"/>
        </w:rPr>
        <w:t>log(</w:t>
      </w:r>
      <w:proofErr w:type="gramEnd"/>
      <w:r>
        <w:rPr>
          <w:rFonts w:ascii="Times New Roman" w:eastAsia="SimSun" w:hAnsi="Times New Roman" w:cs="Times New Roman"/>
          <w:szCs w:val="22"/>
        </w:rPr>
        <w:t>lambda), illustrating the selection of features in the model.</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(A)</w:t>
      </w:r>
      <w:r>
        <w:rPr>
          <w:rFonts w:ascii="Times New Roman" w:eastAsia="SimSun" w:hAnsi="Times New Roman" w:cs="Times New Roman"/>
          <w:szCs w:val="22"/>
        </w:rPr>
        <w:t>: Visualization of the optimal lambda selection in the lasso model, with the lowest cross-validated error marked by the dashed vertical line.</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(C, D</w:t>
      </w:r>
      <w:proofErr w:type="gramStart"/>
      <w:r>
        <w:rPr>
          <w:rFonts w:ascii="Times New Roman" w:eastAsia="SimSun" w:hAnsi="Times New Roman" w:cs="Times New Roman"/>
          <w:b/>
          <w:bCs/>
          <w:szCs w:val="22"/>
        </w:rPr>
        <w:t xml:space="preserve">) </w:t>
      </w:r>
      <w:r>
        <w:rPr>
          <w:rFonts w:ascii="Times New Roman" w:eastAsia="SimSun" w:hAnsi="Times New Roman" w:cs="Times New Roman"/>
          <w:szCs w:val="22"/>
        </w:rPr>
        <w:t>:</w:t>
      </w:r>
      <w:proofErr w:type="gramEnd"/>
      <w:r>
        <w:rPr>
          <w:rFonts w:ascii="Times New Roman" w:eastAsia="SimSun" w:hAnsi="Times New Roman" w:cs="Times New Roman"/>
          <w:szCs w:val="22"/>
        </w:rPr>
        <w:t xml:space="preserve"> </w:t>
      </w:r>
      <w:proofErr w:type="spellStart"/>
      <w:r>
        <w:rPr>
          <w:rFonts w:ascii="Times New Roman" w:eastAsia="SimSun" w:hAnsi="Times New Roman" w:cs="Times New Roman"/>
          <w:szCs w:val="22"/>
        </w:rPr>
        <w:t>Heatmaps</w:t>
      </w:r>
      <w:proofErr w:type="spellEnd"/>
      <w:r>
        <w:rPr>
          <w:rFonts w:ascii="Times New Roman" w:eastAsia="SimSun" w:hAnsi="Times New Roman" w:cs="Times New Roman"/>
          <w:szCs w:val="22"/>
        </w:rPr>
        <w:t xml:space="preserve"> of expression data for the top differentially expressed genes from the TCGA experimental and validation cohorts, respectively, with expression levels color-coded from blue (low) to red (high).</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(E)</w:t>
      </w:r>
      <w:r>
        <w:rPr>
          <w:rFonts w:ascii="Times New Roman" w:eastAsia="SimSun" w:hAnsi="Times New Roman" w:cs="Times New Roman"/>
          <w:szCs w:val="22"/>
        </w:rPr>
        <w:t xml:space="preserve">: </w:t>
      </w:r>
      <w:proofErr w:type="spellStart"/>
      <w:r>
        <w:rPr>
          <w:rFonts w:ascii="Times New Roman" w:eastAsia="SimSun" w:hAnsi="Times New Roman" w:cs="Times New Roman"/>
          <w:szCs w:val="22"/>
        </w:rPr>
        <w:t>Heatmap</w:t>
      </w:r>
      <w:proofErr w:type="spellEnd"/>
      <w:r>
        <w:rPr>
          <w:rFonts w:ascii="Times New Roman" w:eastAsia="SimSun" w:hAnsi="Times New Roman" w:cs="Times New Roman"/>
          <w:szCs w:val="22"/>
        </w:rPr>
        <w:t xml:space="preserve"> of the top differentially expressed genes from the external GEO validation cohort, with the same color-coding as C and D.</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(F, G)</w:t>
      </w:r>
      <w:r>
        <w:rPr>
          <w:rFonts w:ascii="Times New Roman" w:eastAsia="SimSun" w:hAnsi="Times New Roman" w:cs="Times New Roman"/>
          <w:szCs w:val="22"/>
        </w:rPr>
        <w:t>: Kaplan-Meier curves for the TCGA cohorts, depicting survival probabilities for patients classified into high-risk (red) and low-risk (blue) groups based on their gene expression profiles.</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(H, K)</w:t>
      </w:r>
      <w:r>
        <w:rPr>
          <w:rFonts w:ascii="Times New Roman" w:eastAsia="SimSun" w:hAnsi="Times New Roman" w:cs="Times New Roman"/>
          <w:szCs w:val="22"/>
        </w:rPr>
        <w:t>: Kaplan-Meier survival plots for the GEO cohort, using the same risk score stratification as applied to the TCGA data.</w:t>
      </w:r>
      <w:r>
        <w:rPr>
          <w:rFonts w:ascii="Times New Roman" w:eastAsia="SimSun" w:hAnsi="Times New Roman" w:cs="Times New Roman" w:hint="eastAsia"/>
          <w:szCs w:val="22"/>
        </w:rPr>
        <w:t xml:space="preserve"> </w:t>
      </w:r>
      <w:r>
        <w:rPr>
          <w:rFonts w:ascii="Times New Roman" w:eastAsia="SimSun" w:hAnsi="Times New Roman" w:cs="Times New Roman"/>
          <w:b/>
          <w:bCs/>
          <w:szCs w:val="22"/>
        </w:rPr>
        <w:t xml:space="preserve">(I, J): </w:t>
      </w:r>
      <w:r>
        <w:rPr>
          <w:rFonts w:ascii="Times New Roman" w:eastAsia="SimSun" w:hAnsi="Times New Roman" w:cs="Times New Roman"/>
          <w:bCs/>
          <w:szCs w:val="22"/>
        </w:rPr>
        <w:t>Scatter plots indicating the distribution of risk scores in the TCGA experimental and validation cohorts, with patient survival status denoted by color: red for deceased and blue for alive.</w:t>
      </w:r>
      <w:r>
        <w:rPr>
          <w:rFonts w:ascii="Times New Roman" w:eastAsia="SimSun" w:hAnsi="Times New Roman" w:cs="Times New Roman" w:hint="eastAsia"/>
          <w:b/>
          <w:szCs w:val="22"/>
        </w:rPr>
        <w:t xml:space="preserve"> </w:t>
      </w:r>
      <w:r>
        <w:rPr>
          <w:rFonts w:ascii="Times New Roman" w:eastAsia="SimSun" w:hAnsi="Times New Roman" w:cs="Times New Roman"/>
          <w:b/>
          <w:bCs/>
          <w:szCs w:val="22"/>
        </w:rPr>
        <w:t xml:space="preserve">(K): </w:t>
      </w:r>
      <w:r>
        <w:rPr>
          <w:rFonts w:ascii="Times New Roman" w:eastAsia="SimSun" w:hAnsi="Times New Roman" w:cs="Times New Roman"/>
          <w:bCs/>
          <w:szCs w:val="22"/>
        </w:rPr>
        <w:t>Kaplan-Meier survival plot for the TCGA experimental cohort, illustrating the survival probability over time for patients stratified by risk score.</w:t>
      </w:r>
      <w:r>
        <w:rPr>
          <w:rFonts w:ascii="Times New Roman" w:eastAsia="SimSun" w:hAnsi="Times New Roman" w:cs="Times New Roman"/>
          <w:b/>
          <w:bCs/>
          <w:szCs w:val="22"/>
        </w:rPr>
        <w:t xml:space="preserve"> (L, M): </w:t>
      </w:r>
      <w:r>
        <w:rPr>
          <w:rFonts w:ascii="Times New Roman" w:eastAsia="SimSun" w:hAnsi="Times New Roman" w:cs="Times New Roman"/>
          <w:bCs/>
          <w:szCs w:val="22"/>
        </w:rPr>
        <w:t>Kaplan-Meier survival analysis for the TCGA validation cohort, showing the survival probabilities for high-risk and low-risk groups based on gene expression profiles, with p-values indicating the statistical significance of the difference in survival</w:t>
      </w:r>
      <w:r>
        <w:rPr>
          <w:rFonts w:ascii="Times New Roman" w:eastAsia="SimSun" w:hAnsi="Times New Roman" w:cs="Times New Roman"/>
          <w:b/>
          <w:bCs/>
          <w:szCs w:val="22"/>
        </w:rPr>
        <w:t>.</w:t>
      </w:r>
      <w:r>
        <w:rPr>
          <w:rFonts w:ascii="Times New Roman" w:eastAsia="SimSun" w:hAnsi="Times New Roman" w:cs="Times New Roman" w:hint="eastAsia"/>
          <w:b/>
          <w:bCs/>
          <w:szCs w:val="22"/>
        </w:rPr>
        <w:t xml:space="preserve"> </w:t>
      </w:r>
      <w:r>
        <w:rPr>
          <w:rFonts w:ascii="Times New Roman" w:eastAsia="SimSun" w:hAnsi="Times New Roman" w:cs="Times New Roman"/>
          <w:b/>
          <w:bCs/>
          <w:szCs w:val="22"/>
        </w:rPr>
        <w:t xml:space="preserve">(N): </w:t>
      </w:r>
      <w:r>
        <w:rPr>
          <w:rFonts w:ascii="Times New Roman" w:eastAsia="SimSun" w:hAnsi="Times New Roman" w:cs="Times New Roman"/>
          <w:bCs/>
          <w:szCs w:val="22"/>
        </w:rPr>
        <w:t>Kaplan-Meier survival plot for the external GEO validation cohort, demonstrating the predictive power of the risk score on patient survival, with the survival curves for high-risk and low-risk groups and associated p-value.</w:t>
      </w:r>
      <w:bookmarkEnd w:id="0"/>
    </w:p>
    <w:sectPr w:rsidR="00DB7E20" w:rsidSect="007C1B2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DBA" w:rsidRDefault="001B1DBA">
      <w:r>
        <w:separator/>
      </w:r>
    </w:p>
  </w:endnote>
  <w:endnote w:type="continuationSeparator" w:id="0">
    <w:p w:rsidR="001B1DBA" w:rsidRDefault="001B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Charis SIL">
    <w:altName w:val="Arial Unicode MS"/>
    <w:charset w:val="86"/>
    <w:family w:val="swiss"/>
    <w:pitch w:val="default"/>
    <w:sig w:usb0="00000000" w:usb1="00000000" w:usb2="00000010" w:usb3="00000000" w:csb0="00040000"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
      <w:docPartObj>
        <w:docPartGallery w:val="AutoText"/>
      </w:docPartObj>
    </w:sdtPr>
    <w:sdtEndPr/>
    <w:sdtContent>
      <w:p w:rsidR="00DB7E20" w:rsidRDefault="00265D11">
        <w:pPr>
          <w:pStyle w:val="Footer"/>
          <w:jc w:val="center"/>
        </w:pPr>
        <w:r>
          <w:fldChar w:fldCharType="begin"/>
        </w:r>
        <w:r>
          <w:instrText>PAGE   \* MERGEFORMAT</w:instrText>
        </w:r>
        <w:r>
          <w:fldChar w:fldCharType="separate"/>
        </w:r>
        <w:r w:rsidR="007C1B24" w:rsidRPr="007C1B24">
          <w:rPr>
            <w:noProof/>
            <w:lang w:val="zh-CN"/>
          </w:rPr>
          <w:t>1</w:t>
        </w:r>
        <w:r>
          <w:fldChar w:fldCharType="end"/>
        </w:r>
      </w:p>
    </w:sdtContent>
  </w:sdt>
  <w:p w:rsidR="00DB7E20" w:rsidRDefault="00DB7E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DBA" w:rsidRDefault="001B1DBA">
      <w:r>
        <w:separator/>
      </w:r>
    </w:p>
  </w:footnote>
  <w:footnote w:type="continuationSeparator" w:id="0">
    <w:p w:rsidR="001B1DBA" w:rsidRDefault="001B1D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ZjZTkzMmE0Y2Y1MmQ3YzBlZjllZDRmN2Y5OTUyOWIifQ=="/>
    <w:docVar w:name="EN.InstantFormat" w:val="&lt;ENInstantFormat&gt;&lt;Enabled&gt;1&lt;/Enabled&gt;&lt;ScanUnformatted&gt;1&lt;/ScanUnformatted&gt;&lt;ScanChanges&gt;1&lt;/ScanChanges&gt;&lt;Suspended&gt;0&lt;/Suspended&gt;&lt;/ENInstantFormat&gt;"/>
    <w:docVar w:name="EN.Layout" w:val="&lt;ENLayout&gt;&lt;Style&gt;Nature Scientific Reports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ept259rstdarerpsvp09evppr5psss0rsf&quot;&gt;My EndNote Library&lt;record-ids&gt;&lt;item&gt;4&lt;/item&gt;&lt;item&gt;20&lt;/item&gt;&lt;item&gt;114&lt;/item&gt;&lt;item&gt;115&lt;/item&gt;&lt;item&gt;116&lt;/item&gt;&lt;item&gt;117&lt;/item&gt;&lt;item&gt;118&lt;/item&gt;&lt;item&gt;119&lt;/item&gt;&lt;item&gt;120&lt;/item&gt;&lt;item&gt;121&lt;/item&gt;&lt;item&gt;122&lt;/item&gt;&lt;item&gt;123&lt;/item&gt;&lt;/record-ids&gt;&lt;/item&gt;&lt;/Libraries&gt;"/>
  </w:docVars>
  <w:rsids>
    <w:rsidRoot w:val="004D1CB7"/>
    <w:rsid w:val="84FCCC40"/>
    <w:rsid w:val="BEF7C2D7"/>
    <w:rsid w:val="DFFE3407"/>
    <w:rsid w:val="F6ACF63B"/>
    <w:rsid w:val="F7EC4756"/>
    <w:rsid w:val="F9AFEDEE"/>
    <w:rsid w:val="FDFF1158"/>
    <w:rsid w:val="0006430B"/>
    <w:rsid w:val="00072E07"/>
    <w:rsid w:val="000A4FA1"/>
    <w:rsid w:val="00147296"/>
    <w:rsid w:val="00151750"/>
    <w:rsid w:val="00166563"/>
    <w:rsid w:val="001B1DBA"/>
    <w:rsid w:val="001D5F84"/>
    <w:rsid w:val="0020078E"/>
    <w:rsid w:val="00265D11"/>
    <w:rsid w:val="00270AD2"/>
    <w:rsid w:val="00297FBF"/>
    <w:rsid w:val="002D7BB4"/>
    <w:rsid w:val="002F6845"/>
    <w:rsid w:val="003A042F"/>
    <w:rsid w:val="003B1826"/>
    <w:rsid w:val="003C1840"/>
    <w:rsid w:val="00465528"/>
    <w:rsid w:val="004848ED"/>
    <w:rsid w:val="004D1CB7"/>
    <w:rsid w:val="006462F5"/>
    <w:rsid w:val="00661DAF"/>
    <w:rsid w:val="0066504B"/>
    <w:rsid w:val="00684F51"/>
    <w:rsid w:val="006E7475"/>
    <w:rsid w:val="006F2E0E"/>
    <w:rsid w:val="00732C7C"/>
    <w:rsid w:val="007C1B24"/>
    <w:rsid w:val="0081205C"/>
    <w:rsid w:val="00933097"/>
    <w:rsid w:val="00995BE4"/>
    <w:rsid w:val="009B108B"/>
    <w:rsid w:val="009F7177"/>
    <w:rsid w:val="00A81565"/>
    <w:rsid w:val="00A948B5"/>
    <w:rsid w:val="00AC0175"/>
    <w:rsid w:val="00B039C7"/>
    <w:rsid w:val="00B55366"/>
    <w:rsid w:val="00B57269"/>
    <w:rsid w:val="00BF2562"/>
    <w:rsid w:val="00CC448E"/>
    <w:rsid w:val="00D8112E"/>
    <w:rsid w:val="00DB7E20"/>
    <w:rsid w:val="00DD2AB2"/>
    <w:rsid w:val="00DF76A2"/>
    <w:rsid w:val="00E36FB3"/>
    <w:rsid w:val="00EF54A3"/>
    <w:rsid w:val="00F3034F"/>
    <w:rsid w:val="00F3212C"/>
    <w:rsid w:val="00F74DB8"/>
    <w:rsid w:val="00FF09F6"/>
    <w:rsid w:val="3D97DEB8"/>
    <w:rsid w:val="5A7F1C08"/>
    <w:rsid w:val="66293C2F"/>
    <w:rsid w:val="7BF6C20E"/>
    <w:rsid w:val="7EAE6FC6"/>
    <w:rsid w:val="7F5DB289"/>
    <w:rsid w:val="7FEC1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33F4439-EA25-46CB-9F15-7D2E034B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SimSun" w:eastAsia="SimSun" w:hAnsi="SimSun" w:cs="SimSun"/>
      <w:kern w:val="0"/>
      <w:sz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style>
  <w:style w:type="character" w:styleId="Hyperlink">
    <w:name w:val="Hyperlink"/>
    <w:basedOn w:val="DefaultParagraphFont"/>
    <w:uiPriority w:val="99"/>
    <w:unhideWhenUsed/>
    <w:qFormat/>
    <w:rPr>
      <w:color w:val="0563C1" w:themeColor="hyperlink"/>
      <w:u w:val="single"/>
    </w:rPr>
  </w:style>
  <w:style w:type="paragraph" w:customStyle="1" w:styleId="1">
    <w:name w:val="列出段落1"/>
    <w:basedOn w:val="Normal"/>
    <w:uiPriority w:val="34"/>
    <w:qFormat/>
    <w:pPr>
      <w:ind w:firstLineChars="200" w:firstLine="420"/>
    </w:pPr>
  </w:style>
  <w:style w:type="paragraph" w:customStyle="1" w:styleId="Default">
    <w:name w:val="Default"/>
    <w:link w:val="DefaultChar"/>
    <w:qFormat/>
    <w:pPr>
      <w:widowControl w:val="0"/>
      <w:autoSpaceDE w:val="0"/>
      <w:autoSpaceDN w:val="0"/>
      <w:adjustRightInd w:val="0"/>
    </w:pPr>
    <w:rPr>
      <w:rFonts w:ascii="Charis SIL" w:eastAsia="Charis SIL" w:hAnsiTheme="minorHAnsi" w:cs="Charis SIL"/>
      <w:color w:val="000000"/>
      <w:sz w:val="24"/>
      <w:szCs w:val="24"/>
    </w:rPr>
  </w:style>
  <w:style w:type="paragraph" w:customStyle="1" w:styleId="10">
    <w:name w:val="无间隔1"/>
    <w:link w:val="Char"/>
    <w:uiPriority w:val="1"/>
    <w:qFormat/>
    <w:pPr>
      <w:widowControl w:val="0"/>
      <w:jc w:val="both"/>
    </w:pPr>
    <w:rPr>
      <w:rFonts w:eastAsia="Times New Roman" w:cstheme="minorBidi"/>
      <w:kern w:val="2"/>
      <w:sz w:val="21"/>
      <w:szCs w:val="22"/>
    </w:rPr>
  </w:style>
  <w:style w:type="character" w:customStyle="1" w:styleId="Char">
    <w:name w:val="无间隔 Char"/>
    <w:basedOn w:val="DefaultParagraphFont"/>
    <w:link w:val="10"/>
    <w:uiPriority w:val="1"/>
    <w:qFormat/>
    <w:rPr>
      <w:rFonts w:ascii="Times New Roman" w:eastAsia="Times New Roman" w:hAnsi="Times New Roman"/>
      <w:szCs w:val="22"/>
      <w14:ligatures w14:val="none"/>
    </w:rPr>
  </w:style>
  <w:style w:type="character" w:customStyle="1" w:styleId="DefaultChar">
    <w:name w:val="Default Char"/>
    <w:basedOn w:val="DefaultParagraphFont"/>
    <w:link w:val="Default"/>
    <w:qFormat/>
    <w:rPr>
      <w:rFonts w:ascii="Charis SIL" w:eastAsia="Charis SIL" w:cs="Charis SIL"/>
      <w:color w:val="000000"/>
      <w:kern w:val="0"/>
      <w:sz w:val="24"/>
      <w14:ligatures w14:val="none"/>
    </w:rPr>
  </w:style>
  <w:style w:type="character" w:customStyle="1" w:styleId="11">
    <w:name w:val="未处理的提及1"/>
    <w:basedOn w:val="DefaultParagraphFont"/>
    <w:uiPriority w:val="99"/>
    <w:unhideWhenUsed/>
    <w:qFormat/>
    <w:rPr>
      <w:color w:val="605E5C"/>
      <w:shd w:val="clear" w:color="auto" w:fill="E1DFDD"/>
    </w:rPr>
  </w:style>
  <w:style w:type="paragraph" w:customStyle="1" w:styleId="12">
    <w:name w:val="书目1"/>
    <w:basedOn w:val="Normal"/>
    <w:next w:val="Normal"/>
    <w:uiPriority w:val="37"/>
    <w:unhideWhenUsed/>
    <w:qFormat/>
    <w:pPr>
      <w:spacing w:line="480" w:lineRule="auto"/>
      <w:ind w:left="720" w:hanging="720"/>
    </w:pPr>
  </w:style>
  <w:style w:type="paragraph" w:customStyle="1" w:styleId="EndNoteBibliographyTitle">
    <w:name w:val="EndNote Bibliography Title"/>
    <w:basedOn w:val="Normal"/>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qFormat/>
    <w:rPr>
      <w:rFonts w:ascii="DengXian" w:eastAsia="DengXian" w:hAnsi="DengXian" w:cstheme="minorBidi"/>
      <w:kern w:val="2"/>
      <w:szCs w:val="24"/>
    </w:rPr>
  </w:style>
  <w:style w:type="paragraph" w:customStyle="1" w:styleId="EndNoteBibliography">
    <w:name w:val="EndNote Bibliography"/>
    <w:basedOn w:val="Normal"/>
    <w:link w:val="EndNoteBibliography0"/>
    <w:qFormat/>
    <w:rPr>
      <w:rFonts w:ascii="DengXian" w:eastAsia="DengXian" w:hAnsi="DengXian"/>
      <w:sz w:val="20"/>
    </w:rPr>
  </w:style>
  <w:style w:type="character" w:customStyle="1" w:styleId="EndNoteBibliography0">
    <w:name w:val="EndNote Bibliography 字符"/>
    <w:basedOn w:val="DefaultParagraphFont"/>
    <w:link w:val="EndNoteBibliography"/>
    <w:qFormat/>
    <w:rPr>
      <w:rFonts w:ascii="DengXian" w:eastAsia="DengXian" w:hAnsi="DengXian" w:cstheme="minorBidi"/>
      <w:kern w:val="2"/>
      <w:szCs w:val="24"/>
    </w:rPr>
  </w:style>
  <w:style w:type="character" w:customStyle="1" w:styleId="HeaderChar">
    <w:name w:val="Header Char"/>
    <w:basedOn w:val="DefaultParagraphFont"/>
    <w:link w:val="Header"/>
    <w:uiPriority w:val="99"/>
    <w:qFormat/>
    <w:rPr>
      <w:sz w:val="18"/>
      <w:szCs w:val="18"/>
      <w14:ligatures w14:val="none"/>
    </w:rPr>
  </w:style>
  <w:style w:type="character" w:customStyle="1" w:styleId="FooterChar">
    <w:name w:val="Footer Char"/>
    <w:basedOn w:val="DefaultParagraphFont"/>
    <w:link w:val="Footer"/>
    <w:uiPriority w:val="99"/>
    <w:qFormat/>
    <w:rPr>
      <w:sz w:val="18"/>
      <w:szCs w:val="18"/>
      <w14:ligatures w14:val="none"/>
    </w:rPr>
  </w:style>
  <w:style w:type="character" w:customStyle="1" w:styleId="BalloonTextChar">
    <w:name w:val="Balloon Text Char"/>
    <w:basedOn w:val="DefaultParagraphFont"/>
    <w:link w:val="BalloonText"/>
    <w:uiPriority w:val="99"/>
    <w:semiHidden/>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1001</Words>
  <Characters>5709</Characters>
  <Application>Microsoft Office Word</Application>
  <DocSecurity>0</DocSecurity>
  <Lines>47</Lines>
  <Paragraphs>13</Paragraphs>
  <ScaleCrop>false</ScaleCrop>
  <Company/>
  <LinksUpToDate>false</LinksUpToDate>
  <CharactersWithSpaces>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7672</dc:creator>
  <cp:lastModifiedBy>Vanitha M.</cp:lastModifiedBy>
  <cp:revision>7</cp:revision>
  <dcterms:created xsi:type="dcterms:W3CDTF">2024-05-02T13:33:00Z</dcterms:created>
  <dcterms:modified xsi:type="dcterms:W3CDTF">2024-05-08T12:23:00Z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id="9MN7JkbW"/&gt;&lt;style id="http://www.zotero.org/styles/apa-numeric-superscript-brackets" locale="en-US" hasBibliography="1" bibliographyStyleHasBeenSet="1"/&gt;&lt;prefs&gt;&lt;pref name="fieldType" value="Field</vt:lpwstr>
  </property>
  <property fmtid="{D5CDD505-2E9C-101B-9397-08002B2CF9AE}" pid="3" name="ZOTERO_PREF_2">
    <vt:lpwstr>"/&gt;&lt;pref name="automaticJournalAbbreviations" value="true"/&gt;&lt;/prefs&gt;&lt;/data&gt;</vt:lpwstr>
  </property>
  <property fmtid="{D5CDD505-2E9C-101B-9397-08002B2CF9AE}" pid="4" name="ICV">
    <vt:lpwstr>ED2AB6991951EAF991227365A4197BC8_31</vt:lpwstr>
  </property>
  <property fmtid="{D5CDD505-2E9C-101B-9397-08002B2CF9AE}" pid="5" name="KSOProductBuildVer">
    <vt:lpwstr>2052-6.5.2.8766</vt:lpwstr>
  </property>
</Properties>
</file>