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A5825" w14:textId="322345BC" w:rsidR="002058EA" w:rsidRPr="0044579A" w:rsidRDefault="002058EA" w:rsidP="002058EA">
      <w:pPr>
        <w:pStyle w:val="Heading1"/>
        <w:ind w:left="0"/>
      </w:pPr>
      <w:r w:rsidRPr="0044579A">
        <w:t>Supplementary Information</w:t>
      </w:r>
    </w:p>
    <w:p w14:paraId="39745171" w14:textId="77777777" w:rsidR="002058EA" w:rsidRPr="0044579A" w:rsidRDefault="002058EA" w:rsidP="002058EA">
      <w:pPr>
        <w:spacing w:line="240" w:lineRule="auto"/>
      </w:pPr>
    </w:p>
    <w:p w14:paraId="3E653943" w14:textId="435D9D22" w:rsidR="002058EA" w:rsidRPr="0044579A" w:rsidRDefault="002058EA" w:rsidP="002058EA">
      <w:pPr>
        <w:pStyle w:val="Title"/>
        <w:spacing w:before="0"/>
        <w:ind w:left="0"/>
        <w:rPr>
          <w:sz w:val="24"/>
          <w:szCs w:val="24"/>
        </w:rPr>
      </w:pPr>
      <w:r w:rsidRPr="0044579A">
        <w:rPr>
          <w:sz w:val="24"/>
          <w:szCs w:val="24"/>
        </w:rPr>
        <w:t xml:space="preserve">HER2 </w:t>
      </w:r>
      <w:r w:rsidR="00FB335B" w:rsidRPr="0044579A">
        <w:rPr>
          <w:sz w:val="24"/>
          <w:szCs w:val="24"/>
        </w:rPr>
        <w:t xml:space="preserve">quantitative continuous scoring for accurate patient selection </w:t>
      </w:r>
      <w:r w:rsidRPr="0044579A">
        <w:rPr>
          <w:sz w:val="24"/>
          <w:szCs w:val="24"/>
        </w:rPr>
        <w:t xml:space="preserve">in </w:t>
      </w:r>
      <w:r w:rsidR="00237A65" w:rsidRPr="0044579A">
        <w:rPr>
          <w:sz w:val="24"/>
          <w:szCs w:val="24"/>
        </w:rPr>
        <w:br/>
      </w:r>
      <w:r w:rsidRPr="0044579A">
        <w:rPr>
          <w:sz w:val="24"/>
          <w:szCs w:val="24"/>
        </w:rPr>
        <w:t xml:space="preserve">HER2-negative </w:t>
      </w:r>
      <w:r w:rsidR="00FB335B" w:rsidRPr="0044579A">
        <w:rPr>
          <w:sz w:val="24"/>
          <w:szCs w:val="24"/>
        </w:rPr>
        <w:t>trastuzumab deruxtecan</w:t>
      </w:r>
      <w:r w:rsidRPr="0044579A">
        <w:rPr>
          <w:sz w:val="24"/>
          <w:szCs w:val="24"/>
        </w:rPr>
        <w:t>–</w:t>
      </w:r>
      <w:r w:rsidR="00FB335B" w:rsidRPr="0044579A">
        <w:rPr>
          <w:sz w:val="24"/>
          <w:szCs w:val="24"/>
        </w:rPr>
        <w:t>tr</w:t>
      </w:r>
      <w:r w:rsidRPr="0044579A">
        <w:rPr>
          <w:sz w:val="24"/>
          <w:szCs w:val="24"/>
        </w:rPr>
        <w:t xml:space="preserve">eated </w:t>
      </w:r>
      <w:r w:rsidR="00FB335B" w:rsidRPr="0044579A">
        <w:rPr>
          <w:sz w:val="24"/>
          <w:szCs w:val="24"/>
        </w:rPr>
        <w:t>b</w:t>
      </w:r>
      <w:r w:rsidRPr="0044579A">
        <w:rPr>
          <w:sz w:val="24"/>
          <w:szCs w:val="24"/>
        </w:rPr>
        <w:t xml:space="preserve">reast </w:t>
      </w:r>
      <w:r w:rsidR="00FB335B" w:rsidRPr="0044579A">
        <w:rPr>
          <w:sz w:val="24"/>
          <w:szCs w:val="24"/>
        </w:rPr>
        <w:t>c</w:t>
      </w:r>
      <w:r w:rsidRPr="0044579A">
        <w:rPr>
          <w:sz w:val="24"/>
          <w:szCs w:val="24"/>
        </w:rPr>
        <w:t>ancer</w:t>
      </w:r>
    </w:p>
    <w:p w14:paraId="4C5297AE" w14:textId="77777777" w:rsidR="002058EA" w:rsidRPr="0044579A" w:rsidRDefault="002058EA" w:rsidP="002058EA">
      <w:pPr>
        <w:tabs>
          <w:tab w:val="left" w:pos="6110"/>
        </w:tabs>
      </w:pPr>
      <w:r w:rsidRPr="0044579A">
        <w:t xml:space="preserve"> </w:t>
      </w:r>
      <w:r w:rsidRPr="0044579A">
        <w:tab/>
      </w:r>
    </w:p>
    <w:p w14:paraId="1791CDF9" w14:textId="321CAD77" w:rsidR="002058EA" w:rsidRPr="0044579A" w:rsidRDefault="002058EA" w:rsidP="002058EA">
      <w:r w:rsidRPr="0044579A">
        <w:t>Ansh Kapil</w:t>
      </w:r>
      <w:r w:rsidRPr="0044579A">
        <w:rPr>
          <w:vertAlign w:val="superscript"/>
        </w:rPr>
        <w:t>1</w:t>
      </w:r>
      <w:r w:rsidRPr="0044579A">
        <w:t>, Andreas Spitzm</w:t>
      </w:r>
      <w:r w:rsidRPr="0044579A">
        <w:rPr>
          <w:rFonts w:cs="Arial"/>
        </w:rPr>
        <w:t>ü</w:t>
      </w:r>
      <w:r w:rsidRPr="0044579A">
        <w:t>ller</w:t>
      </w:r>
      <w:r w:rsidRPr="0044579A">
        <w:rPr>
          <w:vertAlign w:val="superscript"/>
        </w:rPr>
        <w:t>1</w:t>
      </w:r>
      <w:r w:rsidRPr="0044579A">
        <w:t>, Nicolas Brieu</w:t>
      </w:r>
      <w:r w:rsidRPr="0044579A">
        <w:rPr>
          <w:vertAlign w:val="superscript"/>
        </w:rPr>
        <w:t>1</w:t>
      </w:r>
      <w:r w:rsidRPr="0044579A">
        <w:t>, Susanne Haneder</w:t>
      </w:r>
      <w:r w:rsidRPr="0044579A">
        <w:rPr>
          <w:vertAlign w:val="superscript"/>
        </w:rPr>
        <w:t>1</w:t>
      </w:r>
      <w:r w:rsidRPr="0044579A">
        <w:t xml:space="preserve">, </w:t>
      </w:r>
      <w:r w:rsidR="00BC424C" w:rsidRPr="0044579A">
        <w:br/>
      </w:r>
      <w:r w:rsidRPr="0044579A">
        <w:t>Anatoliy Shumilov</w:t>
      </w:r>
      <w:r w:rsidRPr="0044579A">
        <w:rPr>
          <w:vertAlign w:val="superscript"/>
        </w:rPr>
        <w:t>1</w:t>
      </w:r>
      <w:r w:rsidRPr="0044579A">
        <w:t>, Armin Meier</w:t>
      </w:r>
      <w:r w:rsidRPr="0044579A">
        <w:rPr>
          <w:vertAlign w:val="superscript"/>
        </w:rPr>
        <w:t>1</w:t>
      </w:r>
      <w:r w:rsidRPr="0044579A">
        <w:t>, Fabiola Cecchi</w:t>
      </w:r>
      <w:r w:rsidRPr="0044579A">
        <w:rPr>
          <w:vertAlign w:val="superscript"/>
        </w:rPr>
        <w:t>2</w:t>
      </w:r>
      <w:r w:rsidRPr="0044579A">
        <w:t>, Alice Barkell</w:t>
      </w:r>
      <w:r w:rsidRPr="0044579A">
        <w:rPr>
          <w:vertAlign w:val="superscript"/>
        </w:rPr>
        <w:t>3</w:t>
      </w:r>
      <w:r w:rsidRPr="0044579A">
        <w:t>, Nathalie Harder</w:t>
      </w:r>
      <w:r w:rsidRPr="0044579A">
        <w:rPr>
          <w:vertAlign w:val="superscript"/>
        </w:rPr>
        <w:t>1</w:t>
      </w:r>
      <w:r w:rsidRPr="0044579A">
        <w:t xml:space="preserve">, Katrin </w:t>
      </w:r>
      <w:r w:rsidR="00A3620B" w:rsidRPr="0044579A">
        <w:rPr>
          <w:lang w:val="de-DE"/>
        </w:rPr>
        <w:t>Mittermaier</w:t>
      </w:r>
      <w:r w:rsidRPr="0044579A">
        <w:rPr>
          <w:vertAlign w:val="superscript"/>
        </w:rPr>
        <w:t>1</w:t>
      </w:r>
      <w:r w:rsidRPr="0044579A">
        <w:t>, Ana Hidalgo-Sastre</w:t>
      </w:r>
      <w:r w:rsidRPr="0044579A">
        <w:rPr>
          <w:vertAlign w:val="superscript"/>
        </w:rPr>
        <w:t>1</w:t>
      </w:r>
      <w:r w:rsidRPr="0044579A">
        <w:t>, Regina Alleze</w:t>
      </w:r>
      <w:r w:rsidRPr="0044579A">
        <w:rPr>
          <w:vertAlign w:val="superscript"/>
        </w:rPr>
        <w:t>1</w:t>
      </w:r>
      <w:r w:rsidRPr="0044579A">
        <w:t>, Markus Schick</w:t>
      </w:r>
      <w:r w:rsidRPr="0044579A">
        <w:rPr>
          <w:vertAlign w:val="superscript"/>
        </w:rPr>
        <w:t>1</w:t>
      </w:r>
      <w:r w:rsidRPr="0044579A">
        <w:t xml:space="preserve">, </w:t>
      </w:r>
      <w:r w:rsidR="00BC424C" w:rsidRPr="0044579A">
        <w:br/>
      </w:r>
      <w:r w:rsidRPr="0044579A">
        <w:t>Günter Schmidt</w:t>
      </w:r>
      <w:r w:rsidRPr="0044579A">
        <w:rPr>
          <w:vertAlign w:val="superscript"/>
        </w:rPr>
        <w:t>1</w:t>
      </w:r>
      <w:r w:rsidRPr="0044579A">
        <w:t>, Hadassah Sade</w:t>
      </w:r>
      <w:r w:rsidRPr="0044579A">
        <w:rPr>
          <w:vertAlign w:val="superscript"/>
        </w:rPr>
        <w:t>1</w:t>
      </w:r>
      <w:r w:rsidRPr="0044579A">
        <w:t>, Zenta Tsuchihashi</w:t>
      </w:r>
      <w:r w:rsidRPr="0044579A">
        <w:rPr>
          <w:vertAlign w:val="superscript"/>
        </w:rPr>
        <w:t>4</w:t>
      </w:r>
      <w:r w:rsidRPr="0044579A">
        <w:t>, Fumitaka Suto</w:t>
      </w:r>
      <w:r w:rsidRPr="0044579A">
        <w:rPr>
          <w:vertAlign w:val="superscript"/>
        </w:rPr>
        <w:t>4</w:t>
      </w:r>
      <w:r w:rsidRPr="0044579A">
        <w:t xml:space="preserve">, </w:t>
      </w:r>
      <w:r w:rsidR="00BC424C" w:rsidRPr="0044579A">
        <w:br/>
      </w:r>
      <w:r w:rsidRPr="0044579A">
        <w:t>Mark Gustavson</w:t>
      </w:r>
      <w:r w:rsidRPr="0044579A">
        <w:rPr>
          <w:vertAlign w:val="superscript"/>
        </w:rPr>
        <w:t>2</w:t>
      </w:r>
      <w:r w:rsidRPr="0044579A">
        <w:t>, J. Carl Barrett</w:t>
      </w:r>
      <w:r w:rsidRPr="0044579A">
        <w:rPr>
          <w:vertAlign w:val="superscript"/>
        </w:rPr>
        <w:t>2</w:t>
      </w:r>
      <w:r w:rsidR="005E6163" w:rsidRPr="0044579A">
        <w:t xml:space="preserve"> &amp;</w:t>
      </w:r>
      <w:r w:rsidRPr="0044579A">
        <w:t xml:space="preserve"> Danielle Carroll</w:t>
      </w:r>
      <w:r w:rsidRPr="0044579A">
        <w:rPr>
          <w:vertAlign w:val="superscript"/>
        </w:rPr>
        <w:t>3</w:t>
      </w:r>
    </w:p>
    <w:p w14:paraId="4F97822D" w14:textId="77777777" w:rsidR="002058EA" w:rsidRPr="0044579A" w:rsidRDefault="002058EA" w:rsidP="002058EA"/>
    <w:p w14:paraId="0269E573" w14:textId="77777777" w:rsidR="002058EA" w:rsidRPr="0044579A" w:rsidRDefault="002058EA" w:rsidP="002058EA">
      <w:pPr>
        <w:rPr>
          <w:rFonts w:cs="Arial"/>
          <w:szCs w:val="24"/>
        </w:rPr>
      </w:pPr>
      <w:r w:rsidRPr="0044579A">
        <w:rPr>
          <w:rFonts w:cs="Arial"/>
          <w:szCs w:val="24"/>
          <w:vertAlign w:val="superscript"/>
        </w:rPr>
        <w:t>1</w:t>
      </w:r>
      <w:r w:rsidRPr="0044579A">
        <w:rPr>
          <w:rFonts w:cs="Arial"/>
          <w:szCs w:val="24"/>
        </w:rPr>
        <w:t xml:space="preserve">Computational Pathology, Oncology R&amp;D, AstraZeneca, Munich, Germany </w:t>
      </w:r>
      <w:r w:rsidRPr="0044579A">
        <w:rPr>
          <w:rFonts w:cs="Arial"/>
          <w:szCs w:val="24"/>
          <w:vertAlign w:val="superscript"/>
        </w:rPr>
        <w:t>2</w:t>
      </w:r>
      <w:r w:rsidRPr="0044579A">
        <w:rPr>
          <w:rFonts w:cs="Arial"/>
          <w:szCs w:val="24"/>
        </w:rPr>
        <w:t xml:space="preserve">Translational Medicine, Oncology R&amp;D, AstraZeneca, Gaithersburg, MD, USA </w:t>
      </w:r>
      <w:r w:rsidRPr="0044579A">
        <w:rPr>
          <w:rFonts w:cs="Arial"/>
          <w:szCs w:val="24"/>
          <w:vertAlign w:val="superscript"/>
        </w:rPr>
        <w:t>3</w:t>
      </w:r>
      <w:r w:rsidRPr="0044579A">
        <w:rPr>
          <w:rFonts w:cs="Arial"/>
          <w:szCs w:val="24"/>
        </w:rPr>
        <w:t xml:space="preserve">Translational Medicine, Oncology R&amp;D, AstraZeneca, Cambridge, UK </w:t>
      </w:r>
    </w:p>
    <w:p w14:paraId="33940BE0" w14:textId="77777777" w:rsidR="002058EA" w:rsidRPr="0044579A" w:rsidRDefault="002058EA" w:rsidP="002058EA">
      <w:pPr>
        <w:rPr>
          <w:rFonts w:cs="Arial"/>
          <w:szCs w:val="24"/>
        </w:rPr>
      </w:pPr>
      <w:r w:rsidRPr="0044579A">
        <w:rPr>
          <w:rFonts w:cs="Arial"/>
          <w:szCs w:val="24"/>
          <w:vertAlign w:val="superscript"/>
        </w:rPr>
        <w:t>4</w:t>
      </w:r>
      <w:r w:rsidRPr="0044579A">
        <w:rPr>
          <w:rFonts w:cs="Arial"/>
          <w:szCs w:val="24"/>
        </w:rPr>
        <w:t>Translational Science, Daiichi Sankyo, Inc., Basking Ridge, NJ, USA</w:t>
      </w:r>
    </w:p>
    <w:p w14:paraId="5B09D8A8" w14:textId="77777777" w:rsidR="002058EA" w:rsidRPr="0044579A" w:rsidRDefault="002058EA">
      <w:pPr>
        <w:spacing w:line="240" w:lineRule="auto"/>
        <w:rPr>
          <w:rFonts w:eastAsia="Arial" w:cs="Arial"/>
          <w:b/>
          <w:bCs/>
          <w:szCs w:val="24"/>
        </w:rPr>
      </w:pPr>
      <w:r w:rsidRPr="0044579A">
        <w:br w:type="page"/>
      </w:r>
    </w:p>
    <w:p w14:paraId="48AB786F" w14:textId="35C34E43" w:rsidR="002058EA" w:rsidRPr="0044579A" w:rsidRDefault="002058EA" w:rsidP="002058EA">
      <w:pPr>
        <w:pStyle w:val="BodyText"/>
        <w:ind w:right="1229"/>
        <w:rPr>
          <w:rFonts w:cs="Arial"/>
          <w:sz w:val="24"/>
          <w:szCs w:val="24"/>
        </w:rPr>
      </w:pPr>
      <w:r w:rsidRPr="0044579A">
        <w:rPr>
          <w:rFonts w:cs="Arial"/>
          <w:b/>
          <w:sz w:val="24"/>
          <w:szCs w:val="24"/>
        </w:rPr>
        <w:lastRenderedPageBreak/>
        <w:t xml:space="preserve">Supplementary Table </w:t>
      </w:r>
      <w:r w:rsidR="00C318A3" w:rsidRPr="0044579A">
        <w:rPr>
          <w:rFonts w:cs="Arial"/>
          <w:b/>
          <w:sz w:val="24"/>
          <w:szCs w:val="24"/>
        </w:rPr>
        <w:t>S</w:t>
      </w:r>
      <w:r w:rsidRPr="0044579A">
        <w:rPr>
          <w:rFonts w:cs="Arial"/>
          <w:b/>
          <w:sz w:val="24"/>
          <w:szCs w:val="24"/>
        </w:rPr>
        <w:t xml:space="preserve">1. </w:t>
      </w:r>
      <w:r w:rsidRPr="0044579A">
        <w:rPr>
          <w:rFonts w:cs="Arial"/>
          <w:sz w:val="24"/>
          <w:szCs w:val="24"/>
        </w:rPr>
        <w:t>Terms and definitions used in this manuscript.</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4680"/>
        <w:gridCol w:w="2430"/>
      </w:tblGrid>
      <w:tr w:rsidR="002058EA" w:rsidRPr="0044579A" w14:paraId="6ABF5965" w14:textId="77777777" w:rsidTr="006218A8">
        <w:trPr>
          <w:trHeight w:val="510"/>
        </w:trPr>
        <w:tc>
          <w:tcPr>
            <w:tcW w:w="2430" w:type="dxa"/>
            <w:shd w:val="clear" w:color="auto" w:fill="BFBFBF" w:themeFill="background1" w:themeFillShade="BF"/>
            <w:vAlign w:val="center"/>
          </w:tcPr>
          <w:p w14:paraId="03E326F7" w14:textId="4CC555CE" w:rsidR="00CA6856" w:rsidRPr="0044579A" w:rsidRDefault="002058EA" w:rsidP="0071224E">
            <w:pPr>
              <w:pStyle w:val="TableParagraph"/>
              <w:spacing w:line="240" w:lineRule="auto"/>
              <w:ind w:left="113"/>
              <w:rPr>
                <w:rFonts w:cs="Arial"/>
                <w:b/>
                <w:sz w:val="20"/>
                <w:szCs w:val="20"/>
              </w:rPr>
            </w:pPr>
            <w:r w:rsidRPr="0044579A">
              <w:rPr>
                <w:rFonts w:cs="Arial"/>
                <w:b/>
                <w:sz w:val="20"/>
                <w:szCs w:val="20"/>
              </w:rPr>
              <w:t>Term</w:t>
            </w:r>
          </w:p>
        </w:tc>
        <w:tc>
          <w:tcPr>
            <w:tcW w:w="4680" w:type="dxa"/>
            <w:shd w:val="clear" w:color="auto" w:fill="BFBFBF" w:themeFill="background1" w:themeFillShade="BF"/>
            <w:vAlign w:val="center"/>
          </w:tcPr>
          <w:p w14:paraId="3C5A8F8C" w14:textId="77777777" w:rsidR="002058EA" w:rsidRPr="0044579A" w:rsidRDefault="002058EA" w:rsidP="0071224E">
            <w:pPr>
              <w:pStyle w:val="TableParagraph"/>
              <w:spacing w:line="240" w:lineRule="auto"/>
              <w:ind w:left="113"/>
              <w:rPr>
                <w:rFonts w:cs="Arial"/>
                <w:b/>
                <w:sz w:val="20"/>
                <w:szCs w:val="20"/>
              </w:rPr>
            </w:pPr>
            <w:r w:rsidRPr="0044579A">
              <w:rPr>
                <w:rFonts w:cs="Arial"/>
                <w:b/>
                <w:sz w:val="20"/>
                <w:szCs w:val="20"/>
              </w:rPr>
              <w:t>Definition</w:t>
            </w:r>
          </w:p>
        </w:tc>
        <w:tc>
          <w:tcPr>
            <w:tcW w:w="2430" w:type="dxa"/>
            <w:shd w:val="clear" w:color="auto" w:fill="BFBFBF" w:themeFill="background1" w:themeFillShade="BF"/>
            <w:vAlign w:val="center"/>
          </w:tcPr>
          <w:p w14:paraId="7941C213" w14:textId="77777777" w:rsidR="002058EA" w:rsidRPr="0044579A" w:rsidRDefault="002058EA" w:rsidP="0071224E">
            <w:pPr>
              <w:pStyle w:val="TableParagraph"/>
              <w:spacing w:line="240" w:lineRule="auto"/>
              <w:ind w:left="113"/>
              <w:rPr>
                <w:rFonts w:cs="Arial"/>
                <w:b/>
                <w:sz w:val="20"/>
                <w:szCs w:val="20"/>
              </w:rPr>
            </w:pPr>
            <w:r w:rsidRPr="0044579A">
              <w:rPr>
                <w:rFonts w:cs="Arial"/>
                <w:b/>
                <w:sz w:val="20"/>
                <w:szCs w:val="20"/>
              </w:rPr>
              <w:t>Reference</w:t>
            </w:r>
          </w:p>
        </w:tc>
      </w:tr>
      <w:tr w:rsidR="002058EA" w:rsidRPr="0044579A" w14:paraId="69E9FFF0" w14:textId="77777777" w:rsidTr="00CA6856">
        <w:trPr>
          <w:trHeight w:val="720"/>
        </w:trPr>
        <w:tc>
          <w:tcPr>
            <w:tcW w:w="2430" w:type="dxa"/>
            <w:vAlign w:val="center"/>
          </w:tcPr>
          <w:p w14:paraId="49D579B1"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3+</w:t>
            </w:r>
          </w:p>
        </w:tc>
        <w:tc>
          <w:tcPr>
            <w:tcW w:w="4680" w:type="dxa"/>
            <w:vAlign w:val="center"/>
          </w:tcPr>
          <w:p w14:paraId="1DAA5AC3"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 xml:space="preserve">Circumferential membrane staining that is complete, intense, and in </w:t>
            </w:r>
            <w:r w:rsidRPr="0044579A">
              <w:rPr>
                <w:rFonts w:cs="Arial"/>
                <w:i/>
                <w:sz w:val="20"/>
                <w:szCs w:val="20"/>
              </w:rPr>
              <w:t>&gt;</w:t>
            </w:r>
            <w:r w:rsidRPr="0044579A">
              <w:rPr>
                <w:rFonts w:cs="Arial"/>
                <w:sz w:val="20"/>
                <w:szCs w:val="20"/>
              </w:rPr>
              <w:t>10% of tumor cells</w:t>
            </w:r>
          </w:p>
        </w:tc>
        <w:tc>
          <w:tcPr>
            <w:tcW w:w="2430" w:type="dxa"/>
            <w:vAlign w:val="center"/>
          </w:tcPr>
          <w:p w14:paraId="2B68AE0D" w14:textId="74505974" w:rsidR="002058EA" w:rsidRPr="0044579A" w:rsidRDefault="002058EA" w:rsidP="0071224E">
            <w:pPr>
              <w:pStyle w:val="TableParagraph"/>
              <w:spacing w:line="240" w:lineRule="auto"/>
              <w:ind w:left="113"/>
              <w:rPr>
                <w:rFonts w:cs="Arial"/>
                <w:sz w:val="20"/>
                <w:szCs w:val="20"/>
              </w:rPr>
            </w:pPr>
            <w:r w:rsidRPr="0044579A">
              <w:rPr>
                <w:rFonts w:cs="Arial"/>
                <w:sz w:val="20"/>
                <w:szCs w:val="20"/>
              </w:rPr>
              <w:t>2018 ASCO/CAP</w:t>
            </w:r>
            <w:r w:rsidR="009A4074" w:rsidRPr="0044579A">
              <w:rPr>
                <w:rFonts w:cs="Arial"/>
                <w:color w:val="0000FF"/>
                <w:sz w:val="20"/>
                <w:szCs w:val="20"/>
                <w:vertAlign w:val="superscript"/>
              </w:rPr>
              <w:t>1</w:t>
            </w:r>
          </w:p>
        </w:tc>
      </w:tr>
      <w:tr w:rsidR="002058EA" w:rsidRPr="0044579A" w14:paraId="716AE458" w14:textId="77777777" w:rsidTr="00CA6856">
        <w:trPr>
          <w:trHeight w:val="481"/>
        </w:trPr>
        <w:tc>
          <w:tcPr>
            <w:tcW w:w="2430" w:type="dxa"/>
            <w:vAlign w:val="center"/>
          </w:tcPr>
          <w:p w14:paraId="510C8483"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2+</w:t>
            </w:r>
          </w:p>
        </w:tc>
        <w:tc>
          <w:tcPr>
            <w:tcW w:w="4680" w:type="dxa"/>
            <w:vAlign w:val="center"/>
          </w:tcPr>
          <w:p w14:paraId="684465C3" w14:textId="77777777" w:rsidR="002058EA" w:rsidRPr="0044579A" w:rsidRDefault="002058EA" w:rsidP="0071224E">
            <w:pPr>
              <w:pStyle w:val="TableParagraph"/>
              <w:spacing w:line="240" w:lineRule="auto"/>
              <w:ind w:left="113" w:hanging="10"/>
              <w:rPr>
                <w:rFonts w:cs="Arial"/>
                <w:sz w:val="20"/>
                <w:szCs w:val="20"/>
              </w:rPr>
            </w:pPr>
            <w:r w:rsidRPr="0044579A">
              <w:rPr>
                <w:rFonts w:cs="Arial"/>
                <w:sz w:val="20"/>
                <w:szCs w:val="20"/>
              </w:rPr>
              <w:t xml:space="preserve">Weak to moderate complete membrane staining observed in </w:t>
            </w:r>
            <w:r w:rsidRPr="0044579A">
              <w:rPr>
                <w:rFonts w:cs="Arial"/>
                <w:i/>
                <w:sz w:val="20"/>
                <w:szCs w:val="20"/>
              </w:rPr>
              <w:t>&gt;</w:t>
            </w:r>
            <w:r w:rsidRPr="0044579A">
              <w:rPr>
                <w:rFonts w:cs="Arial"/>
                <w:sz w:val="20"/>
                <w:szCs w:val="20"/>
              </w:rPr>
              <w:t>10% of tumor cells</w:t>
            </w:r>
          </w:p>
        </w:tc>
        <w:tc>
          <w:tcPr>
            <w:tcW w:w="2430" w:type="dxa"/>
            <w:vAlign w:val="center"/>
          </w:tcPr>
          <w:p w14:paraId="2300D151" w14:textId="3D4DA772" w:rsidR="002058EA" w:rsidRPr="0044579A" w:rsidRDefault="002058EA" w:rsidP="0071224E">
            <w:pPr>
              <w:pStyle w:val="TableParagraph"/>
              <w:spacing w:line="240" w:lineRule="auto"/>
              <w:ind w:left="113"/>
              <w:rPr>
                <w:rFonts w:cs="Arial"/>
                <w:sz w:val="20"/>
                <w:szCs w:val="20"/>
              </w:rPr>
            </w:pPr>
            <w:r w:rsidRPr="0044579A">
              <w:rPr>
                <w:rFonts w:cs="Arial"/>
                <w:sz w:val="20"/>
                <w:szCs w:val="20"/>
              </w:rPr>
              <w:t>2018 ASCO/CAP</w:t>
            </w:r>
            <w:r w:rsidR="009A4074" w:rsidRPr="0044579A">
              <w:rPr>
                <w:rFonts w:cs="Arial"/>
                <w:color w:val="0000FF"/>
                <w:sz w:val="20"/>
                <w:szCs w:val="20"/>
                <w:vertAlign w:val="superscript"/>
              </w:rPr>
              <w:t>1</w:t>
            </w:r>
          </w:p>
        </w:tc>
      </w:tr>
      <w:tr w:rsidR="002058EA" w:rsidRPr="0044579A" w14:paraId="6A02DFF4" w14:textId="77777777" w:rsidTr="00CA6856">
        <w:trPr>
          <w:trHeight w:val="720"/>
        </w:trPr>
        <w:tc>
          <w:tcPr>
            <w:tcW w:w="2430" w:type="dxa"/>
            <w:vAlign w:val="center"/>
          </w:tcPr>
          <w:p w14:paraId="2CC6EE98"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1+</w:t>
            </w:r>
          </w:p>
        </w:tc>
        <w:tc>
          <w:tcPr>
            <w:tcW w:w="4680" w:type="dxa"/>
            <w:vAlign w:val="center"/>
          </w:tcPr>
          <w:p w14:paraId="66BC02FA"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 xml:space="preserve">Incomplete membrane staining that is faint or barely perceptible and within </w:t>
            </w:r>
            <w:r w:rsidRPr="0044579A">
              <w:rPr>
                <w:rFonts w:cs="Arial"/>
                <w:i/>
                <w:sz w:val="20"/>
                <w:szCs w:val="20"/>
              </w:rPr>
              <w:t>&gt;</w:t>
            </w:r>
            <w:r w:rsidRPr="0044579A">
              <w:rPr>
                <w:rFonts w:cs="Arial"/>
                <w:sz w:val="20"/>
                <w:szCs w:val="20"/>
              </w:rPr>
              <w:t>10% of the invasive tumor cells</w:t>
            </w:r>
          </w:p>
        </w:tc>
        <w:tc>
          <w:tcPr>
            <w:tcW w:w="2430" w:type="dxa"/>
            <w:vAlign w:val="center"/>
          </w:tcPr>
          <w:p w14:paraId="55CB0EC8" w14:textId="284C6FA9" w:rsidR="002058EA" w:rsidRPr="0044579A" w:rsidRDefault="002058EA" w:rsidP="0071224E">
            <w:pPr>
              <w:pStyle w:val="TableParagraph"/>
              <w:spacing w:line="240" w:lineRule="auto"/>
              <w:ind w:left="113"/>
              <w:rPr>
                <w:rFonts w:cs="Arial"/>
                <w:sz w:val="20"/>
                <w:szCs w:val="20"/>
              </w:rPr>
            </w:pPr>
            <w:r w:rsidRPr="0044579A">
              <w:rPr>
                <w:rFonts w:cs="Arial"/>
                <w:sz w:val="20"/>
                <w:szCs w:val="20"/>
              </w:rPr>
              <w:t>2018 ASCO/CAP</w:t>
            </w:r>
            <w:r w:rsidR="009A4074" w:rsidRPr="0044579A">
              <w:rPr>
                <w:rFonts w:cs="Arial"/>
                <w:color w:val="0000FF"/>
                <w:sz w:val="20"/>
                <w:szCs w:val="20"/>
                <w:vertAlign w:val="superscript"/>
              </w:rPr>
              <w:t>1</w:t>
            </w:r>
          </w:p>
        </w:tc>
      </w:tr>
      <w:tr w:rsidR="002058EA" w:rsidRPr="0044579A" w14:paraId="1BFF4F52" w14:textId="77777777" w:rsidTr="00CA6856">
        <w:trPr>
          <w:trHeight w:val="959"/>
        </w:trPr>
        <w:tc>
          <w:tcPr>
            <w:tcW w:w="2430" w:type="dxa"/>
            <w:vAlign w:val="center"/>
          </w:tcPr>
          <w:p w14:paraId="0B56708E"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0</w:t>
            </w:r>
          </w:p>
        </w:tc>
        <w:tc>
          <w:tcPr>
            <w:tcW w:w="4680" w:type="dxa"/>
            <w:vAlign w:val="center"/>
          </w:tcPr>
          <w:p w14:paraId="0E28B40E"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No staining observed or incomplete membrane staining that is faint or barely perceptible and within ≤10% of the invasive tumor cells</w:t>
            </w:r>
          </w:p>
        </w:tc>
        <w:tc>
          <w:tcPr>
            <w:tcW w:w="2430" w:type="dxa"/>
            <w:vAlign w:val="center"/>
          </w:tcPr>
          <w:p w14:paraId="4A9046F7" w14:textId="3A41AA91" w:rsidR="002058EA" w:rsidRPr="0044579A" w:rsidRDefault="002058EA" w:rsidP="0071224E">
            <w:pPr>
              <w:pStyle w:val="TableParagraph"/>
              <w:spacing w:line="240" w:lineRule="auto"/>
              <w:ind w:left="113"/>
              <w:rPr>
                <w:rFonts w:cs="Arial"/>
                <w:sz w:val="20"/>
                <w:szCs w:val="20"/>
              </w:rPr>
            </w:pPr>
            <w:r w:rsidRPr="0044579A">
              <w:rPr>
                <w:rFonts w:cs="Arial"/>
                <w:sz w:val="20"/>
                <w:szCs w:val="20"/>
              </w:rPr>
              <w:t>2018 ASCO/CAP</w:t>
            </w:r>
            <w:r w:rsidR="009A4074" w:rsidRPr="0044579A">
              <w:rPr>
                <w:rFonts w:cs="Arial"/>
                <w:color w:val="0000FF"/>
                <w:sz w:val="20"/>
                <w:szCs w:val="20"/>
                <w:vertAlign w:val="superscript"/>
              </w:rPr>
              <w:t>1</w:t>
            </w:r>
          </w:p>
        </w:tc>
      </w:tr>
      <w:tr w:rsidR="002058EA" w:rsidRPr="0044579A" w14:paraId="69D2CF57" w14:textId="77777777" w:rsidTr="00CA6856">
        <w:trPr>
          <w:trHeight w:val="476"/>
        </w:trPr>
        <w:tc>
          <w:tcPr>
            <w:tcW w:w="2430" w:type="dxa"/>
            <w:vAlign w:val="center"/>
          </w:tcPr>
          <w:p w14:paraId="2C92AB3F" w14:textId="3B5B9D06"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HER2-positive case</w:t>
            </w:r>
          </w:p>
        </w:tc>
        <w:tc>
          <w:tcPr>
            <w:tcW w:w="4680" w:type="dxa"/>
            <w:vAlign w:val="center"/>
          </w:tcPr>
          <w:p w14:paraId="11C05B0B" w14:textId="373AF9A4"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3+ or HER2 IHC status 2+ and ISH</w:t>
            </w:r>
            <w:r w:rsidR="00230BEE" w:rsidRPr="0044579A">
              <w:rPr>
                <w:rFonts w:cs="Arial"/>
                <w:sz w:val="20"/>
                <w:szCs w:val="20"/>
              </w:rPr>
              <w:t>+</w:t>
            </w:r>
            <w:r w:rsidRPr="0044579A">
              <w:rPr>
                <w:rFonts w:cs="Arial"/>
                <w:sz w:val="20"/>
                <w:szCs w:val="20"/>
              </w:rPr>
              <w:t xml:space="preserve"> </w:t>
            </w:r>
          </w:p>
        </w:tc>
        <w:tc>
          <w:tcPr>
            <w:tcW w:w="2430" w:type="dxa"/>
            <w:vAlign w:val="center"/>
          </w:tcPr>
          <w:p w14:paraId="1B716F98" w14:textId="3D3B6DF4" w:rsidR="002058EA" w:rsidRPr="0044579A" w:rsidRDefault="002058EA" w:rsidP="0071224E">
            <w:pPr>
              <w:pStyle w:val="TableParagraph"/>
              <w:spacing w:line="240" w:lineRule="auto"/>
              <w:ind w:left="113"/>
              <w:rPr>
                <w:rFonts w:cs="Arial"/>
                <w:sz w:val="20"/>
                <w:szCs w:val="20"/>
              </w:rPr>
            </w:pPr>
            <w:r w:rsidRPr="0044579A">
              <w:rPr>
                <w:rFonts w:cs="Arial"/>
                <w:sz w:val="20"/>
                <w:szCs w:val="20"/>
              </w:rPr>
              <w:t>2018 ASCO/CAP</w:t>
            </w:r>
            <w:r w:rsidR="009A4074" w:rsidRPr="0044579A">
              <w:rPr>
                <w:rFonts w:cs="Arial"/>
                <w:color w:val="0000FF"/>
                <w:sz w:val="20"/>
                <w:szCs w:val="20"/>
                <w:vertAlign w:val="superscript"/>
              </w:rPr>
              <w:t>1</w:t>
            </w:r>
          </w:p>
        </w:tc>
      </w:tr>
      <w:tr w:rsidR="002058EA" w:rsidRPr="0044579A" w14:paraId="27435D4A" w14:textId="77777777" w:rsidTr="00CA6856">
        <w:trPr>
          <w:trHeight w:val="481"/>
        </w:trPr>
        <w:tc>
          <w:tcPr>
            <w:tcW w:w="2430" w:type="dxa"/>
            <w:vAlign w:val="center"/>
          </w:tcPr>
          <w:p w14:paraId="5769347D"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HER2-low case</w:t>
            </w:r>
          </w:p>
        </w:tc>
        <w:tc>
          <w:tcPr>
            <w:tcW w:w="4680" w:type="dxa"/>
            <w:vAlign w:val="center"/>
          </w:tcPr>
          <w:p w14:paraId="7A0F9139" w14:textId="3C6F9DC4"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IHC status 1+</w:t>
            </w:r>
            <w:r w:rsidR="003D5B88" w:rsidRPr="0044579A">
              <w:rPr>
                <w:rFonts w:cs="Arial"/>
                <w:sz w:val="20"/>
                <w:szCs w:val="20"/>
              </w:rPr>
              <w:t xml:space="preserve"> </w:t>
            </w:r>
            <w:r w:rsidRPr="0044579A">
              <w:rPr>
                <w:rFonts w:cs="Arial"/>
                <w:sz w:val="20"/>
                <w:szCs w:val="20"/>
              </w:rPr>
              <w:t>or HER2 IHC status 2+ and ISH</w:t>
            </w:r>
            <w:r w:rsidR="00F275A9" w:rsidRPr="0044579A">
              <w:rPr>
                <w:rFonts w:cs="Arial"/>
                <w:sz w:val="20"/>
                <w:szCs w:val="20"/>
              </w:rPr>
              <w:t>−</w:t>
            </w:r>
            <w:r w:rsidRPr="0044579A">
              <w:rPr>
                <w:rFonts w:cs="Arial"/>
                <w:sz w:val="20"/>
                <w:szCs w:val="20"/>
              </w:rPr>
              <w:t xml:space="preserve"> </w:t>
            </w:r>
          </w:p>
        </w:tc>
        <w:tc>
          <w:tcPr>
            <w:tcW w:w="2430" w:type="dxa"/>
            <w:vAlign w:val="center"/>
          </w:tcPr>
          <w:p w14:paraId="4243348A" w14:textId="3E3733BB" w:rsidR="002058EA" w:rsidRPr="0044579A" w:rsidRDefault="002058EA" w:rsidP="0071224E">
            <w:pPr>
              <w:pStyle w:val="TableParagraph"/>
              <w:spacing w:line="240" w:lineRule="auto"/>
              <w:ind w:left="113"/>
              <w:rPr>
                <w:rFonts w:cs="Arial"/>
                <w:sz w:val="20"/>
                <w:szCs w:val="20"/>
              </w:rPr>
            </w:pPr>
            <w:proofErr w:type="spellStart"/>
            <w:r w:rsidRPr="0044579A">
              <w:rPr>
                <w:rFonts w:cs="Arial"/>
                <w:sz w:val="20"/>
                <w:szCs w:val="20"/>
              </w:rPr>
              <w:t>Miglietta</w:t>
            </w:r>
            <w:proofErr w:type="spellEnd"/>
            <w:r w:rsidRPr="0044579A">
              <w:rPr>
                <w:rFonts w:cs="Arial"/>
                <w:sz w:val="20"/>
                <w:szCs w:val="20"/>
              </w:rPr>
              <w:t xml:space="preserve"> et al.</w:t>
            </w:r>
            <w:r w:rsidR="009A4074" w:rsidRPr="0044579A">
              <w:rPr>
                <w:rFonts w:cs="Arial"/>
                <w:color w:val="0000FF"/>
                <w:sz w:val="20"/>
                <w:szCs w:val="20"/>
                <w:vertAlign w:val="superscript"/>
              </w:rPr>
              <w:t>2</w:t>
            </w:r>
          </w:p>
        </w:tc>
      </w:tr>
      <w:tr w:rsidR="002058EA" w:rsidRPr="0044579A" w14:paraId="0F4BBFAA" w14:textId="77777777" w:rsidTr="00CA6856">
        <w:trPr>
          <w:trHeight w:val="1671"/>
        </w:trPr>
        <w:tc>
          <w:tcPr>
            <w:tcW w:w="2430" w:type="dxa"/>
            <w:vAlign w:val="center"/>
          </w:tcPr>
          <w:p w14:paraId="5E5E9A7A"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QCS score</w:t>
            </w:r>
          </w:p>
        </w:tc>
        <w:tc>
          <w:tcPr>
            <w:tcW w:w="4680" w:type="dxa"/>
            <w:vAlign w:val="center"/>
          </w:tcPr>
          <w:p w14:paraId="6E5915CE" w14:textId="0F711007" w:rsidR="002058EA" w:rsidRPr="0044579A" w:rsidRDefault="002058EA" w:rsidP="0071224E">
            <w:pPr>
              <w:pStyle w:val="TableParagraph"/>
              <w:spacing w:line="240" w:lineRule="auto"/>
              <w:ind w:left="113"/>
              <w:rPr>
                <w:rFonts w:cs="Arial"/>
                <w:sz w:val="20"/>
                <w:szCs w:val="20"/>
              </w:rPr>
            </w:pPr>
            <w:r w:rsidRPr="0044579A">
              <w:rPr>
                <w:rFonts w:cs="Arial"/>
                <w:sz w:val="20"/>
                <w:szCs w:val="20"/>
              </w:rPr>
              <w:t xml:space="preserve">Statistical aggregation of OD and spatial properties of tumor cells in a WSI. Common aggregation methods involve computation of quantiles of the distribution of OD values of tumor cells or of the </w:t>
            </w:r>
            <w:r w:rsidR="003236C1" w:rsidRPr="0044579A">
              <w:rPr>
                <w:rFonts w:cs="Arial"/>
                <w:sz w:val="20"/>
                <w:szCs w:val="20"/>
              </w:rPr>
              <w:br/>
              <w:t>%</w:t>
            </w:r>
            <w:r w:rsidRPr="0044579A">
              <w:rPr>
                <w:rFonts w:cs="Arial"/>
                <w:sz w:val="20"/>
                <w:szCs w:val="20"/>
              </w:rPr>
              <w:t xml:space="preserve"> OD-positive tumor cells</w:t>
            </w:r>
          </w:p>
        </w:tc>
        <w:tc>
          <w:tcPr>
            <w:tcW w:w="2430" w:type="dxa"/>
            <w:vAlign w:val="center"/>
          </w:tcPr>
          <w:p w14:paraId="6AA677B8" w14:textId="77777777" w:rsidR="002058EA" w:rsidRPr="0044579A" w:rsidRDefault="002058EA" w:rsidP="0071224E">
            <w:pPr>
              <w:pStyle w:val="TableParagraph"/>
              <w:spacing w:line="240" w:lineRule="auto"/>
              <w:ind w:left="113"/>
              <w:rPr>
                <w:rFonts w:cs="Arial"/>
                <w:sz w:val="20"/>
                <w:szCs w:val="20"/>
              </w:rPr>
            </w:pPr>
          </w:p>
        </w:tc>
      </w:tr>
      <w:tr w:rsidR="002058EA" w:rsidRPr="0044579A" w14:paraId="7D505813" w14:textId="77777777" w:rsidTr="00CA6856">
        <w:trPr>
          <w:trHeight w:val="476"/>
        </w:trPr>
        <w:tc>
          <w:tcPr>
            <w:tcW w:w="2430" w:type="dxa"/>
            <w:vAlign w:val="center"/>
          </w:tcPr>
          <w:p w14:paraId="68048CDC"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QCS-positive</w:t>
            </w:r>
          </w:p>
          <w:p w14:paraId="119CC54B"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case</w:t>
            </w:r>
          </w:p>
        </w:tc>
        <w:tc>
          <w:tcPr>
            <w:tcW w:w="4680" w:type="dxa"/>
            <w:vAlign w:val="center"/>
          </w:tcPr>
          <w:p w14:paraId="46497AE7"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HER2 QCS score of a WSI is larger than a predefined cut point</w:t>
            </w:r>
          </w:p>
        </w:tc>
        <w:tc>
          <w:tcPr>
            <w:tcW w:w="2430" w:type="dxa"/>
            <w:vAlign w:val="center"/>
          </w:tcPr>
          <w:p w14:paraId="0BFCD3A7" w14:textId="77777777" w:rsidR="002058EA" w:rsidRPr="0044579A" w:rsidRDefault="002058EA" w:rsidP="0071224E">
            <w:pPr>
              <w:pStyle w:val="TableParagraph"/>
              <w:spacing w:line="240" w:lineRule="auto"/>
              <w:ind w:left="113"/>
              <w:rPr>
                <w:rFonts w:cs="Arial"/>
                <w:sz w:val="20"/>
                <w:szCs w:val="20"/>
              </w:rPr>
            </w:pPr>
          </w:p>
        </w:tc>
      </w:tr>
      <w:tr w:rsidR="002058EA" w:rsidRPr="0044579A" w14:paraId="416A1F26" w14:textId="77777777" w:rsidTr="00CA6856">
        <w:trPr>
          <w:trHeight w:val="954"/>
        </w:trPr>
        <w:tc>
          <w:tcPr>
            <w:tcW w:w="2430" w:type="dxa"/>
            <w:vAlign w:val="center"/>
          </w:tcPr>
          <w:p w14:paraId="0E4FC9C4" w14:textId="497A5FA3" w:rsidR="002058EA" w:rsidRPr="0044579A" w:rsidRDefault="002058EA" w:rsidP="0071224E">
            <w:pPr>
              <w:pStyle w:val="TableParagraph"/>
              <w:tabs>
                <w:tab w:val="left" w:pos="1220"/>
              </w:tabs>
              <w:spacing w:line="240" w:lineRule="auto"/>
              <w:ind w:left="113"/>
              <w:rPr>
                <w:rFonts w:cs="Arial"/>
                <w:sz w:val="20"/>
                <w:szCs w:val="20"/>
              </w:rPr>
            </w:pPr>
            <w:r w:rsidRPr="0044579A">
              <w:rPr>
                <w:rFonts w:cs="Arial"/>
                <w:sz w:val="20"/>
                <w:szCs w:val="20"/>
              </w:rPr>
              <w:t>Membrane</w:t>
            </w:r>
            <w:r w:rsidR="00534A3F" w:rsidRPr="0044579A">
              <w:rPr>
                <w:rFonts w:cs="Arial"/>
                <w:sz w:val="20"/>
                <w:szCs w:val="20"/>
              </w:rPr>
              <w:t xml:space="preserve"> </w:t>
            </w:r>
            <w:r w:rsidRPr="0044579A">
              <w:rPr>
                <w:rFonts w:cs="Arial"/>
                <w:sz w:val="20"/>
                <w:szCs w:val="20"/>
              </w:rPr>
              <w:t>OD</w:t>
            </w:r>
          </w:p>
        </w:tc>
        <w:tc>
          <w:tcPr>
            <w:tcW w:w="4680" w:type="dxa"/>
            <w:vAlign w:val="center"/>
          </w:tcPr>
          <w:p w14:paraId="25FC173B" w14:textId="1505ACA7" w:rsidR="002058EA" w:rsidRPr="0044579A" w:rsidRDefault="002058EA" w:rsidP="0071224E">
            <w:pPr>
              <w:pStyle w:val="TableParagraph"/>
              <w:spacing w:line="240" w:lineRule="auto"/>
              <w:ind w:left="113"/>
              <w:rPr>
                <w:rFonts w:cs="Arial"/>
                <w:sz w:val="20"/>
                <w:szCs w:val="20"/>
              </w:rPr>
            </w:pPr>
            <w:r w:rsidRPr="0044579A">
              <w:rPr>
                <w:rFonts w:cs="Arial"/>
                <w:sz w:val="20"/>
                <w:szCs w:val="20"/>
              </w:rPr>
              <w:t>Estimation of the amount of DAB and</w:t>
            </w:r>
            <w:r w:rsidR="009F71FA" w:rsidRPr="0044579A">
              <w:rPr>
                <w:rFonts w:cs="Arial"/>
                <w:sz w:val="20"/>
                <w:szCs w:val="20"/>
              </w:rPr>
              <w:t>,</w:t>
            </w:r>
            <w:r w:rsidRPr="0044579A">
              <w:rPr>
                <w:rFonts w:cs="Arial"/>
                <w:sz w:val="20"/>
                <w:szCs w:val="20"/>
              </w:rPr>
              <w:t xml:space="preserve"> therefore</w:t>
            </w:r>
            <w:r w:rsidR="009B2B57" w:rsidRPr="0044579A">
              <w:rPr>
                <w:rFonts w:cs="Arial"/>
                <w:sz w:val="20"/>
                <w:szCs w:val="20"/>
              </w:rPr>
              <w:t>,</w:t>
            </w:r>
            <w:r w:rsidRPr="0044579A">
              <w:rPr>
                <w:rFonts w:cs="Arial"/>
                <w:sz w:val="20"/>
                <w:szCs w:val="20"/>
              </w:rPr>
              <w:t xml:space="preserve"> HER2 protein on tumor cell membrane using the HSD algorithm for digital WSIs</w:t>
            </w:r>
          </w:p>
        </w:tc>
        <w:tc>
          <w:tcPr>
            <w:tcW w:w="2430" w:type="dxa"/>
            <w:vAlign w:val="center"/>
          </w:tcPr>
          <w:p w14:paraId="531400A8" w14:textId="77777777" w:rsidR="002058EA" w:rsidRPr="0044579A" w:rsidRDefault="002058EA" w:rsidP="0071224E">
            <w:pPr>
              <w:pStyle w:val="TableParagraph"/>
              <w:spacing w:line="240" w:lineRule="auto"/>
              <w:ind w:left="113"/>
              <w:rPr>
                <w:rFonts w:cs="Arial"/>
                <w:sz w:val="20"/>
                <w:szCs w:val="20"/>
              </w:rPr>
            </w:pPr>
          </w:p>
        </w:tc>
      </w:tr>
      <w:tr w:rsidR="002058EA" w:rsidRPr="0044579A" w14:paraId="47983750" w14:textId="77777777" w:rsidTr="00CA6856">
        <w:trPr>
          <w:trHeight w:val="715"/>
        </w:trPr>
        <w:tc>
          <w:tcPr>
            <w:tcW w:w="2430" w:type="dxa"/>
            <w:vAlign w:val="center"/>
          </w:tcPr>
          <w:p w14:paraId="1F39C0C9" w14:textId="77777777" w:rsidR="002058EA" w:rsidRPr="0044579A" w:rsidRDefault="002058EA" w:rsidP="0071224E">
            <w:pPr>
              <w:pStyle w:val="TableParagraph"/>
              <w:spacing w:line="240" w:lineRule="auto"/>
              <w:ind w:left="113"/>
              <w:rPr>
                <w:rFonts w:cs="Arial"/>
                <w:sz w:val="20"/>
                <w:szCs w:val="20"/>
              </w:rPr>
            </w:pPr>
            <w:r w:rsidRPr="0044579A">
              <w:rPr>
                <w:rFonts w:cs="Arial"/>
                <w:sz w:val="20"/>
                <w:szCs w:val="20"/>
              </w:rPr>
              <w:t>OD-positive cell</w:t>
            </w:r>
          </w:p>
        </w:tc>
        <w:tc>
          <w:tcPr>
            <w:tcW w:w="4680" w:type="dxa"/>
            <w:vAlign w:val="center"/>
          </w:tcPr>
          <w:p w14:paraId="05A5998B" w14:textId="2E8A898B" w:rsidR="002058EA" w:rsidRPr="0044579A" w:rsidRDefault="002058EA" w:rsidP="0071224E">
            <w:pPr>
              <w:pStyle w:val="TableParagraph"/>
              <w:spacing w:line="240" w:lineRule="auto"/>
              <w:ind w:left="113"/>
              <w:rPr>
                <w:rFonts w:cs="Arial"/>
                <w:sz w:val="20"/>
                <w:szCs w:val="20"/>
              </w:rPr>
            </w:pPr>
            <w:r w:rsidRPr="0044579A">
              <w:rPr>
                <w:rFonts w:cs="Arial"/>
                <w:sz w:val="20"/>
                <w:szCs w:val="20"/>
              </w:rPr>
              <w:t>Tumor cell</w:t>
            </w:r>
            <w:r w:rsidR="00B44A56" w:rsidRPr="0044579A">
              <w:rPr>
                <w:rFonts w:cs="Arial"/>
                <w:sz w:val="20"/>
                <w:szCs w:val="20"/>
              </w:rPr>
              <w:t>s</w:t>
            </w:r>
            <w:r w:rsidRPr="0044579A">
              <w:rPr>
                <w:rFonts w:cs="Arial"/>
                <w:sz w:val="20"/>
                <w:szCs w:val="20"/>
              </w:rPr>
              <w:t xml:space="preserve"> that </w:t>
            </w:r>
            <w:proofErr w:type="gramStart"/>
            <w:r w:rsidRPr="0044579A">
              <w:rPr>
                <w:rFonts w:cs="Arial"/>
                <w:sz w:val="20"/>
                <w:szCs w:val="20"/>
              </w:rPr>
              <w:t>shows</w:t>
            </w:r>
            <w:proofErr w:type="gramEnd"/>
            <w:r w:rsidRPr="0044579A">
              <w:rPr>
                <w:rFonts w:cs="Arial"/>
                <w:sz w:val="20"/>
                <w:szCs w:val="20"/>
              </w:rPr>
              <w:t xml:space="preserve"> an average membrane and/or cytoplasm OD larger than a predefined threshold</w:t>
            </w:r>
          </w:p>
        </w:tc>
        <w:tc>
          <w:tcPr>
            <w:tcW w:w="2430" w:type="dxa"/>
            <w:vAlign w:val="center"/>
          </w:tcPr>
          <w:p w14:paraId="3D0017A7" w14:textId="77777777" w:rsidR="002058EA" w:rsidRPr="0044579A" w:rsidRDefault="002058EA" w:rsidP="0071224E">
            <w:pPr>
              <w:pStyle w:val="TableParagraph"/>
              <w:spacing w:line="240" w:lineRule="auto"/>
              <w:ind w:left="113"/>
              <w:rPr>
                <w:rFonts w:cs="Arial"/>
                <w:sz w:val="20"/>
                <w:szCs w:val="20"/>
              </w:rPr>
            </w:pPr>
          </w:p>
        </w:tc>
      </w:tr>
    </w:tbl>
    <w:p w14:paraId="6F105F8E" w14:textId="77777777" w:rsidR="000F1FAB" w:rsidRPr="0044579A" w:rsidRDefault="000F1FAB" w:rsidP="000F1FAB">
      <w:pPr>
        <w:pStyle w:val="BodyText"/>
        <w:spacing w:line="240" w:lineRule="auto"/>
        <w:rPr>
          <w:rFonts w:cs="Arial"/>
        </w:rPr>
      </w:pPr>
    </w:p>
    <w:p w14:paraId="40E11611" w14:textId="175AC1BA" w:rsidR="002058EA" w:rsidRPr="0044579A" w:rsidRDefault="002058EA" w:rsidP="00DD2825">
      <w:pPr>
        <w:pStyle w:val="BodyText"/>
        <w:spacing w:before="100" w:beforeAutospacing="1" w:line="360" w:lineRule="auto"/>
      </w:pPr>
      <w:r w:rsidRPr="0044579A">
        <w:rPr>
          <w:rFonts w:cs="Arial"/>
        </w:rPr>
        <w:t>ASCO, American Society of Clinical Oncology; CAP, College of American Pathologists; DAB, 3,3'-diaminobenzidine; HER2, human epidermal growth factor receptor 2; HSD, hue saturation density; IHC, immunohistochemistry; ISH, in situ hybridization; OD, optical density; QCS, quantitative continuous scoring; WSI, whole-slide image.</w:t>
      </w:r>
    </w:p>
    <w:p w14:paraId="161869CA" w14:textId="599A65FF" w:rsidR="000E2ADD" w:rsidRPr="0044579A" w:rsidRDefault="000E2ADD">
      <w:pPr>
        <w:spacing w:line="240" w:lineRule="auto"/>
        <w:rPr>
          <w:sz w:val="20"/>
          <w:szCs w:val="20"/>
        </w:rPr>
      </w:pPr>
    </w:p>
    <w:p w14:paraId="6BEFF75A" w14:textId="57648188" w:rsidR="000E2ADD" w:rsidRPr="0044579A" w:rsidRDefault="000E2ADD">
      <w:pPr>
        <w:spacing w:line="240" w:lineRule="auto"/>
        <w:rPr>
          <w:b/>
          <w:bCs/>
        </w:rPr>
      </w:pPr>
      <w:r w:rsidRPr="0044579A">
        <w:rPr>
          <w:b/>
          <w:bCs/>
        </w:rPr>
        <w:br w:type="page"/>
      </w:r>
    </w:p>
    <w:p w14:paraId="1B834C88" w14:textId="0A7D43E7" w:rsidR="000E2ADD" w:rsidRPr="0044579A" w:rsidRDefault="000E2ADD" w:rsidP="000E2ADD">
      <w:pPr>
        <w:pStyle w:val="BodyText"/>
        <w:ind w:right="1229"/>
        <w:rPr>
          <w:rFonts w:cs="Arial"/>
          <w:sz w:val="24"/>
          <w:szCs w:val="24"/>
        </w:rPr>
      </w:pPr>
      <w:r w:rsidRPr="0044579A">
        <w:rPr>
          <w:rFonts w:cs="Arial"/>
          <w:b/>
          <w:sz w:val="24"/>
          <w:szCs w:val="24"/>
        </w:rPr>
        <w:lastRenderedPageBreak/>
        <w:t xml:space="preserve">Supplementary Table S2. </w:t>
      </w:r>
      <w:r w:rsidRPr="0044579A">
        <w:rPr>
          <w:rFonts w:cs="Arial"/>
          <w:sz w:val="24"/>
          <w:szCs w:val="24"/>
        </w:rPr>
        <w:t>Explanation and details of QCS features used in J101 study.</w:t>
      </w:r>
    </w:p>
    <w:tbl>
      <w:tblPr>
        <w:tblW w:w="49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23"/>
      </w:tblGrid>
      <w:tr w:rsidR="000E2ADD" w:rsidRPr="0044579A" w14:paraId="622787EA" w14:textId="77777777" w:rsidTr="00B978A0">
        <w:trPr>
          <w:trHeight w:val="567"/>
        </w:trPr>
        <w:tc>
          <w:tcPr>
            <w:tcW w:w="1289" w:type="pct"/>
            <w:vAlign w:val="center"/>
          </w:tcPr>
          <w:p w14:paraId="6FF12264" w14:textId="77777777" w:rsidR="000E2ADD" w:rsidRPr="0044579A" w:rsidRDefault="000E2ADD" w:rsidP="00FE4ED7">
            <w:pPr>
              <w:pStyle w:val="TableParagraph"/>
              <w:spacing w:line="200" w:lineRule="exact"/>
              <w:ind w:left="170"/>
              <w:rPr>
                <w:rFonts w:cs="Arial"/>
                <w:b/>
                <w:sz w:val="20"/>
                <w:szCs w:val="20"/>
              </w:rPr>
            </w:pPr>
            <w:r w:rsidRPr="0044579A">
              <w:rPr>
                <w:rFonts w:cs="Arial"/>
                <w:b/>
                <w:sz w:val="20"/>
                <w:szCs w:val="20"/>
              </w:rPr>
              <w:t>Feature</w:t>
            </w:r>
          </w:p>
        </w:tc>
        <w:tc>
          <w:tcPr>
            <w:tcW w:w="3711" w:type="pct"/>
            <w:vAlign w:val="center"/>
          </w:tcPr>
          <w:p w14:paraId="10C14959" w14:textId="77777777" w:rsidR="000E2ADD" w:rsidRPr="0044579A" w:rsidRDefault="000E2ADD" w:rsidP="00FE4ED7">
            <w:pPr>
              <w:pStyle w:val="TableParagraph"/>
              <w:spacing w:line="200" w:lineRule="exact"/>
              <w:ind w:left="170"/>
              <w:rPr>
                <w:rFonts w:cs="Arial"/>
                <w:b/>
                <w:sz w:val="20"/>
                <w:szCs w:val="20"/>
              </w:rPr>
            </w:pPr>
            <w:r w:rsidRPr="0044579A">
              <w:rPr>
                <w:rFonts w:cs="Arial"/>
                <w:b/>
                <w:sz w:val="20"/>
                <w:szCs w:val="20"/>
              </w:rPr>
              <w:t>Explanation</w:t>
            </w:r>
          </w:p>
        </w:tc>
      </w:tr>
      <w:tr w:rsidR="00E937FD" w:rsidRPr="0044579A" w14:paraId="523F7376" w14:textId="77777777" w:rsidTr="00B978A0">
        <w:trPr>
          <w:trHeight w:val="283"/>
        </w:trPr>
        <w:tc>
          <w:tcPr>
            <w:tcW w:w="1289" w:type="pct"/>
            <w:vAlign w:val="center"/>
          </w:tcPr>
          <w:p w14:paraId="6A3767AA" w14:textId="1725905C" w:rsidR="00E937FD" w:rsidRPr="0044579A" w:rsidRDefault="00E937FD" w:rsidP="00E937FD">
            <w:pPr>
              <w:pStyle w:val="TableParagraph"/>
              <w:spacing w:line="200" w:lineRule="exact"/>
              <w:ind w:left="170"/>
              <w:rPr>
                <w:rFonts w:cs="Arial"/>
                <w:sz w:val="20"/>
                <w:szCs w:val="20"/>
              </w:rPr>
            </w:pPr>
            <w:r w:rsidRPr="0044579A">
              <w:rPr>
                <w:rFonts w:cs="Arial"/>
                <w:sz w:val="20"/>
                <w:szCs w:val="20"/>
              </w:rPr>
              <w:t>Membrane OD levels</w:t>
            </w:r>
          </w:p>
        </w:tc>
        <w:tc>
          <w:tcPr>
            <w:tcW w:w="3711" w:type="pct"/>
            <w:vAlign w:val="center"/>
          </w:tcPr>
          <w:p w14:paraId="6A90DB71" w14:textId="171FCD6D" w:rsidR="00E937FD" w:rsidRPr="0044579A" w:rsidRDefault="00E937FD" w:rsidP="00E937FD">
            <w:pPr>
              <w:pStyle w:val="TableParagraph"/>
              <w:spacing w:line="200" w:lineRule="exact"/>
              <w:ind w:left="170"/>
              <w:rPr>
                <w:rFonts w:cs="Arial"/>
                <w:sz w:val="20"/>
                <w:szCs w:val="20"/>
              </w:rPr>
            </w:pPr>
            <w:r w:rsidRPr="0044579A">
              <w:rPr>
                <w:rFonts w:cs="Arial"/>
                <w:sz w:val="20"/>
                <w:szCs w:val="20"/>
              </w:rPr>
              <w:t xml:space="preserve">Measure of </w:t>
            </w:r>
            <w:r w:rsidRPr="0044579A">
              <w:rPr>
                <w:rFonts w:cs="Arial"/>
                <w:b/>
                <w:bCs/>
                <w:sz w:val="20"/>
                <w:szCs w:val="20"/>
              </w:rPr>
              <w:t xml:space="preserve">staining intensity </w:t>
            </w:r>
            <w:r w:rsidRPr="0044579A">
              <w:rPr>
                <w:rFonts w:cs="Arial"/>
                <w:sz w:val="20"/>
                <w:szCs w:val="20"/>
              </w:rPr>
              <w:t xml:space="preserve">at membrane of tumor cells. E.g., 10% quantile means that 10% of tumor cells </w:t>
            </w:r>
            <w:proofErr w:type="gramStart"/>
            <w:r w:rsidRPr="0044579A">
              <w:rPr>
                <w:rFonts w:cs="Arial"/>
                <w:sz w:val="20"/>
                <w:szCs w:val="20"/>
              </w:rPr>
              <w:t>in a given</w:t>
            </w:r>
            <w:proofErr w:type="gramEnd"/>
            <w:r w:rsidRPr="0044579A">
              <w:rPr>
                <w:rFonts w:cs="Arial"/>
                <w:sz w:val="20"/>
                <w:szCs w:val="20"/>
              </w:rPr>
              <w:t xml:space="preserve"> case show an OD level below the reported value while the remaining 90% show a higher OD level.</w:t>
            </w:r>
          </w:p>
        </w:tc>
      </w:tr>
      <w:tr w:rsidR="00E937FD" w:rsidRPr="0044579A" w14:paraId="10FA1C6C" w14:textId="77777777" w:rsidTr="00B978A0">
        <w:trPr>
          <w:trHeight w:val="567"/>
        </w:trPr>
        <w:tc>
          <w:tcPr>
            <w:tcW w:w="1289" w:type="pct"/>
            <w:vAlign w:val="center"/>
          </w:tcPr>
          <w:p w14:paraId="63CD233F" w14:textId="77777777" w:rsidR="00E937FD" w:rsidRPr="0044579A" w:rsidRDefault="00E937FD" w:rsidP="00E937FD">
            <w:pPr>
              <w:pStyle w:val="TableParagraph"/>
              <w:spacing w:line="200" w:lineRule="exact"/>
              <w:ind w:left="170"/>
              <w:rPr>
                <w:rFonts w:cs="Arial"/>
                <w:sz w:val="20"/>
                <w:szCs w:val="20"/>
              </w:rPr>
            </w:pPr>
            <w:r w:rsidRPr="0044579A">
              <w:rPr>
                <w:rFonts w:cs="Arial"/>
                <w:sz w:val="20"/>
                <w:szCs w:val="20"/>
              </w:rPr>
              <w:t>% OD-positive cells</w:t>
            </w:r>
          </w:p>
        </w:tc>
        <w:tc>
          <w:tcPr>
            <w:tcW w:w="3711" w:type="pct"/>
            <w:vAlign w:val="center"/>
          </w:tcPr>
          <w:p w14:paraId="4FCE1C66" w14:textId="77777777" w:rsidR="00E937FD" w:rsidRPr="0044579A" w:rsidRDefault="00E937FD" w:rsidP="00E937FD">
            <w:pPr>
              <w:pStyle w:val="TableParagraph"/>
              <w:spacing w:line="200" w:lineRule="exact"/>
              <w:ind w:left="170"/>
              <w:rPr>
                <w:rFonts w:cs="Arial"/>
                <w:sz w:val="20"/>
                <w:szCs w:val="20"/>
              </w:rPr>
            </w:pPr>
            <w:r w:rsidRPr="0044579A">
              <w:rPr>
                <w:rFonts w:cs="Arial"/>
                <w:b/>
                <w:bCs/>
                <w:sz w:val="20"/>
                <w:szCs w:val="20"/>
              </w:rPr>
              <w:t xml:space="preserve">Measure of the abundance of positive cells </w:t>
            </w:r>
            <w:r w:rsidRPr="0044579A">
              <w:rPr>
                <w:rFonts w:cs="Arial"/>
                <w:sz w:val="20"/>
                <w:szCs w:val="20"/>
              </w:rPr>
              <w:t>at a given intensity level relative to the total number of epithelial cells:</w:t>
            </w:r>
          </w:p>
          <w:p w14:paraId="31246034" w14:textId="77777777" w:rsidR="00E937FD" w:rsidRPr="0044579A" w:rsidRDefault="00E937FD" w:rsidP="00E937FD">
            <w:pPr>
              <w:pStyle w:val="TableParagraph"/>
              <w:spacing w:line="200" w:lineRule="exact"/>
              <w:ind w:left="170"/>
              <w:rPr>
                <w:rFonts w:cs="Arial"/>
                <w:sz w:val="20"/>
                <w:szCs w:val="20"/>
              </w:rPr>
            </w:pPr>
            <w:r w:rsidRPr="0044579A">
              <w:rPr>
                <w:rFonts w:cs="Arial"/>
                <w:i/>
                <w:iCs/>
                <w:sz w:val="20"/>
                <w:szCs w:val="20"/>
              </w:rPr>
              <w:t># positive tumor cells/# all tumor cells</w:t>
            </w:r>
          </w:p>
          <w:p w14:paraId="5B8B7AFD" w14:textId="41BBD629" w:rsidR="00E937FD" w:rsidRPr="0044579A" w:rsidRDefault="00E937FD" w:rsidP="00E937FD">
            <w:pPr>
              <w:pStyle w:val="TableParagraph"/>
              <w:spacing w:line="200" w:lineRule="exact"/>
              <w:ind w:left="170"/>
              <w:rPr>
                <w:rFonts w:cs="Arial"/>
                <w:sz w:val="20"/>
                <w:szCs w:val="20"/>
              </w:rPr>
            </w:pPr>
            <w:r w:rsidRPr="0044579A">
              <w:rPr>
                <w:rFonts w:cs="Arial"/>
                <w:sz w:val="20"/>
                <w:szCs w:val="20"/>
              </w:rPr>
              <w:t>OD threshold defines the minimal OD level for a cell to be considered positive.</w:t>
            </w:r>
          </w:p>
        </w:tc>
      </w:tr>
      <w:tr w:rsidR="00E937FD" w:rsidRPr="0044579A" w14:paraId="1ED58A66" w14:textId="77777777" w:rsidTr="00B978A0">
        <w:trPr>
          <w:trHeight w:val="567"/>
        </w:trPr>
        <w:tc>
          <w:tcPr>
            <w:tcW w:w="1289" w:type="pct"/>
            <w:vAlign w:val="center"/>
          </w:tcPr>
          <w:p w14:paraId="66210CE9" w14:textId="76F33506" w:rsidR="00E937FD" w:rsidRPr="0044579A" w:rsidRDefault="00E937FD" w:rsidP="00E937FD">
            <w:pPr>
              <w:pStyle w:val="TableParagraph"/>
              <w:spacing w:line="200" w:lineRule="exact"/>
              <w:ind w:left="170"/>
              <w:rPr>
                <w:rFonts w:cs="Arial"/>
                <w:sz w:val="20"/>
                <w:szCs w:val="20"/>
              </w:rPr>
            </w:pPr>
            <w:r w:rsidRPr="0044579A">
              <w:rPr>
                <w:rFonts w:cs="Arial"/>
                <w:sz w:val="20"/>
                <w:szCs w:val="20"/>
              </w:rPr>
              <w:t>Density of OD positive cells</w:t>
            </w:r>
          </w:p>
        </w:tc>
        <w:tc>
          <w:tcPr>
            <w:tcW w:w="3711" w:type="pct"/>
            <w:vAlign w:val="center"/>
          </w:tcPr>
          <w:p w14:paraId="6B461C97" w14:textId="77777777" w:rsidR="00E937FD" w:rsidRPr="0044579A" w:rsidRDefault="00E937FD" w:rsidP="00E937FD">
            <w:pPr>
              <w:pStyle w:val="TableParagraph"/>
              <w:spacing w:line="200" w:lineRule="exact"/>
              <w:ind w:left="170"/>
              <w:rPr>
                <w:rFonts w:cs="Arial"/>
                <w:sz w:val="20"/>
                <w:szCs w:val="20"/>
              </w:rPr>
            </w:pPr>
            <w:r w:rsidRPr="0044579A">
              <w:rPr>
                <w:rFonts w:cs="Arial"/>
                <w:sz w:val="20"/>
                <w:szCs w:val="20"/>
              </w:rPr>
              <w:t>Measure of the abundance of positive cells at a given intensity level relative to the area size of the region of interest (ROI):</w:t>
            </w:r>
          </w:p>
          <w:p w14:paraId="7BC3BEF8" w14:textId="77777777" w:rsidR="00E937FD" w:rsidRPr="0044579A" w:rsidRDefault="00E937FD" w:rsidP="00E937FD">
            <w:pPr>
              <w:pStyle w:val="TableParagraph"/>
              <w:spacing w:line="200" w:lineRule="exact"/>
              <w:ind w:left="170"/>
              <w:rPr>
                <w:rFonts w:cs="Arial"/>
                <w:sz w:val="20"/>
                <w:szCs w:val="20"/>
              </w:rPr>
            </w:pPr>
            <w:r w:rsidRPr="0044579A">
              <w:rPr>
                <w:rFonts w:cs="Arial"/>
                <w:sz w:val="20"/>
                <w:szCs w:val="20"/>
              </w:rPr>
              <w:t># positive cells/mm2</w:t>
            </w:r>
          </w:p>
          <w:p w14:paraId="1CF930E5" w14:textId="7EFD14BB" w:rsidR="00E937FD" w:rsidRPr="0044579A" w:rsidRDefault="00E937FD" w:rsidP="00E937FD">
            <w:pPr>
              <w:pStyle w:val="TableParagraph"/>
              <w:spacing w:line="200" w:lineRule="exact"/>
              <w:ind w:left="170"/>
              <w:rPr>
                <w:rFonts w:cs="Arial"/>
                <w:sz w:val="20"/>
                <w:szCs w:val="20"/>
              </w:rPr>
            </w:pPr>
            <w:r w:rsidRPr="0044579A">
              <w:rPr>
                <w:rFonts w:eastAsiaTheme="minorHAnsi" w:cs="Arial"/>
                <w:sz w:val="20"/>
                <w:szCs w:val="20"/>
              </w:rPr>
              <w:t>OD threshold defines the minimal OD level for a cell to be considered positive. ROI can be tumor epithelium only or whole tumor region (including tumor associated stroma).</w:t>
            </w:r>
          </w:p>
        </w:tc>
      </w:tr>
      <w:tr w:rsidR="00E937FD" w:rsidRPr="0044579A" w14:paraId="1CE1F5BF" w14:textId="77777777" w:rsidTr="00B978A0">
        <w:trPr>
          <w:trHeight w:val="567"/>
        </w:trPr>
        <w:tc>
          <w:tcPr>
            <w:tcW w:w="1289" w:type="pct"/>
            <w:vAlign w:val="center"/>
          </w:tcPr>
          <w:p w14:paraId="012B304B" w14:textId="489580C0" w:rsidR="00E937FD" w:rsidRPr="0044579A" w:rsidRDefault="00E937FD" w:rsidP="00E937FD">
            <w:pPr>
              <w:pStyle w:val="TableParagraph"/>
              <w:spacing w:line="200" w:lineRule="exact"/>
              <w:ind w:left="170"/>
              <w:rPr>
                <w:rFonts w:cs="Arial"/>
                <w:sz w:val="20"/>
                <w:szCs w:val="20"/>
              </w:rPr>
            </w:pPr>
            <w:r w:rsidRPr="0044579A">
              <w:rPr>
                <w:rFonts w:cs="Arial"/>
                <w:sz w:val="20"/>
                <w:szCs w:val="20"/>
              </w:rPr>
              <w:t>Binary Spatial Proximity Score (</w:t>
            </w:r>
            <w:proofErr w:type="spellStart"/>
            <w:r w:rsidRPr="0044579A">
              <w:rPr>
                <w:rFonts w:cs="Arial"/>
                <w:sz w:val="20"/>
                <w:szCs w:val="20"/>
              </w:rPr>
              <w:t>bSPS</w:t>
            </w:r>
            <w:proofErr w:type="spellEnd"/>
            <w:r w:rsidRPr="0044579A">
              <w:rPr>
                <w:rFonts w:cs="Arial"/>
                <w:sz w:val="20"/>
                <w:szCs w:val="20"/>
              </w:rPr>
              <w:t>)</w:t>
            </w:r>
          </w:p>
        </w:tc>
        <w:tc>
          <w:tcPr>
            <w:tcW w:w="3711" w:type="pct"/>
            <w:vAlign w:val="center"/>
          </w:tcPr>
          <w:p w14:paraId="70E85A6D" w14:textId="27B680FD" w:rsidR="00E937FD" w:rsidRPr="0044579A" w:rsidRDefault="00E937FD" w:rsidP="00E937FD">
            <w:pPr>
              <w:pStyle w:val="TableParagraph"/>
              <w:spacing w:line="200" w:lineRule="exact"/>
              <w:ind w:left="170"/>
              <w:rPr>
                <w:rFonts w:cs="Arial"/>
                <w:sz w:val="20"/>
                <w:szCs w:val="20"/>
              </w:rPr>
            </w:pPr>
            <w:r w:rsidRPr="0044579A">
              <w:rPr>
                <w:rFonts w:cs="Arial"/>
                <w:sz w:val="20"/>
                <w:szCs w:val="20"/>
              </w:rPr>
              <w:t>The percentage of tumor cells that are likely to be affected either directly (due to their own target expression) or via bystander activity (due to any neighbor’s target expression). The radius defines the maximum distance to consider a positive neighbor, the OD threshold defines the minimum OD to consider a cell positive.</w:t>
            </w:r>
          </w:p>
        </w:tc>
      </w:tr>
      <w:tr w:rsidR="00E937FD" w:rsidRPr="0044579A" w14:paraId="472A4C2A" w14:textId="77777777" w:rsidTr="00B978A0">
        <w:trPr>
          <w:trHeight w:val="567"/>
        </w:trPr>
        <w:tc>
          <w:tcPr>
            <w:tcW w:w="1289" w:type="pct"/>
            <w:vAlign w:val="center"/>
          </w:tcPr>
          <w:p w14:paraId="239D5FDA" w14:textId="093F719E" w:rsidR="00E937FD" w:rsidRPr="0044579A" w:rsidRDefault="00E937FD" w:rsidP="00E937FD">
            <w:pPr>
              <w:pStyle w:val="TableParagraph"/>
              <w:spacing w:line="200" w:lineRule="exact"/>
              <w:ind w:left="170"/>
              <w:rPr>
                <w:rFonts w:cs="Arial"/>
                <w:sz w:val="20"/>
                <w:szCs w:val="20"/>
              </w:rPr>
            </w:pPr>
            <w:r w:rsidRPr="0044579A">
              <w:rPr>
                <w:rFonts w:cs="Arial"/>
                <w:sz w:val="20"/>
                <w:szCs w:val="20"/>
              </w:rPr>
              <w:t>Continuous Spatial Proximity Scores (cSPS)</w:t>
            </w:r>
          </w:p>
        </w:tc>
        <w:tc>
          <w:tcPr>
            <w:tcW w:w="3711" w:type="pct"/>
            <w:vAlign w:val="center"/>
          </w:tcPr>
          <w:p w14:paraId="7C9DA75B" w14:textId="4ED5EFA4" w:rsidR="00E937FD" w:rsidRPr="0044579A" w:rsidRDefault="00E937FD" w:rsidP="00E937FD">
            <w:pPr>
              <w:pStyle w:val="TableParagraph"/>
              <w:spacing w:line="200" w:lineRule="exact"/>
              <w:ind w:left="170"/>
              <w:rPr>
                <w:rFonts w:cs="Arial"/>
                <w:sz w:val="20"/>
                <w:szCs w:val="20"/>
              </w:rPr>
            </w:pPr>
            <w:r w:rsidRPr="0044579A">
              <w:rPr>
                <w:rFonts w:cs="Arial"/>
                <w:sz w:val="20"/>
                <w:szCs w:val="20"/>
              </w:rPr>
              <w:t>The total OD level contributing to a tumor cell’s susceptibility to a given drug due to their own target expression or their neighbors’ target expression (potential bystander activity). Neighbor contributions are weighted by their distance. The radius defines the maximum distance to consider a neighbor. E.g.</w:t>
            </w:r>
            <w:r w:rsidR="0008264B" w:rsidRPr="0044579A">
              <w:rPr>
                <w:rFonts w:cs="Arial"/>
                <w:sz w:val="20"/>
                <w:szCs w:val="20"/>
              </w:rPr>
              <w:t>,</w:t>
            </w:r>
            <w:r w:rsidRPr="0044579A">
              <w:rPr>
                <w:rFonts w:cs="Arial"/>
                <w:sz w:val="20"/>
                <w:szCs w:val="20"/>
              </w:rPr>
              <w:t xml:space="preserve"> 25% quantile means that 25% of tumor cells </w:t>
            </w:r>
            <w:proofErr w:type="gramStart"/>
            <w:r w:rsidRPr="0044579A">
              <w:rPr>
                <w:rFonts w:cs="Arial"/>
                <w:sz w:val="20"/>
                <w:szCs w:val="20"/>
              </w:rPr>
              <w:t>in a given</w:t>
            </w:r>
            <w:proofErr w:type="gramEnd"/>
            <w:r w:rsidRPr="0044579A">
              <w:rPr>
                <w:rFonts w:cs="Arial"/>
                <w:sz w:val="20"/>
                <w:szCs w:val="20"/>
              </w:rPr>
              <w:t xml:space="preserve"> case show a total OD level below the reported value while the remaining 75% show a higher value.</w:t>
            </w:r>
          </w:p>
        </w:tc>
      </w:tr>
    </w:tbl>
    <w:p w14:paraId="6E5C99C7" w14:textId="7CA710A1" w:rsidR="00936CBD" w:rsidRPr="0044579A" w:rsidRDefault="00936CBD" w:rsidP="00DD2825">
      <w:pPr>
        <w:pStyle w:val="BodyText"/>
        <w:spacing w:before="100" w:beforeAutospacing="1" w:line="360" w:lineRule="auto"/>
      </w:pPr>
      <w:r w:rsidRPr="0044579A">
        <w:rPr>
          <w:rFonts w:cs="Arial"/>
        </w:rPr>
        <w:t>OD, optical density; QCS, quantitative continuous scoring; WSI, whole-slide image.</w:t>
      </w:r>
    </w:p>
    <w:p w14:paraId="43B0AD2A" w14:textId="73691FA7" w:rsidR="00C205D5" w:rsidRPr="0044579A" w:rsidRDefault="00C205D5">
      <w:pPr>
        <w:spacing w:line="240" w:lineRule="auto"/>
        <w:rPr>
          <w:sz w:val="20"/>
          <w:szCs w:val="20"/>
        </w:rPr>
      </w:pPr>
      <w:r w:rsidRPr="0044579A">
        <w:rPr>
          <w:sz w:val="20"/>
          <w:szCs w:val="20"/>
        </w:rPr>
        <w:br w:type="page"/>
      </w:r>
    </w:p>
    <w:p w14:paraId="1E31535A" w14:textId="0E8F0E30" w:rsidR="00C205D5" w:rsidRPr="0044579A" w:rsidRDefault="00C205D5" w:rsidP="00C205D5">
      <w:pPr>
        <w:pStyle w:val="BodyText"/>
        <w:ind w:right="1229"/>
        <w:rPr>
          <w:rFonts w:cs="Arial"/>
          <w:sz w:val="24"/>
          <w:szCs w:val="24"/>
        </w:rPr>
      </w:pPr>
      <w:bookmarkStart w:id="0" w:name="_Hlk165409289"/>
      <w:r w:rsidRPr="0044579A">
        <w:rPr>
          <w:rFonts w:cs="Arial"/>
          <w:b/>
          <w:sz w:val="24"/>
          <w:szCs w:val="24"/>
        </w:rPr>
        <w:lastRenderedPageBreak/>
        <w:t xml:space="preserve">Supplementary Table S3. </w:t>
      </w:r>
      <w:r w:rsidRPr="0044579A">
        <w:rPr>
          <w:rFonts w:cs="Arial"/>
          <w:sz w:val="24"/>
          <w:szCs w:val="24"/>
        </w:rPr>
        <w:t xml:space="preserve">Explanation, </w:t>
      </w:r>
      <w:r w:rsidR="000F0EBF" w:rsidRPr="0044579A">
        <w:rPr>
          <w:rFonts w:cs="Arial"/>
          <w:sz w:val="24"/>
          <w:szCs w:val="24"/>
        </w:rPr>
        <w:t>illustration,</w:t>
      </w:r>
      <w:r w:rsidRPr="0044579A">
        <w:rPr>
          <w:rFonts w:cs="Arial"/>
          <w:sz w:val="24"/>
          <w:szCs w:val="24"/>
        </w:rPr>
        <w:t xml:space="preserve"> and details of image analysis testing metrics.</w:t>
      </w:r>
      <w:bookmarkEnd w:id="0"/>
    </w:p>
    <w:p w14:paraId="79A3DBB9" w14:textId="77777777" w:rsidR="00C205D5" w:rsidRPr="0044579A" w:rsidRDefault="00C205D5">
      <w:pPr>
        <w:spacing w:line="240" w:lineRule="auto"/>
        <w:rPr>
          <w:sz w:val="20"/>
          <w:szCs w:val="20"/>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5"/>
        <w:gridCol w:w="1261"/>
        <w:gridCol w:w="2289"/>
        <w:gridCol w:w="4230"/>
      </w:tblGrid>
      <w:tr w:rsidR="00C205D5" w:rsidRPr="0044579A" w14:paraId="506BC4B3" w14:textId="77777777" w:rsidTr="00C205D5">
        <w:trPr>
          <w:cantSplit/>
          <w:tblHeader/>
        </w:trPr>
        <w:tc>
          <w:tcPr>
            <w:tcW w:w="1215" w:type="dxa"/>
            <w:shd w:val="clear" w:color="auto" w:fill="auto"/>
          </w:tcPr>
          <w:p w14:paraId="77B35D4E" w14:textId="77777777" w:rsidR="00C205D5" w:rsidRPr="0044579A" w:rsidRDefault="00C205D5" w:rsidP="00FE4ED7">
            <w:pPr>
              <w:spacing w:before="40" w:after="40" w:line="276" w:lineRule="auto"/>
              <w:rPr>
                <w:rFonts w:cs="Arial"/>
                <w:b/>
                <w:sz w:val="20"/>
                <w:szCs w:val="20"/>
              </w:rPr>
            </w:pPr>
            <w:r w:rsidRPr="0044579A">
              <w:rPr>
                <w:rFonts w:cs="Arial"/>
                <w:b/>
                <w:sz w:val="20"/>
                <w:szCs w:val="20"/>
              </w:rPr>
              <w:t>Test</w:t>
            </w:r>
          </w:p>
        </w:tc>
        <w:tc>
          <w:tcPr>
            <w:tcW w:w="1261" w:type="dxa"/>
          </w:tcPr>
          <w:p w14:paraId="370F69E1" w14:textId="77777777" w:rsidR="00C205D5" w:rsidRPr="0044579A" w:rsidRDefault="00C205D5" w:rsidP="00FE4ED7">
            <w:pPr>
              <w:spacing w:before="40" w:after="40" w:line="276" w:lineRule="auto"/>
              <w:rPr>
                <w:rFonts w:cs="Arial"/>
                <w:b/>
                <w:sz w:val="20"/>
                <w:szCs w:val="20"/>
              </w:rPr>
            </w:pPr>
            <w:r w:rsidRPr="0044579A">
              <w:rPr>
                <w:rFonts w:cs="Arial"/>
                <w:b/>
                <w:sz w:val="20"/>
                <w:szCs w:val="20"/>
              </w:rPr>
              <w:t>Metric</w:t>
            </w:r>
          </w:p>
        </w:tc>
        <w:tc>
          <w:tcPr>
            <w:tcW w:w="2289" w:type="dxa"/>
          </w:tcPr>
          <w:p w14:paraId="655DAFFB" w14:textId="77777777" w:rsidR="00C205D5" w:rsidRPr="0044579A" w:rsidRDefault="00C205D5" w:rsidP="00FE4ED7">
            <w:pPr>
              <w:spacing w:before="40" w:after="40" w:line="276" w:lineRule="auto"/>
              <w:rPr>
                <w:rFonts w:cs="Arial"/>
                <w:b/>
                <w:sz w:val="20"/>
                <w:szCs w:val="20"/>
              </w:rPr>
            </w:pPr>
            <w:r w:rsidRPr="0044579A">
              <w:rPr>
                <w:rFonts w:cs="Arial"/>
                <w:b/>
                <w:sz w:val="20"/>
                <w:szCs w:val="20"/>
              </w:rPr>
              <w:t>Illustration</w:t>
            </w:r>
          </w:p>
        </w:tc>
        <w:tc>
          <w:tcPr>
            <w:tcW w:w="4230" w:type="dxa"/>
            <w:shd w:val="clear" w:color="auto" w:fill="auto"/>
          </w:tcPr>
          <w:p w14:paraId="563528D1" w14:textId="77777777" w:rsidR="00C205D5" w:rsidRPr="0044579A" w:rsidRDefault="00C205D5" w:rsidP="00FE4ED7">
            <w:pPr>
              <w:spacing w:before="40" w:after="40" w:line="276" w:lineRule="auto"/>
              <w:rPr>
                <w:rFonts w:cs="Arial"/>
                <w:b/>
                <w:sz w:val="20"/>
                <w:szCs w:val="20"/>
              </w:rPr>
            </w:pPr>
            <w:r w:rsidRPr="0044579A">
              <w:rPr>
                <w:rFonts w:cs="Arial"/>
                <w:b/>
                <w:sz w:val="20"/>
                <w:szCs w:val="20"/>
              </w:rPr>
              <w:t>Details</w:t>
            </w:r>
          </w:p>
        </w:tc>
      </w:tr>
      <w:tr w:rsidR="00C205D5" w:rsidRPr="0044579A" w14:paraId="458C794B" w14:textId="77777777" w:rsidTr="00C205D5">
        <w:trPr>
          <w:cantSplit/>
        </w:trPr>
        <w:tc>
          <w:tcPr>
            <w:tcW w:w="1215" w:type="dxa"/>
            <w:shd w:val="clear" w:color="auto" w:fill="auto"/>
          </w:tcPr>
          <w:p w14:paraId="5165DAA6" w14:textId="77777777" w:rsidR="00C205D5" w:rsidRPr="0044579A" w:rsidRDefault="00C205D5" w:rsidP="00FE4ED7">
            <w:pPr>
              <w:spacing w:before="40" w:after="40" w:line="276" w:lineRule="auto"/>
              <w:rPr>
                <w:rFonts w:cs="Arial"/>
                <w:bCs/>
                <w:kern w:val="32"/>
                <w:sz w:val="20"/>
                <w:szCs w:val="20"/>
                <w:lang w:val="en-GB"/>
              </w:rPr>
            </w:pPr>
            <w:r w:rsidRPr="0044579A">
              <w:rPr>
                <w:rFonts w:cs="Arial"/>
                <w:bCs/>
                <w:kern w:val="32"/>
                <w:sz w:val="20"/>
                <w:szCs w:val="20"/>
                <w:lang w:val="en-GB"/>
              </w:rPr>
              <w:t>Epithelium detection</w:t>
            </w:r>
          </w:p>
        </w:tc>
        <w:tc>
          <w:tcPr>
            <w:tcW w:w="1261" w:type="dxa"/>
          </w:tcPr>
          <w:p w14:paraId="4B81E10E" w14:textId="77777777" w:rsidR="00C205D5" w:rsidRPr="0044579A" w:rsidRDefault="00C205D5" w:rsidP="00FE4ED7">
            <w:pPr>
              <w:spacing w:before="40" w:after="40" w:line="276" w:lineRule="auto"/>
              <w:rPr>
                <w:rFonts w:cs="Arial"/>
                <w:sz w:val="20"/>
                <w:szCs w:val="20"/>
              </w:rPr>
            </w:pPr>
            <w:r w:rsidRPr="0044579A">
              <w:rPr>
                <w:rFonts w:cs="Arial"/>
                <w:sz w:val="20"/>
                <w:szCs w:val="20"/>
              </w:rPr>
              <w:t>Dice Score</w:t>
            </w:r>
          </w:p>
        </w:tc>
        <w:tc>
          <w:tcPr>
            <w:tcW w:w="2289" w:type="dxa"/>
          </w:tcPr>
          <w:p w14:paraId="50A3AC41" w14:textId="77777777" w:rsidR="00C205D5" w:rsidRPr="0044579A" w:rsidRDefault="00C205D5" w:rsidP="00FE4ED7">
            <w:pPr>
              <w:spacing w:before="40" w:after="40" w:line="276" w:lineRule="auto"/>
              <w:jc w:val="center"/>
              <w:rPr>
                <w:rFonts w:eastAsia="Symbol" w:cs="Arial"/>
                <w:sz w:val="20"/>
                <w:szCs w:val="20"/>
              </w:rPr>
            </w:pPr>
            <w:r w:rsidRPr="0044579A">
              <w:rPr>
                <w:rFonts w:eastAsia="Symbol" w:cs="Arial"/>
                <w:noProof/>
                <w:sz w:val="20"/>
                <w:szCs w:val="20"/>
              </w:rPr>
              <w:drawing>
                <wp:inline distT="0" distB="0" distL="0" distR="0" wp14:anchorId="5A357637" wp14:editId="5EC0C74A">
                  <wp:extent cx="1282890" cy="949764"/>
                  <wp:effectExtent l="0" t="0" r="0" b="3175"/>
                  <wp:docPr id="53" name="Picture 53">
                    <a:extLst xmlns:a="http://schemas.openxmlformats.org/drawingml/2006/main">
                      <a:ext uri="{FF2B5EF4-FFF2-40B4-BE49-F238E27FC236}">
                        <a16:creationId xmlns:a16="http://schemas.microsoft.com/office/drawing/2014/main" id="{677F92C1-3B88-DAA9-401B-115A97707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677F92C1-3B88-DAA9-401B-115A97707EBB}"/>
                              </a:ext>
                            </a:extLst>
                          </pic:cNvPr>
                          <pic:cNvPicPr>
                            <a:picLocks noChangeAspect="1"/>
                          </pic:cNvPicPr>
                        </pic:nvPicPr>
                        <pic:blipFill>
                          <a:blip r:embed="rId9"/>
                          <a:stretch>
                            <a:fillRect/>
                          </a:stretch>
                        </pic:blipFill>
                        <pic:spPr>
                          <a:xfrm>
                            <a:off x="0" y="0"/>
                            <a:ext cx="1289402" cy="954585"/>
                          </a:xfrm>
                          <a:prstGeom prst="rect">
                            <a:avLst/>
                          </a:prstGeom>
                        </pic:spPr>
                      </pic:pic>
                    </a:graphicData>
                  </a:graphic>
                </wp:inline>
              </w:drawing>
            </w:r>
          </w:p>
        </w:tc>
        <w:tc>
          <w:tcPr>
            <w:tcW w:w="4230" w:type="dxa"/>
            <w:shd w:val="clear" w:color="auto" w:fill="auto"/>
          </w:tcPr>
          <w:p w14:paraId="32140F1C" w14:textId="77777777" w:rsidR="00C205D5" w:rsidRPr="0044579A" w:rsidRDefault="00C205D5" w:rsidP="00FE4ED7">
            <w:pPr>
              <w:spacing w:before="40" w:after="40" w:line="276" w:lineRule="auto"/>
              <w:rPr>
                <w:rFonts w:cs="Arial"/>
                <w:sz w:val="20"/>
                <w:szCs w:val="20"/>
              </w:rPr>
            </w:pPr>
            <w:r w:rsidRPr="0044579A">
              <w:rPr>
                <w:rFonts w:cs="Arial"/>
                <w:sz w:val="20"/>
                <w:szCs w:val="20"/>
              </w:rPr>
              <w:t>The dice score measures the overlap between annotated (GT from pathologists) and the estimated (or predicted by QCS model) regions. For regions, true positives (TP), false positives (FP), false negatives (FN) and true negatives (TN) are defined by overlaps as suggested in the illustration.</w:t>
            </w:r>
          </w:p>
          <w:p w14:paraId="46946250" w14:textId="77777777" w:rsidR="00C205D5" w:rsidRPr="0044579A" w:rsidRDefault="00C205D5" w:rsidP="00FE4ED7">
            <w:pPr>
              <w:spacing w:before="40" w:after="40" w:line="276" w:lineRule="auto"/>
              <w:rPr>
                <w:rFonts w:cs="Arial"/>
                <w:b/>
                <w:bCs/>
                <w:sz w:val="20"/>
                <w:szCs w:val="20"/>
              </w:rPr>
            </w:pPr>
            <w:r w:rsidRPr="0044579A">
              <w:rPr>
                <w:rFonts w:cs="Arial"/>
                <w:b/>
                <w:bCs/>
                <w:sz w:val="20"/>
                <w:szCs w:val="20"/>
              </w:rPr>
              <w:t>Dice Score = 2 TP / (2 TP + FP + FN)</w:t>
            </w:r>
          </w:p>
        </w:tc>
      </w:tr>
      <w:tr w:rsidR="00C205D5" w:rsidRPr="0044579A" w14:paraId="275CD01B" w14:textId="77777777" w:rsidTr="00C205D5">
        <w:trPr>
          <w:cantSplit/>
        </w:trPr>
        <w:tc>
          <w:tcPr>
            <w:tcW w:w="1215" w:type="dxa"/>
            <w:shd w:val="clear" w:color="auto" w:fill="auto"/>
          </w:tcPr>
          <w:p w14:paraId="3916111B" w14:textId="77777777" w:rsidR="00C205D5" w:rsidRPr="0044579A" w:rsidRDefault="00C205D5" w:rsidP="00FE4ED7">
            <w:pPr>
              <w:spacing w:before="40" w:after="40" w:line="276" w:lineRule="auto"/>
              <w:rPr>
                <w:rFonts w:cs="Arial"/>
                <w:bCs/>
                <w:kern w:val="32"/>
                <w:sz w:val="20"/>
                <w:szCs w:val="20"/>
                <w:lang w:val="en-GB"/>
              </w:rPr>
            </w:pPr>
            <w:r w:rsidRPr="0044579A">
              <w:rPr>
                <w:rFonts w:cs="Arial"/>
                <w:bCs/>
                <w:kern w:val="32"/>
                <w:sz w:val="20"/>
                <w:szCs w:val="20"/>
                <w:lang w:val="en-GB"/>
              </w:rPr>
              <w:t xml:space="preserve">Cell </w:t>
            </w:r>
            <w:proofErr w:type="spellStart"/>
            <w:r w:rsidRPr="0044579A">
              <w:rPr>
                <w:rFonts w:cs="Arial"/>
                <w:bCs/>
                <w:kern w:val="32"/>
                <w:sz w:val="20"/>
                <w:szCs w:val="20"/>
                <w:lang w:val="en-GB"/>
              </w:rPr>
              <w:t>center</w:t>
            </w:r>
            <w:proofErr w:type="spellEnd"/>
            <w:r w:rsidRPr="0044579A">
              <w:rPr>
                <w:rFonts w:cs="Arial"/>
                <w:bCs/>
                <w:kern w:val="32"/>
                <w:sz w:val="20"/>
                <w:szCs w:val="20"/>
                <w:lang w:val="en-GB"/>
              </w:rPr>
              <w:t xml:space="preserve"> detection</w:t>
            </w:r>
          </w:p>
        </w:tc>
        <w:tc>
          <w:tcPr>
            <w:tcW w:w="1261" w:type="dxa"/>
          </w:tcPr>
          <w:p w14:paraId="1E9B1100" w14:textId="77777777" w:rsidR="00C205D5" w:rsidRPr="0044579A" w:rsidRDefault="00C205D5" w:rsidP="00FE4ED7">
            <w:pPr>
              <w:spacing w:before="40" w:after="40" w:line="276" w:lineRule="auto"/>
              <w:rPr>
                <w:rFonts w:cs="Arial"/>
                <w:sz w:val="20"/>
                <w:szCs w:val="20"/>
              </w:rPr>
            </w:pPr>
            <w:r w:rsidRPr="0044579A">
              <w:rPr>
                <w:rFonts w:cs="Arial"/>
                <w:sz w:val="20"/>
                <w:szCs w:val="20"/>
              </w:rPr>
              <w:t>F1 Score</w:t>
            </w:r>
          </w:p>
        </w:tc>
        <w:tc>
          <w:tcPr>
            <w:tcW w:w="2289" w:type="dxa"/>
          </w:tcPr>
          <w:p w14:paraId="3DE7FED2" w14:textId="77777777" w:rsidR="00C205D5" w:rsidRPr="0044579A" w:rsidRDefault="00C205D5" w:rsidP="00FE4ED7">
            <w:pPr>
              <w:spacing w:before="40" w:after="40" w:line="276" w:lineRule="auto"/>
              <w:jc w:val="center"/>
              <w:rPr>
                <w:rFonts w:eastAsia="Symbol" w:cs="Arial"/>
                <w:sz w:val="20"/>
                <w:szCs w:val="20"/>
              </w:rPr>
            </w:pPr>
            <w:r w:rsidRPr="0044579A">
              <w:rPr>
                <w:rFonts w:eastAsia="Symbol" w:cs="Arial"/>
                <w:noProof/>
                <w:sz w:val="20"/>
                <w:szCs w:val="20"/>
              </w:rPr>
              <w:drawing>
                <wp:inline distT="0" distB="0" distL="0" distR="0" wp14:anchorId="69B066F3" wp14:editId="2F6A6B5E">
                  <wp:extent cx="1281602" cy="914400"/>
                  <wp:effectExtent l="19050" t="19050" r="13970" b="19050"/>
                  <wp:docPr id="9" name="Picture 9">
                    <a:extLst xmlns:a="http://schemas.openxmlformats.org/drawingml/2006/main">
                      <a:ext uri="{FF2B5EF4-FFF2-40B4-BE49-F238E27FC236}">
                        <a16:creationId xmlns:a16="http://schemas.microsoft.com/office/drawing/2014/main" id="{504010AE-75A7-FFC3-7DF5-F8B20E9896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04010AE-75A7-FFC3-7DF5-F8B20E9896D7}"/>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1281602" cy="914400"/>
                          </a:xfrm>
                          <a:prstGeom prst="rect">
                            <a:avLst/>
                          </a:prstGeom>
                          <a:solidFill>
                            <a:schemeClr val="bg1"/>
                          </a:solidFill>
                          <a:ln>
                            <a:solidFill>
                              <a:schemeClr val="accent1"/>
                            </a:solidFill>
                          </a:ln>
                        </pic:spPr>
                      </pic:pic>
                    </a:graphicData>
                  </a:graphic>
                </wp:inline>
              </w:drawing>
            </w:r>
          </w:p>
        </w:tc>
        <w:tc>
          <w:tcPr>
            <w:tcW w:w="4230" w:type="dxa"/>
            <w:shd w:val="clear" w:color="auto" w:fill="auto"/>
          </w:tcPr>
          <w:p w14:paraId="0827A59E" w14:textId="2D74AC8C" w:rsidR="00C205D5" w:rsidRPr="0044579A" w:rsidRDefault="00C205D5" w:rsidP="00FE4ED7">
            <w:pPr>
              <w:spacing w:before="40" w:after="40" w:line="276" w:lineRule="auto"/>
              <w:rPr>
                <w:rFonts w:cs="Arial"/>
                <w:sz w:val="20"/>
                <w:szCs w:val="20"/>
              </w:rPr>
            </w:pPr>
            <w:r w:rsidRPr="0044579A">
              <w:rPr>
                <w:rFonts w:cs="Arial"/>
                <w:sz w:val="20"/>
                <w:szCs w:val="20"/>
              </w:rPr>
              <w:t>For cell centers (both QCS and TIL models</w:t>
            </w:r>
            <w:r w:rsidR="000F0EBF" w:rsidRPr="0044579A">
              <w:rPr>
                <w:rFonts w:cs="Arial"/>
                <w:sz w:val="20"/>
                <w:szCs w:val="20"/>
              </w:rPr>
              <w:t>), the</w:t>
            </w:r>
            <w:r w:rsidRPr="0044579A">
              <w:rPr>
                <w:rFonts w:cs="Arial"/>
                <w:sz w:val="20"/>
                <w:szCs w:val="20"/>
              </w:rPr>
              <w:t xml:space="preserve"> TP detection is defined when the estimated (prediction) and the GT annotations are within a distance </w:t>
            </w:r>
            <w:proofErr w:type="spellStart"/>
            <w:r w:rsidRPr="0044579A">
              <w:rPr>
                <w:rFonts w:cs="Arial"/>
                <w:sz w:val="20"/>
                <w:szCs w:val="20"/>
              </w:rPr>
              <w:t>d_max</w:t>
            </w:r>
            <w:proofErr w:type="spellEnd"/>
            <w:r w:rsidRPr="0044579A">
              <w:rPr>
                <w:rFonts w:cs="Arial"/>
                <w:sz w:val="20"/>
                <w:szCs w:val="20"/>
              </w:rPr>
              <w:t xml:space="preserve">. In our experiments, </w:t>
            </w:r>
            <w:proofErr w:type="spellStart"/>
            <w:r w:rsidRPr="0044579A">
              <w:rPr>
                <w:rFonts w:cs="Arial"/>
                <w:sz w:val="20"/>
                <w:szCs w:val="20"/>
              </w:rPr>
              <w:t>d_max</w:t>
            </w:r>
            <w:proofErr w:type="spellEnd"/>
            <w:r w:rsidRPr="0044579A">
              <w:rPr>
                <w:rFonts w:cs="Arial"/>
                <w:sz w:val="20"/>
                <w:szCs w:val="20"/>
              </w:rPr>
              <w:t xml:space="preserve"> is chosen to be 5 micrometers [Brieu, SPIE, 2017]. On the same lines FP (when a predicted cell cannot be matched to GT cell) and FN (when there is no predicted cell at a location where GT is available).</w:t>
            </w:r>
          </w:p>
          <w:p w14:paraId="74096461" w14:textId="77777777" w:rsidR="00C205D5" w:rsidRPr="0044579A" w:rsidRDefault="00C205D5" w:rsidP="00FE4ED7">
            <w:pPr>
              <w:spacing w:before="40" w:after="40" w:line="276" w:lineRule="auto"/>
              <w:rPr>
                <w:rFonts w:cs="Arial"/>
                <w:sz w:val="20"/>
                <w:szCs w:val="20"/>
              </w:rPr>
            </w:pPr>
            <w:r w:rsidRPr="0044579A">
              <w:rPr>
                <w:rFonts w:cs="Arial"/>
                <w:b/>
                <w:bCs/>
                <w:sz w:val="20"/>
                <w:szCs w:val="20"/>
              </w:rPr>
              <w:t>F1 Score = 2 TP / (2 TP + FP + FN)</w:t>
            </w:r>
          </w:p>
        </w:tc>
      </w:tr>
      <w:tr w:rsidR="00C205D5" w:rsidRPr="0044579A" w14:paraId="644844A3" w14:textId="77777777" w:rsidTr="00C205D5">
        <w:trPr>
          <w:cantSplit/>
        </w:trPr>
        <w:tc>
          <w:tcPr>
            <w:tcW w:w="1215" w:type="dxa"/>
            <w:shd w:val="clear" w:color="auto" w:fill="auto"/>
          </w:tcPr>
          <w:p w14:paraId="2EA860D2" w14:textId="77777777" w:rsidR="00C205D5" w:rsidRPr="0044579A" w:rsidRDefault="00C205D5" w:rsidP="00FE4ED7">
            <w:pPr>
              <w:spacing w:before="40" w:after="40" w:line="276" w:lineRule="auto"/>
              <w:rPr>
                <w:rFonts w:cs="Arial"/>
                <w:bCs/>
                <w:kern w:val="32"/>
                <w:sz w:val="20"/>
                <w:szCs w:val="20"/>
                <w:lang w:val="en-GB"/>
              </w:rPr>
            </w:pPr>
            <w:r w:rsidRPr="0044579A">
              <w:rPr>
                <w:rFonts w:cs="Arial"/>
                <w:bCs/>
                <w:kern w:val="32"/>
                <w:sz w:val="20"/>
                <w:szCs w:val="20"/>
                <w:lang w:val="en-GB"/>
              </w:rPr>
              <w:t>Membrane detection</w:t>
            </w:r>
          </w:p>
        </w:tc>
        <w:tc>
          <w:tcPr>
            <w:tcW w:w="1261" w:type="dxa"/>
          </w:tcPr>
          <w:p w14:paraId="0C9716EF" w14:textId="77777777" w:rsidR="00C205D5" w:rsidRPr="0044579A" w:rsidRDefault="00C205D5" w:rsidP="00FE4ED7">
            <w:pPr>
              <w:spacing w:before="40" w:after="40" w:line="276" w:lineRule="auto"/>
              <w:rPr>
                <w:rFonts w:cs="Arial"/>
                <w:sz w:val="20"/>
                <w:szCs w:val="20"/>
              </w:rPr>
            </w:pPr>
            <w:r w:rsidRPr="0044579A">
              <w:rPr>
                <w:rFonts w:cs="Arial"/>
                <w:sz w:val="20"/>
                <w:szCs w:val="20"/>
              </w:rPr>
              <w:t>Asymmetric surface distance</w:t>
            </w:r>
          </w:p>
        </w:tc>
        <w:tc>
          <w:tcPr>
            <w:tcW w:w="2289" w:type="dxa"/>
          </w:tcPr>
          <w:p w14:paraId="1B577C9C" w14:textId="77777777" w:rsidR="00C205D5" w:rsidRPr="0044579A" w:rsidRDefault="00C205D5" w:rsidP="00FE4ED7">
            <w:pPr>
              <w:spacing w:before="40" w:after="40" w:line="276" w:lineRule="auto"/>
              <w:jc w:val="center"/>
              <w:rPr>
                <w:rFonts w:eastAsia="Symbol" w:cs="Arial"/>
                <w:sz w:val="20"/>
                <w:szCs w:val="20"/>
              </w:rPr>
            </w:pPr>
            <w:r w:rsidRPr="0044579A">
              <w:rPr>
                <w:rFonts w:eastAsia="Symbol" w:cs="Arial"/>
                <w:noProof/>
                <w:sz w:val="20"/>
                <w:szCs w:val="20"/>
              </w:rPr>
              <w:drawing>
                <wp:inline distT="0" distB="0" distL="0" distR="0" wp14:anchorId="20A5CEFD" wp14:editId="23E800A7">
                  <wp:extent cx="1044054" cy="1012964"/>
                  <wp:effectExtent l="0" t="0" r="3810" b="0"/>
                  <wp:docPr id="16" name="Picture 16">
                    <a:extLst xmlns:a="http://schemas.openxmlformats.org/drawingml/2006/main">
                      <a:ext uri="{FF2B5EF4-FFF2-40B4-BE49-F238E27FC236}">
                        <a16:creationId xmlns:a16="http://schemas.microsoft.com/office/drawing/2014/main" id="{4BFA8454-F131-AACB-A19D-6366D6CF7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4BFA8454-F131-AACB-A19D-6366D6CF7377}"/>
                              </a:ext>
                            </a:extLst>
                          </pic:cNvPr>
                          <pic:cNvPicPr>
                            <a:picLocks noChangeAspect="1"/>
                          </pic:cNvPicPr>
                        </pic:nvPicPr>
                        <pic:blipFill>
                          <a:blip r:embed="rId11"/>
                          <a:stretch>
                            <a:fillRect/>
                          </a:stretch>
                        </pic:blipFill>
                        <pic:spPr>
                          <a:xfrm>
                            <a:off x="0" y="0"/>
                            <a:ext cx="1047097" cy="1015916"/>
                          </a:xfrm>
                          <a:prstGeom prst="rect">
                            <a:avLst/>
                          </a:prstGeom>
                        </pic:spPr>
                      </pic:pic>
                    </a:graphicData>
                  </a:graphic>
                </wp:inline>
              </w:drawing>
            </w:r>
          </w:p>
        </w:tc>
        <w:tc>
          <w:tcPr>
            <w:tcW w:w="4230" w:type="dxa"/>
            <w:shd w:val="clear" w:color="auto" w:fill="auto"/>
          </w:tcPr>
          <w:p w14:paraId="06541F7A" w14:textId="7A0BEC15" w:rsidR="00C205D5" w:rsidRPr="0044579A" w:rsidRDefault="00C205D5" w:rsidP="00FE4ED7">
            <w:pPr>
              <w:spacing w:before="40" w:after="40" w:line="276" w:lineRule="auto"/>
              <w:rPr>
                <w:rFonts w:cs="Arial"/>
                <w:sz w:val="20"/>
                <w:szCs w:val="20"/>
              </w:rPr>
            </w:pPr>
            <w:r w:rsidRPr="0044579A">
              <w:rPr>
                <w:rFonts w:cs="Arial"/>
                <w:sz w:val="20"/>
                <w:szCs w:val="20"/>
              </w:rPr>
              <w:t>The asymmetric surface distance</w:t>
            </w:r>
            <w:r w:rsidR="0034227F" w:rsidRPr="0044579A">
              <w:rPr>
                <w:rFonts w:cs="Arial"/>
                <w:color w:val="0000FF"/>
                <w:sz w:val="20"/>
                <w:szCs w:val="20"/>
                <w:vertAlign w:val="superscript"/>
              </w:rPr>
              <w:t>6</w:t>
            </w:r>
            <w:r w:rsidRPr="0044579A">
              <w:rPr>
                <w:rFonts w:cs="Arial"/>
                <w:sz w:val="20"/>
                <w:szCs w:val="20"/>
              </w:rPr>
              <w:t xml:space="preserve"> is a measurement of the average distance of the surface of a segmented object (x) and the ground truth (GT(x)), defined as boundary test annotations drawn by trained pathologists.</w:t>
            </w:r>
          </w:p>
        </w:tc>
      </w:tr>
      <w:tr w:rsidR="00C205D5" w:rsidRPr="0044579A" w14:paraId="4C2C4A91" w14:textId="77777777" w:rsidTr="00C205D5">
        <w:trPr>
          <w:cantSplit/>
        </w:trPr>
        <w:tc>
          <w:tcPr>
            <w:tcW w:w="1215" w:type="dxa"/>
            <w:shd w:val="clear" w:color="auto" w:fill="auto"/>
          </w:tcPr>
          <w:p w14:paraId="437E1FB2" w14:textId="77777777" w:rsidR="00C205D5" w:rsidRPr="0044579A" w:rsidRDefault="00C205D5" w:rsidP="00FE4ED7">
            <w:pPr>
              <w:spacing w:before="40" w:after="40" w:line="276" w:lineRule="auto"/>
              <w:rPr>
                <w:rFonts w:cs="Arial"/>
                <w:bCs/>
                <w:kern w:val="32"/>
                <w:sz w:val="20"/>
                <w:szCs w:val="20"/>
                <w:lang w:val="en-GB"/>
              </w:rPr>
            </w:pPr>
            <w:r w:rsidRPr="0044579A">
              <w:rPr>
                <w:rFonts w:cs="Arial"/>
                <w:bCs/>
                <w:kern w:val="32"/>
                <w:sz w:val="20"/>
                <w:szCs w:val="20"/>
                <w:lang w:val="en-GB"/>
              </w:rPr>
              <w:t>OD correlation on membrane</w:t>
            </w:r>
          </w:p>
        </w:tc>
        <w:tc>
          <w:tcPr>
            <w:tcW w:w="1261" w:type="dxa"/>
          </w:tcPr>
          <w:p w14:paraId="5892BA84" w14:textId="77777777" w:rsidR="00C205D5" w:rsidRPr="0044579A" w:rsidRDefault="00C205D5" w:rsidP="00FE4ED7">
            <w:pPr>
              <w:spacing w:before="40" w:after="40" w:line="276" w:lineRule="auto"/>
              <w:rPr>
                <w:rFonts w:cs="Arial"/>
                <w:sz w:val="20"/>
                <w:szCs w:val="20"/>
              </w:rPr>
            </w:pPr>
            <w:r w:rsidRPr="0044579A">
              <w:rPr>
                <w:rFonts w:cs="Arial"/>
                <w:sz w:val="20"/>
                <w:szCs w:val="20"/>
              </w:rPr>
              <w:t>Pearson correlation</w:t>
            </w:r>
          </w:p>
        </w:tc>
        <w:tc>
          <w:tcPr>
            <w:tcW w:w="2289" w:type="dxa"/>
          </w:tcPr>
          <w:p w14:paraId="100A4567" w14:textId="77777777" w:rsidR="00C205D5" w:rsidRPr="0044579A" w:rsidRDefault="00C205D5" w:rsidP="00FE4ED7">
            <w:pPr>
              <w:spacing w:before="40" w:after="40" w:line="276" w:lineRule="auto"/>
              <w:jc w:val="center"/>
              <w:rPr>
                <w:rFonts w:eastAsia="Symbol" w:cs="Arial"/>
                <w:sz w:val="20"/>
                <w:szCs w:val="20"/>
              </w:rPr>
            </w:pPr>
            <w:r w:rsidRPr="0044579A">
              <w:rPr>
                <w:rFonts w:eastAsia="Symbol" w:cs="Arial"/>
                <w:noProof/>
                <w:sz w:val="20"/>
                <w:szCs w:val="20"/>
              </w:rPr>
              <w:drawing>
                <wp:inline distT="0" distB="0" distL="0" distR="0" wp14:anchorId="4197DA85" wp14:editId="17929F20">
                  <wp:extent cx="1262418" cy="931653"/>
                  <wp:effectExtent l="0" t="0" r="0" b="1905"/>
                  <wp:docPr id="2" name="Picture 2">
                    <a:extLst xmlns:a="http://schemas.openxmlformats.org/drawingml/2006/main">
                      <a:ext uri="{FF2B5EF4-FFF2-40B4-BE49-F238E27FC236}">
                        <a16:creationId xmlns:a16="http://schemas.microsoft.com/office/drawing/2014/main" id="{F2B6DF9C-A3AE-B419-203A-1B6463719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F2B6DF9C-A3AE-B419-203A-1B646371945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265107" cy="933637"/>
                          </a:xfrm>
                          <a:prstGeom prst="rect">
                            <a:avLst/>
                          </a:prstGeom>
                          <a:noFill/>
                        </pic:spPr>
                      </pic:pic>
                    </a:graphicData>
                  </a:graphic>
                </wp:inline>
              </w:drawing>
            </w:r>
          </w:p>
        </w:tc>
        <w:tc>
          <w:tcPr>
            <w:tcW w:w="4230" w:type="dxa"/>
            <w:shd w:val="clear" w:color="auto" w:fill="auto"/>
          </w:tcPr>
          <w:p w14:paraId="75154606" w14:textId="77777777" w:rsidR="00C205D5" w:rsidRPr="0044579A" w:rsidRDefault="00C205D5" w:rsidP="00FE4ED7">
            <w:pPr>
              <w:spacing w:before="40" w:after="40" w:line="276" w:lineRule="auto"/>
              <w:rPr>
                <w:rFonts w:eastAsia="Symbol" w:cs="Arial"/>
                <w:sz w:val="20"/>
                <w:szCs w:val="20"/>
              </w:rPr>
            </w:pPr>
            <w:r w:rsidRPr="0044579A">
              <w:rPr>
                <w:rFonts w:cs="Arial"/>
                <w:sz w:val="20"/>
                <w:szCs w:val="20"/>
              </w:rPr>
              <w:t>The Pearson correlation is used to measure the strength of the linear relationship between the membrane OD and when segmentation is done by QCS vs OD with pathologist annotated membranes.</w:t>
            </w:r>
          </w:p>
        </w:tc>
      </w:tr>
    </w:tbl>
    <w:p w14:paraId="3F05881D" w14:textId="1F9FD932" w:rsidR="008430B3" w:rsidRPr="0044579A" w:rsidRDefault="00C205D5" w:rsidP="00DD2825">
      <w:pPr>
        <w:spacing w:before="100" w:beforeAutospacing="1" w:line="240" w:lineRule="auto"/>
        <w:rPr>
          <w:rFonts w:cs="Arial"/>
          <w:sz w:val="20"/>
          <w:szCs w:val="20"/>
        </w:rPr>
      </w:pPr>
      <w:r w:rsidRPr="0044579A">
        <w:rPr>
          <w:rFonts w:cs="Arial"/>
          <w:sz w:val="20"/>
          <w:szCs w:val="20"/>
        </w:rPr>
        <w:t xml:space="preserve">OD, optical density; QCS, quantitative continuous scoring; </w:t>
      </w:r>
      <w:r w:rsidR="008430B3" w:rsidRPr="0044579A">
        <w:rPr>
          <w:rFonts w:cs="Arial"/>
          <w:sz w:val="20"/>
          <w:szCs w:val="20"/>
        </w:rPr>
        <w:t>GT</w:t>
      </w:r>
      <w:r w:rsidRPr="0044579A">
        <w:rPr>
          <w:rFonts w:cs="Arial"/>
          <w:sz w:val="20"/>
          <w:szCs w:val="20"/>
        </w:rPr>
        <w:t xml:space="preserve">, </w:t>
      </w:r>
      <w:r w:rsidR="008430B3" w:rsidRPr="0044579A">
        <w:rPr>
          <w:rFonts w:cs="Arial"/>
          <w:sz w:val="20"/>
          <w:szCs w:val="20"/>
        </w:rPr>
        <w:t>ground truth; TP, true positives</w:t>
      </w:r>
      <w:r w:rsidR="00322A7C" w:rsidRPr="0044579A">
        <w:rPr>
          <w:rFonts w:cs="Arial"/>
          <w:sz w:val="20"/>
          <w:szCs w:val="20"/>
        </w:rPr>
        <w:t>; FP, false positives; TN, true negatives; FN, false negatives</w:t>
      </w:r>
      <w:r w:rsidR="000F0EBF" w:rsidRPr="0044579A">
        <w:rPr>
          <w:rFonts w:cs="Arial"/>
          <w:sz w:val="20"/>
          <w:szCs w:val="20"/>
        </w:rPr>
        <w:t>; TIL, tumor infiltrating lymphocytes</w:t>
      </w:r>
      <w:r w:rsidRPr="0044579A">
        <w:rPr>
          <w:rFonts w:cs="Arial"/>
          <w:sz w:val="20"/>
          <w:szCs w:val="20"/>
        </w:rPr>
        <w:t>.</w:t>
      </w:r>
    </w:p>
    <w:p w14:paraId="0A2F3517" w14:textId="6906CD8F" w:rsidR="005256A1" w:rsidRPr="00454633" w:rsidRDefault="008430B3" w:rsidP="00454633">
      <w:pPr>
        <w:pStyle w:val="Heading1"/>
        <w:rPr>
          <w:b w:val="0"/>
          <w:bCs w:val="0"/>
        </w:rPr>
      </w:pPr>
      <w:r w:rsidRPr="0044579A">
        <w:br w:type="page"/>
      </w:r>
      <w:r w:rsidR="00743690" w:rsidRPr="00743690">
        <w:lastRenderedPageBreak/>
        <w:t>Supplementary Table S4</w:t>
      </w:r>
      <w:r w:rsidR="00743690">
        <w:t>.</w:t>
      </w:r>
      <w:r w:rsidR="005256A1">
        <w:t xml:space="preserve"> </w:t>
      </w:r>
      <w:r w:rsidR="005256A1" w:rsidRPr="00454633">
        <w:rPr>
          <w:b w:val="0"/>
          <w:bCs w:val="0"/>
        </w:rPr>
        <w:t>Results of PFS Kaplan-Meier analysis using bivariate combinations of top-ranked HER2 QCS–based features and cell densities of stromal TILs. Features are combined using a simple logical OR condition. Thus, for patients to be considered positive for the combination signature, it is sufficient if they are positive for &gt;1 of the previously identified individual features.</w:t>
      </w:r>
    </w:p>
    <w:p w14:paraId="3801FED7" w14:textId="77777777" w:rsidR="005256A1" w:rsidRDefault="005256A1" w:rsidP="00450874">
      <w:pPr>
        <w:spacing w:line="240" w:lineRule="auto"/>
        <w:rPr>
          <w:rFonts w:cs="Arial"/>
          <w:b/>
          <w:bCs/>
        </w:rPr>
      </w:pPr>
    </w:p>
    <w:tbl>
      <w:tblP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
        <w:gridCol w:w="1952"/>
        <w:gridCol w:w="1944"/>
        <w:gridCol w:w="764"/>
        <w:gridCol w:w="981"/>
        <w:gridCol w:w="715"/>
        <w:gridCol w:w="1229"/>
        <w:gridCol w:w="1279"/>
      </w:tblGrid>
      <w:tr w:rsidR="004A76C3" w:rsidRPr="00454633" w14:paraId="21D895FC" w14:textId="77777777" w:rsidTr="002A1249">
        <w:trPr>
          <w:trHeight w:val="567"/>
        </w:trPr>
        <w:tc>
          <w:tcPr>
            <w:tcW w:w="267" w:type="pct"/>
            <w:vAlign w:val="center"/>
          </w:tcPr>
          <w:p w14:paraId="14E429A6" w14:textId="1EA65507" w:rsidR="004A76C3" w:rsidRPr="00D94C60" w:rsidRDefault="00743690" w:rsidP="002A1249">
            <w:pPr>
              <w:pStyle w:val="TableParagraph"/>
              <w:spacing w:line="200" w:lineRule="exact"/>
              <w:ind w:left="0"/>
              <w:jc w:val="center"/>
              <w:rPr>
                <w:rFonts w:cs="Arial"/>
                <w:b/>
                <w:sz w:val="20"/>
                <w:szCs w:val="20"/>
              </w:rPr>
            </w:pPr>
            <w:r>
              <w:rPr>
                <w:rFonts w:cs="Arial"/>
                <w:b/>
                <w:bCs/>
              </w:rPr>
              <w:t xml:space="preserve"> </w:t>
            </w:r>
            <w:r w:rsidR="004A76C3" w:rsidRPr="00D94C60">
              <w:rPr>
                <w:rFonts w:cs="Arial"/>
                <w:b/>
                <w:sz w:val="20"/>
                <w:szCs w:val="20"/>
              </w:rPr>
              <w:t>Rank</w:t>
            </w:r>
          </w:p>
        </w:tc>
        <w:tc>
          <w:tcPr>
            <w:tcW w:w="1042" w:type="pct"/>
            <w:vAlign w:val="center"/>
          </w:tcPr>
          <w:p w14:paraId="101E94CF" w14:textId="77777777" w:rsidR="004A76C3" w:rsidRPr="00D94C60" w:rsidRDefault="004A76C3" w:rsidP="002A1249">
            <w:pPr>
              <w:pStyle w:val="TableParagraph"/>
              <w:spacing w:line="200" w:lineRule="exact"/>
              <w:ind w:left="170"/>
              <w:rPr>
                <w:rFonts w:cs="Arial"/>
                <w:b/>
                <w:sz w:val="20"/>
                <w:szCs w:val="20"/>
              </w:rPr>
            </w:pPr>
            <w:r w:rsidRPr="00D94C60">
              <w:rPr>
                <w:rFonts w:cs="Arial"/>
                <w:b/>
                <w:sz w:val="20"/>
                <w:szCs w:val="20"/>
              </w:rPr>
              <w:t>Feature</w:t>
            </w:r>
          </w:p>
        </w:tc>
        <w:tc>
          <w:tcPr>
            <w:tcW w:w="1038" w:type="pct"/>
            <w:vAlign w:val="center"/>
          </w:tcPr>
          <w:p w14:paraId="003F71F7" w14:textId="77777777" w:rsidR="004A76C3" w:rsidRPr="00D94C60" w:rsidRDefault="004A76C3" w:rsidP="002A1249">
            <w:pPr>
              <w:pStyle w:val="TableParagraph"/>
              <w:spacing w:line="200" w:lineRule="exact"/>
              <w:ind w:left="170"/>
              <w:rPr>
                <w:rFonts w:cs="Arial"/>
                <w:b/>
                <w:sz w:val="20"/>
                <w:szCs w:val="20"/>
              </w:rPr>
            </w:pPr>
            <w:r w:rsidRPr="00D94C60">
              <w:rPr>
                <w:rFonts w:cs="Arial"/>
                <w:b/>
                <w:sz w:val="20"/>
                <w:szCs w:val="20"/>
              </w:rPr>
              <w:t>Parameter</w:t>
            </w:r>
          </w:p>
        </w:tc>
        <w:tc>
          <w:tcPr>
            <w:tcW w:w="408" w:type="pct"/>
            <w:vAlign w:val="center"/>
          </w:tcPr>
          <w:p w14:paraId="1D03BD04" w14:textId="77777777" w:rsidR="004A76C3" w:rsidRPr="00D94C60" w:rsidRDefault="004A76C3" w:rsidP="002A1249">
            <w:pPr>
              <w:pStyle w:val="TableParagraph"/>
              <w:spacing w:line="200" w:lineRule="exact"/>
              <w:ind w:left="0"/>
              <w:jc w:val="center"/>
              <w:rPr>
                <w:rFonts w:cs="Arial"/>
                <w:b/>
                <w:sz w:val="20"/>
                <w:szCs w:val="20"/>
              </w:rPr>
            </w:pPr>
            <w:r w:rsidRPr="00D94C60">
              <w:rPr>
                <w:rFonts w:cs="Arial"/>
                <w:b/>
                <w:sz w:val="20"/>
                <w:szCs w:val="20"/>
              </w:rPr>
              <w:t>Cut point</w:t>
            </w:r>
          </w:p>
        </w:tc>
        <w:tc>
          <w:tcPr>
            <w:tcW w:w="524" w:type="pct"/>
            <w:vAlign w:val="center"/>
          </w:tcPr>
          <w:p w14:paraId="33770358" w14:textId="77777777" w:rsidR="004A76C3" w:rsidRPr="00D94C60" w:rsidRDefault="004A76C3" w:rsidP="002A1249">
            <w:pPr>
              <w:pStyle w:val="TableParagraph"/>
              <w:spacing w:line="200" w:lineRule="exact"/>
              <w:ind w:left="0"/>
              <w:jc w:val="center"/>
              <w:rPr>
                <w:rFonts w:cs="Arial"/>
                <w:b/>
                <w:sz w:val="20"/>
                <w:szCs w:val="20"/>
              </w:rPr>
            </w:pPr>
            <w:r w:rsidRPr="00D94C60">
              <w:rPr>
                <w:rFonts w:cs="Arial"/>
                <w:b/>
                <w:sz w:val="20"/>
                <w:szCs w:val="20"/>
              </w:rPr>
              <w:t xml:space="preserve">PFS log-rank </w:t>
            </w:r>
            <w:r w:rsidRPr="00D94C60">
              <w:rPr>
                <w:rFonts w:cs="Arial"/>
                <w:b/>
                <w:sz w:val="20"/>
                <w:szCs w:val="20"/>
              </w:rPr>
              <w:br/>
            </w:r>
            <w:r w:rsidRPr="00D94C60">
              <w:rPr>
                <w:rFonts w:cs="Arial"/>
                <w:b/>
                <w:i/>
                <w:iCs/>
                <w:sz w:val="20"/>
                <w:szCs w:val="20"/>
              </w:rPr>
              <w:t xml:space="preserve">p </w:t>
            </w:r>
            <w:r w:rsidRPr="00D94C60">
              <w:rPr>
                <w:rFonts w:cs="Arial"/>
                <w:b/>
                <w:sz w:val="20"/>
                <w:szCs w:val="20"/>
              </w:rPr>
              <w:t>value</w:t>
            </w:r>
          </w:p>
        </w:tc>
        <w:tc>
          <w:tcPr>
            <w:tcW w:w="382" w:type="pct"/>
            <w:vAlign w:val="center"/>
          </w:tcPr>
          <w:p w14:paraId="77C8145E" w14:textId="77777777" w:rsidR="004A76C3" w:rsidRPr="00D94C60" w:rsidRDefault="004A76C3" w:rsidP="002A1249">
            <w:pPr>
              <w:pStyle w:val="TableParagraph"/>
              <w:spacing w:line="200" w:lineRule="exact"/>
              <w:ind w:left="0"/>
              <w:jc w:val="center"/>
              <w:rPr>
                <w:rFonts w:cs="Arial"/>
                <w:b/>
                <w:sz w:val="20"/>
                <w:szCs w:val="20"/>
              </w:rPr>
            </w:pPr>
            <w:r w:rsidRPr="00D94C60">
              <w:rPr>
                <w:rFonts w:cs="Arial"/>
                <w:b/>
                <w:sz w:val="20"/>
                <w:szCs w:val="20"/>
              </w:rPr>
              <w:t>Group</w:t>
            </w:r>
          </w:p>
        </w:tc>
        <w:tc>
          <w:tcPr>
            <w:tcW w:w="656" w:type="pct"/>
            <w:vAlign w:val="center"/>
          </w:tcPr>
          <w:p w14:paraId="51C24C57" w14:textId="77777777" w:rsidR="004A76C3" w:rsidRPr="00D94C60" w:rsidRDefault="004A76C3" w:rsidP="002A1249">
            <w:pPr>
              <w:pStyle w:val="TableParagraph"/>
              <w:spacing w:line="200" w:lineRule="exact"/>
              <w:ind w:left="0"/>
              <w:jc w:val="center"/>
              <w:rPr>
                <w:rFonts w:cs="Arial"/>
                <w:b/>
                <w:sz w:val="20"/>
                <w:szCs w:val="20"/>
              </w:rPr>
            </w:pPr>
            <w:r w:rsidRPr="00D94C60">
              <w:rPr>
                <w:rFonts w:cs="Arial"/>
                <w:b/>
                <w:sz w:val="20"/>
                <w:szCs w:val="20"/>
              </w:rPr>
              <w:t>Prevalence</w:t>
            </w:r>
          </w:p>
        </w:tc>
        <w:tc>
          <w:tcPr>
            <w:tcW w:w="683" w:type="pct"/>
            <w:vAlign w:val="center"/>
          </w:tcPr>
          <w:p w14:paraId="25F7788E" w14:textId="77777777" w:rsidR="004A76C3" w:rsidRPr="00D94C60" w:rsidRDefault="004A76C3" w:rsidP="002A1249">
            <w:pPr>
              <w:pStyle w:val="TableParagraph"/>
              <w:spacing w:line="200" w:lineRule="exact"/>
              <w:ind w:left="0"/>
              <w:jc w:val="center"/>
              <w:rPr>
                <w:rFonts w:cs="Arial"/>
                <w:b/>
                <w:sz w:val="20"/>
                <w:szCs w:val="20"/>
              </w:rPr>
            </w:pPr>
            <w:r w:rsidRPr="00D94C60">
              <w:rPr>
                <w:rFonts w:cs="Arial"/>
                <w:b/>
                <w:sz w:val="20"/>
                <w:szCs w:val="20"/>
              </w:rPr>
              <w:t xml:space="preserve">ORR </w:t>
            </w:r>
          </w:p>
        </w:tc>
      </w:tr>
      <w:tr w:rsidR="004A76C3" w:rsidRPr="00454633" w14:paraId="48570234" w14:textId="77777777" w:rsidTr="002A1249">
        <w:trPr>
          <w:trHeight w:val="283"/>
        </w:trPr>
        <w:tc>
          <w:tcPr>
            <w:tcW w:w="5000" w:type="pct"/>
            <w:gridSpan w:val="8"/>
            <w:vAlign w:val="center"/>
          </w:tcPr>
          <w:p w14:paraId="5A1DE7EB" w14:textId="3AA3FE53" w:rsidR="004A76C3" w:rsidRPr="00D94C60" w:rsidRDefault="004A76C3" w:rsidP="002A1249">
            <w:pPr>
              <w:pStyle w:val="TableParagraph"/>
              <w:spacing w:line="200" w:lineRule="exact"/>
              <w:ind w:left="170"/>
              <w:rPr>
                <w:rFonts w:cs="Arial"/>
                <w:b/>
                <w:bCs/>
                <w:sz w:val="20"/>
                <w:szCs w:val="20"/>
              </w:rPr>
            </w:pPr>
            <w:r w:rsidRPr="00D94C60">
              <w:rPr>
                <w:rFonts w:cs="Arial"/>
                <w:sz w:val="20"/>
                <w:szCs w:val="20"/>
              </w:rPr>
              <w:t>PFS Kaplan-Meier analysis on J101 data set with combination features (full cohort, N=151)</w:t>
            </w:r>
          </w:p>
        </w:tc>
      </w:tr>
      <w:tr w:rsidR="004A76C3" w:rsidRPr="00454633" w14:paraId="03EA75F1" w14:textId="77777777" w:rsidTr="002A1249">
        <w:trPr>
          <w:trHeight w:val="53"/>
        </w:trPr>
        <w:tc>
          <w:tcPr>
            <w:tcW w:w="267" w:type="pct"/>
            <w:vMerge w:val="restart"/>
            <w:vAlign w:val="center"/>
          </w:tcPr>
          <w:p w14:paraId="4CFC6AF1"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1</w:t>
            </w:r>
          </w:p>
        </w:tc>
        <w:tc>
          <w:tcPr>
            <w:tcW w:w="1042" w:type="pct"/>
            <w:vMerge w:val="restart"/>
            <w:vAlign w:val="center"/>
          </w:tcPr>
          <w:p w14:paraId="0A9F8887" w14:textId="77777777" w:rsidR="004A76C3" w:rsidRPr="00D94C60" w:rsidRDefault="004A76C3" w:rsidP="002A1249">
            <w:pPr>
              <w:pStyle w:val="TableParagraph"/>
              <w:spacing w:line="200" w:lineRule="exact"/>
              <w:ind w:left="170"/>
              <w:rPr>
                <w:rFonts w:cs="Arial"/>
                <w:sz w:val="20"/>
                <w:szCs w:val="20"/>
              </w:rPr>
            </w:pPr>
            <w:proofErr w:type="spellStart"/>
            <w:r w:rsidRPr="00D94C60">
              <w:rPr>
                <w:rFonts w:cs="Arial"/>
                <w:sz w:val="20"/>
                <w:szCs w:val="20"/>
              </w:rPr>
              <w:t>bSPS</w:t>
            </w:r>
            <w:proofErr w:type="spellEnd"/>
            <w:r w:rsidRPr="00D94C60">
              <w:rPr>
                <w:rFonts w:cs="Arial"/>
                <w:sz w:val="20"/>
                <w:szCs w:val="20"/>
              </w:rPr>
              <w:t xml:space="preserve"> or </w:t>
            </w:r>
            <w:proofErr w:type="spellStart"/>
            <w:r w:rsidRPr="00D94C60">
              <w:rPr>
                <w:rFonts w:cs="Arial"/>
                <w:sz w:val="20"/>
                <w:szCs w:val="20"/>
              </w:rPr>
              <w:t>sTILs</w:t>
            </w:r>
            <w:proofErr w:type="spellEnd"/>
          </w:p>
        </w:tc>
        <w:tc>
          <w:tcPr>
            <w:tcW w:w="1446" w:type="pct"/>
            <w:gridSpan w:val="2"/>
            <w:vMerge w:val="restart"/>
            <w:vAlign w:val="center"/>
          </w:tcPr>
          <w:p w14:paraId="254568E1" w14:textId="77777777" w:rsidR="004A76C3" w:rsidRPr="00D94C60" w:rsidRDefault="004A76C3" w:rsidP="002A1249">
            <w:pPr>
              <w:pStyle w:val="TableParagraph"/>
              <w:spacing w:line="200" w:lineRule="exact"/>
              <w:ind w:left="170"/>
              <w:rPr>
                <w:rFonts w:cs="Arial"/>
                <w:sz w:val="20"/>
                <w:szCs w:val="20"/>
              </w:rPr>
            </w:pPr>
            <w:proofErr w:type="spellStart"/>
            <w:r w:rsidRPr="00D94C60">
              <w:rPr>
                <w:rFonts w:cs="Arial"/>
                <w:sz w:val="20"/>
                <w:szCs w:val="20"/>
              </w:rPr>
              <w:t>bSPS</w:t>
            </w:r>
            <w:proofErr w:type="spellEnd"/>
            <w:r w:rsidRPr="00D94C60">
              <w:rPr>
                <w:rFonts w:cs="Arial"/>
                <w:sz w:val="20"/>
                <w:szCs w:val="20"/>
              </w:rPr>
              <w:t xml:space="preserve"> ≥99.81 or density ≥168.4 </w:t>
            </w:r>
            <w:proofErr w:type="spellStart"/>
            <w:r w:rsidRPr="00D94C60">
              <w:rPr>
                <w:rFonts w:cs="Arial"/>
                <w:sz w:val="20"/>
                <w:szCs w:val="20"/>
              </w:rPr>
              <w:t>sTILs</w:t>
            </w:r>
            <w:proofErr w:type="spellEnd"/>
            <w:r w:rsidRPr="00D94C60">
              <w:rPr>
                <w:rFonts w:cs="Arial"/>
                <w:sz w:val="20"/>
                <w:szCs w:val="20"/>
              </w:rPr>
              <w:t>/mm</w:t>
            </w:r>
            <w:r w:rsidRPr="00D94C60">
              <w:rPr>
                <w:rFonts w:cs="Arial"/>
                <w:sz w:val="20"/>
                <w:szCs w:val="20"/>
                <w:vertAlign w:val="superscript"/>
              </w:rPr>
              <w:t>2</w:t>
            </w:r>
          </w:p>
        </w:tc>
        <w:tc>
          <w:tcPr>
            <w:tcW w:w="524" w:type="pct"/>
            <w:vMerge w:val="restart"/>
            <w:vAlign w:val="center"/>
          </w:tcPr>
          <w:p w14:paraId="72D53E4D"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0.00008</w:t>
            </w:r>
          </w:p>
        </w:tc>
        <w:tc>
          <w:tcPr>
            <w:tcW w:w="382" w:type="pct"/>
            <w:vAlign w:val="center"/>
          </w:tcPr>
          <w:p w14:paraId="79C40382"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High</w:t>
            </w:r>
          </w:p>
        </w:tc>
        <w:tc>
          <w:tcPr>
            <w:tcW w:w="656" w:type="pct"/>
            <w:vAlign w:val="center"/>
          </w:tcPr>
          <w:p w14:paraId="6FC79606"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86.7</w:t>
            </w:r>
          </w:p>
        </w:tc>
        <w:tc>
          <w:tcPr>
            <w:tcW w:w="683" w:type="pct"/>
            <w:vAlign w:val="center"/>
          </w:tcPr>
          <w:p w14:paraId="56D35180"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51.9</w:t>
            </w:r>
          </w:p>
        </w:tc>
      </w:tr>
      <w:tr w:rsidR="004A76C3" w:rsidRPr="00454633" w14:paraId="51F276B9" w14:textId="77777777" w:rsidTr="002A1249">
        <w:trPr>
          <w:trHeight w:val="283"/>
        </w:trPr>
        <w:tc>
          <w:tcPr>
            <w:tcW w:w="267" w:type="pct"/>
            <w:vMerge/>
            <w:vAlign w:val="center"/>
          </w:tcPr>
          <w:p w14:paraId="54BB5B3E" w14:textId="77777777" w:rsidR="004A76C3" w:rsidRPr="00D94C60" w:rsidRDefault="004A76C3" w:rsidP="002A1249">
            <w:pPr>
              <w:pStyle w:val="TableParagraph"/>
              <w:spacing w:line="200" w:lineRule="exact"/>
              <w:ind w:left="0"/>
              <w:jc w:val="center"/>
              <w:rPr>
                <w:rFonts w:cs="Arial"/>
                <w:sz w:val="20"/>
                <w:szCs w:val="20"/>
              </w:rPr>
            </w:pPr>
          </w:p>
        </w:tc>
        <w:tc>
          <w:tcPr>
            <w:tcW w:w="1042" w:type="pct"/>
            <w:vMerge/>
            <w:vAlign w:val="center"/>
          </w:tcPr>
          <w:p w14:paraId="32A8384F" w14:textId="77777777" w:rsidR="004A76C3" w:rsidRPr="00D94C60" w:rsidRDefault="004A76C3" w:rsidP="002A1249">
            <w:pPr>
              <w:pStyle w:val="TableParagraph"/>
              <w:spacing w:line="200" w:lineRule="exact"/>
              <w:ind w:left="170"/>
              <w:rPr>
                <w:rFonts w:cs="Arial"/>
                <w:sz w:val="20"/>
                <w:szCs w:val="20"/>
              </w:rPr>
            </w:pPr>
          </w:p>
        </w:tc>
        <w:tc>
          <w:tcPr>
            <w:tcW w:w="1446" w:type="pct"/>
            <w:gridSpan w:val="2"/>
            <w:vMerge/>
            <w:vAlign w:val="center"/>
          </w:tcPr>
          <w:p w14:paraId="7A84FFEB" w14:textId="77777777" w:rsidR="004A76C3" w:rsidRPr="00D94C60" w:rsidRDefault="004A76C3" w:rsidP="002A1249">
            <w:pPr>
              <w:pStyle w:val="TableParagraph"/>
              <w:spacing w:line="200" w:lineRule="exact"/>
              <w:ind w:left="170"/>
              <w:rPr>
                <w:rFonts w:cs="Arial"/>
                <w:sz w:val="20"/>
                <w:szCs w:val="20"/>
              </w:rPr>
            </w:pPr>
          </w:p>
        </w:tc>
        <w:tc>
          <w:tcPr>
            <w:tcW w:w="524" w:type="pct"/>
            <w:vMerge/>
            <w:vAlign w:val="center"/>
          </w:tcPr>
          <w:p w14:paraId="5B5AD6AD" w14:textId="77777777" w:rsidR="004A76C3" w:rsidRPr="00D94C60" w:rsidRDefault="004A76C3" w:rsidP="002A1249">
            <w:pPr>
              <w:pStyle w:val="TableParagraph"/>
              <w:spacing w:line="200" w:lineRule="exact"/>
              <w:ind w:left="0"/>
              <w:jc w:val="center"/>
              <w:rPr>
                <w:rFonts w:cs="Arial"/>
                <w:sz w:val="20"/>
                <w:szCs w:val="20"/>
              </w:rPr>
            </w:pPr>
          </w:p>
        </w:tc>
        <w:tc>
          <w:tcPr>
            <w:tcW w:w="382" w:type="pct"/>
            <w:vAlign w:val="center"/>
          </w:tcPr>
          <w:p w14:paraId="46EA91E0"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Low</w:t>
            </w:r>
          </w:p>
        </w:tc>
        <w:tc>
          <w:tcPr>
            <w:tcW w:w="656" w:type="pct"/>
            <w:vAlign w:val="center"/>
          </w:tcPr>
          <w:p w14:paraId="2FEB0ED9"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13.3</w:t>
            </w:r>
          </w:p>
        </w:tc>
        <w:tc>
          <w:tcPr>
            <w:tcW w:w="683" w:type="pct"/>
            <w:vAlign w:val="center"/>
          </w:tcPr>
          <w:p w14:paraId="67A577D1"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35.0</w:t>
            </w:r>
          </w:p>
        </w:tc>
      </w:tr>
      <w:tr w:rsidR="004A76C3" w:rsidRPr="00454633" w14:paraId="39A1F8A1" w14:textId="77777777" w:rsidTr="002A1249">
        <w:trPr>
          <w:trHeight w:val="260"/>
        </w:trPr>
        <w:tc>
          <w:tcPr>
            <w:tcW w:w="267" w:type="pct"/>
            <w:vMerge w:val="restart"/>
            <w:vAlign w:val="center"/>
          </w:tcPr>
          <w:p w14:paraId="5DC18354"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2</w:t>
            </w:r>
          </w:p>
        </w:tc>
        <w:tc>
          <w:tcPr>
            <w:tcW w:w="1042" w:type="pct"/>
            <w:vMerge w:val="restart"/>
            <w:vAlign w:val="center"/>
          </w:tcPr>
          <w:p w14:paraId="63D80B79" w14:textId="77777777" w:rsidR="004A76C3" w:rsidRPr="00D94C60" w:rsidRDefault="004A76C3" w:rsidP="002A1249">
            <w:pPr>
              <w:pStyle w:val="TableParagraph"/>
              <w:spacing w:line="200" w:lineRule="exact"/>
              <w:ind w:left="170"/>
              <w:rPr>
                <w:rFonts w:cs="Arial"/>
                <w:sz w:val="20"/>
                <w:szCs w:val="20"/>
              </w:rPr>
            </w:pPr>
            <w:r w:rsidRPr="00D94C60">
              <w:rPr>
                <w:rFonts w:cs="Arial"/>
                <w:sz w:val="20"/>
                <w:szCs w:val="20"/>
              </w:rPr>
              <w:t xml:space="preserve">% OD-positive cells or </w:t>
            </w:r>
            <w:proofErr w:type="spellStart"/>
            <w:r w:rsidRPr="00D94C60">
              <w:rPr>
                <w:rFonts w:cs="Arial"/>
                <w:sz w:val="20"/>
                <w:szCs w:val="20"/>
              </w:rPr>
              <w:t>sTILs</w:t>
            </w:r>
            <w:proofErr w:type="spellEnd"/>
          </w:p>
        </w:tc>
        <w:tc>
          <w:tcPr>
            <w:tcW w:w="1446" w:type="pct"/>
            <w:gridSpan w:val="2"/>
            <w:vMerge w:val="restart"/>
            <w:vAlign w:val="center"/>
          </w:tcPr>
          <w:p w14:paraId="723D189D" w14:textId="77777777" w:rsidR="004A76C3" w:rsidRPr="00D94C60" w:rsidRDefault="004A76C3" w:rsidP="002A1249">
            <w:pPr>
              <w:pStyle w:val="TableParagraph"/>
              <w:spacing w:line="200" w:lineRule="exact"/>
              <w:ind w:left="170"/>
              <w:rPr>
                <w:rFonts w:cs="Arial"/>
                <w:sz w:val="20"/>
                <w:szCs w:val="20"/>
              </w:rPr>
            </w:pPr>
            <w:r w:rsidRPr="00D94C60">
              <w:rPr>
                <w:rFonts w:cs="Arial"/>
                <w:sz w:val="20"/>
                <w:szCs w:val="20"/>
              </w:rPr>
              <w:t xml:space="preserve">% OD-positive cells ≥98.51 or density ≥168.4 </w:t>
            </w:r>
            <w:proofErr w:type="spellStart"/>
            <w:r w:rsidRPr="00D94C60">
              <w:rPr>
                <w:rFonts w:cs="Arial"/>
                <w:sz w:val="20"/>
                <w:szCs w:val="20"/>
              </w:rPr>
              <w:t>sTILs</w:t>
            </w:r>
            <w:proofErr w:type="spellEnd"/>
            <w:r w:rsidRPr="00D94C60">
              <w:rPr>
                <w:rFonts w:cs="Arial"/>
                <w:sz w:val="20"/>
                <w:szCs w:val="20"/>
              </w:rPr>
              <w:t>/mm</w:t>
            </w:r>
            <w:r w:rsidRPr="00D94C60">
              <w:rPr>
                <w:rFonts w:cs="Arial"/>
                <w:sz w:val="20"/>
                <w:szCs w:val="20"/>
                <w:vertAlign w:val="superscript"/>
              </w:rPr>
              <w:t>2</w:t>
            </w:r>
          </w:p>
        </w:tc>
        <w:tc>
          <w:tcPr>
            <w:tcW w:w="524" w:type="pct"/>
            <w:vMerge w:val="restart"/>
            <w:vAlign w:val="center"/>
          </w:tcPr>
          <w:p w14:paraId="2CE64250"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0.00028</w:t>
            </w:r>
          </w:p>
        </w:tc>
        <w:tc>
          <w:tcPr>
            <w:tcW w:w="382" w:type="pct"/>
            <w:vAlign w:val="center"/>
          </w:tcPr>
          <w:p w14:paraId="188AB388"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High</w:t>
            </w:r>
          </w:p>
        </w:tc>
        <w:tc>
          <w:tcPr>
            <w:tcW w:w="656" w:type="pct"/>
            <w:vAlign w:val="center"/>
          </w:tcPr>
          <w:p w14:paraId="1C16324A"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86.7</w:t>
            </w:r>
          </w:p>
        </w:tc>
        <w:tc>
          <w:tcPr>
            <w:tcW w:w="683" w:type="pct"/>
            <w:vAlign w:val="center"/>
          </w:tcPr>
          <w:p w14:paraId="1A93F81C"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51.9</w:t>
            </w:r>
          </w:p>
        </w:tc>
      </w:tr>
      <w:tr w:rsidR="004A76C3" w:rsidRPr="00454633" w14:paraId="4355355E" w14:textId="77777777" w:rsidTr="002A1249">
        <w:trPr>
          <w:trHeight w:val="53"/>
        </w:trPr>
        <w:tc>
          <w:tcPr>
            <w:tcW w:w="267" w:type="pct"/>
            <w:vMerge/>
            <w:vAlign w:val="center"/>
          </w:tcPr>
          <w:p w14:paraId="15CC03A5" w14:textId="77777777" w:rsidR="004A76C3" w:rsidRPr="00D94C60" w:rsidRDefault="004A76C3" w:rsidP="002A1249">
            <w:pPr>
              <w:pStyle w:val="TableParagraph"/>
              <w:spacing w:line="200" w:lineRule="exact"/>
              <w:ind w:left="0"/>
              <w:jc w:val="center"/>
              <w:rPr>
                <w:rFonts w:cs="Arial"/>
                <w:sz w:val="20"/>
                <w:szCs w:val="20"/>
              </w:rPr>
            </w:pPr>
          </w:p>
        </w:tc>
        <w:tc>
          <w:tcPr>
            <w:tcW w:w="1042" w:type="pct"/>
            <w:vMerge/>
            <w:vAlign w:val="center"/>
          </w:tcPr>
          <w:p w14:paraId="4EB48B89" w14:textId="77777777" w:rsidR="004A76C3" w:rsidRPr="00D94C60" w:rsidRDefault="004A76C3" w:rsidP="002A1249">
            <w:pPr>
              <w:pStyle w:val="TableParagraph"/>
              <w:spacing w:line="200" w:lineRule="exact"/>
              <w:ind w:left="170"/>
              <w:rPr>
                <w:rFonts w:cs="Arial"/>
                <w:sz w:val="20"/>
                <w:szCs w:val="20"/>
              </w:rPr>
            </w:pPr>
          </w:p>
        </w:tc>
        <w:tc>
          <w:tcPr>
            <w:tcW w:w="1446" w:type="pct"/>
            <w:gridSpan w:val="2"/>
            <w:vMerge/>
            <w:vAlign w:val="center"/>
          </w:tcPr>
          <w:p w14:paraId="7F59E241" w14:textId="77777777" w:rsidR="004A76C3" w:rsidRPr="00D94C60" w:rsidRDefault="004A76C3" w:rsidP="002A1249">
            <w:pPr>
              <w:pStyle w:val="TableParagraph"/>
              <w:spacing w:line="200" w:lineRule="exact"/>
              <w:ind w:left="170"/>
              <w:rPr>
                <w:rFonts w:cs="Arial"/>
                <w:sz w:val="20"/>
                <w:szCs w:val="20"/>
              </w:rPr>
            </w:pPr>
          </w:p>
        </w:tc>
        <w:tc>
          <w:tcPr>
            <w:tcW w:w="524" w:type="pct"/>
            <w:vMerge/>
            <w:vAlign w:val="center"/>
          </w:tcPr>
          <w:p w14:paraId="3649CF80" w14:textId="77777777" w:rsidR="004A76C3" w:rsidRPr="00D94C60" w:rsidRDefault="004A76C3" w:rsidP="002A1249">
            <w:pPr>
              <w:pStyle w:val="TableParagraph"/>
              <w:spacing w:line="200" w:lineRule="exact"/>
              <w:ind w:left="0"/>
              <w:jc w:val="center"/>
              <w:rPr>
                <w:rFonts w:cs="Arial"/>
                <w:sz w:val="20"/>
                <w:szCs w:val="20"/>
              </w:rPr>
            </w:pPr>
          </w:p>
        </w:tc>
        <w:tc>
          <w:tcPr>
            <w:tcW w:w="382" w:type="pct"/>
            <w:vAlign w:val="center"/>
          </w:tcPr>
          <w:p w14:paraId="48AA2CF4"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Low</w:t>
            </w:r>
          </w:p>
        </w:tc>
        <w:tc>
          <w:tcPr>
            <w:tcW w:w="656" w:type="pct"/>
            <w:vAlign w:val="center"/>
          </w:tcPr>
          <w:p w14:paraId="438B631C"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13.3</w:t>
            </w:r>
          </w:p>
        </w:tc>
        <w:tc>
          <w:tcPr>
            <w:tcW w:w="683" w:type="pct"/>
            <w:vAlign w:val="center"/>
          </w:tcPr>
          <w:p w14:paraId="5565F42D" w14:textId="77777777" w:rsidR="004A76C3" w:rsidRPr="00D94C60" w:rsidRDefault="004A76C3" w:rsidP="002A1249">
            <w:pPr>
              <w:pStyle w:val="TableParagraph"/>
              <w:spacing w:line="200" w:lineRule="exact"/>
              <w:ind w:left="0"/>
              <w:jc w:val="center"/>
              <w:rPr>
                <w:rFonts w:cs="Arial"/>
                <w:sz w:val="20"/>
                <w:szCs w:val="20"/>
              </w:rPr>
            </w:pPr>
            <w:r w:rsidRPr="00D94C60">
              <w:rPr>
                <w:rFonts w:cs="Arial"/>
                <w:sz w:val="20"/>
                <w:szCs w:val="20"/>
              </w:rPr>
              <w:t>35.0</w:t>
            </w:r>
          </w:p>
        </w:tc>
      </w:tr>
    </w:tbl>
    <w:p w14:paraId="773548B8" w14:textId="799405DE" w:rsidR="00743690" w:rsidRPr="004A20DF" w:rsidRDefault="004A76C3" w:rsidP="00DD2825">
      <w:pPr>
        <w:spacing w:before="100" w:beforeAutospacing="1" w:line="240" w:lineRule="auto"/>
        <w:rPr>
          <w:rFonts w:cs="Arial"/>
          <w:b/>
          <w:bCs/>
          <w:sz w:val="20"/>
          <w:szCs w:val="18"/>
        </w:rPr>
      </w:pPr>
      <w:r w:rsidRPr="004A20DF">
        <w:rPr>
          <w:rFonts w:cs="Arial"/>
          <w:bCs/>
          <w:sz w:val="20"/>
          <w:szCs w:val="20"/>
        </w:rPr>
        <w:t xml:space="preserve">% OD-positive cells, percentage of optical density-positive cells; </w:t>
      </w:r>
      <w:proofErr w:type="spellStart"/>
      <w:r w:rsidRPr="004A20DF">
        <w:rPr>
          <w:rFonts w:cs="Arial"/>
          <w:bCs/>
          <w:sz w:val="20"/>
          <w:szCs w:val="20"/>
        </w:rPr>
        <w:t>bSPS</w:t>
      </w:r>
      <w:proofErr w:type="spellEnd"/>
      <w:r w:rsidRPr="004A20DF">
        <w:rPr>
          <w:rFonts w:cs="Arial"/>
          <w:bCs/>
          <w:sz w:val="20"/>
          <w:szCs w:val="20"/>
        </w:rPr>
        <w:t xml:space="preserve">, binary spatial proximity scores; HER2, human epidermal growth factor receptor 2; OD, optical density; ORR, objective response rate; PFS, progression-free survival; QCS, quantitative continuous scoring; </w:t>
      </w:r>
      <w:proofErr w:type="spellStart"/>
      <w:r w:rsidRPr="004A20DF">
        <w:rPr>
          <w:rFonts w:cs="Arial"/>
          <w:bCs/>
          <w:sz w:val="20"/>
          <w:szCs w:val="20"/>
        </w:rPr>
        <w:t>sTIL</w:t>
      </w:r>
      <w:proofErr w:type="spellEnd"/>
      <w:r w:rsidRPr="004A20DF">
        <w:rPr>
          <w:rFonts w:cs="Arial"/>
          <w:bCs/>
          <w:sz w:val="20"/>
          <w:szCs w:val="20"/>
        </w:rPr>
        <w:t>, stromal tumor-infiltrating lymphocyte; TIL, tumor-infiltrating lymphocyte.</w:t>
      </w:r>
      <w:r w:rsidR="00743690" w:rsidRPr="004A20DF">
        <w:rPr>
          <w:rFonts w:cs="Arial"/>
          <w:b/>
          <w:bCs/>
          <w:sz w:val="20"/>
          <w:szCs w:val="18"/>
        </w:rPr>
        <w:br w:type="page"/>
      </w:r>
    </w:p>
    <w:p w14:paraId="5B7CE85A" w14:textId="77777777" w:rsidR="008430B3" w:rsidRPr="0044579A" w:rsidRDefault="008430B3">
      <w:pPr>
        <w:spacing w:line="240" w:lineRule="auto"/>
        <w:rPr>
          <w:rFonts w:cs="Arial"/>
        </w:rPr>
      </w:pPr>
    </w:p>
    <w:p w14:paraId="4FE82DDF" w14:textId="6BD61221" w:rsidR="00D7514C" w:rsidRPr="0044579A" w:rsidRDefault="00D7514C" w:rsidP="00D7514C">
      <w:pPr>
        <w:pStyle w:val="Heading1"/>
        <w:ind w:left="0"/>
      </w:pPr>
      <w:bookmarkStart w:id="1" w:name="_bookmark37"/>
      <w:bookmarkStart w:id="2" w:name="_bookmark38"/>
      <w:bookmarkStart w:id="3" w:name="_bookmark39"/>
      <w:bookmarkStart w:id="4" w:name="_bookmark40"/>
      <w:bookmarkEnd w:id="1"/>
      <w:bookmarkEnd w:id="2"/>
      <w:bookmarkEnd w:id="3"/>
      <w:bookmarkEnd w:id="4"/>
      <w:r w:rsidRPr="0044579A">
        <w:t>Additional Kaplan-Meier analysis curves for progression-free survival with data from NCT02564900 (DS8201-A-J101</w:t>
      </w:r>
      <w:r w:rsidR="00183BC6" w:rsidRPr="0044579A">
        <w:t xml:space="preserve"> [J101]</w:t>
      </w:r>
      <w:r w:rsidRPr="0044579A">
        <w:t>)</w:t>
      </w:r>
    </w:p>
    <w:p w14:paraId="1934ACFD" w14:textId="77777777" w:rsidR="00D7514C" w:rsidRPr="0044579A" w:rsidRDefault="00D7514C" w:rsidP="00D7514C">
      <w:pPr>
        <w:pStyle w:val="BodyText"/>
        <w:rPr>
          <w:rFonts w:cs="Arial"/>
          <w:b/>
          <w:sz w:val="24"/>
          <w:szCs w:val="24"/>
        </w:rPr>
      </w:pPr>
    </w:p>
    <w:p w14:paraId="14DD2BBF" w14:textId="38A0D84A" w:rsidR="00D7514C" w:rsidRPr="0044579A" w:rsidRDefault="00D7514C" w:rsidP="00D7514C">
      <w:pPr>
        <w:pStyle w:val="BodyText"/>
        <w:ind w:right="138"/>
        <w:rPr>
          <w:rFonts w:cs="Arial"/>
          <w:sz w:val="24"/>
          <w:szCs w:val="24"/>
        </w:rPr>
      </w:pPr>
      <w:r w:rsidRPr="0044579A">
        <w:rPr>
          <w:rFonts w:cs="Arial"/>
          <w:b/>
          <w:sz w:val="24"/>
          <w:szCs w:val="24"/>
        </w:rPr>
        <w:t xml:space="preserve">Supplementary Figure </w:t>
      </w:r>
      <w:r w:rsidR="00BF39B1" w:rsidRPr="0044579A">
        <w:rPr>
          <w:rFonts w:cs="Arial"/>
          <w:b/>
          <w:sz w:val="24"/>
          <w:szCs w:val="24"/>
        </w:rPr>
        <w:t>S</w:t>
      </w:r>
      <w:r w:rsidR="00DC6EBA" w:rsidRPr="0044579A">
        <w:rPr>
          <w:rFonts w:cs="Arial"/>
          <w:b/>
          <w:sz w:val="24"/>
          <w:szCs w:val="24"/>
        </w:rPr>
        <w:t>1</w:t>
      </w:r>
      <w:r w:rsidRPr="0044579A">
        <w:rPr>
          <w:rFonts w:cs="Arial"/>
          <w:b/>
          <w:sz w:val="24"/>
          <w:szCs w:val="24"/>
        </w:rPr>
        <w:t xml:space="preserve">. </w:t>
      </w:r>
      <w:r w:rsidRPr="0044579A">
        <w:rPr>
          <w:rFonts w:cs="Arial"/>
          <w:sz w:val="24"/>
          <w:szCs w:val="24"/>
        </w:rPr>
        <w:t xml:space="preserve">Kaplan-Meier curves for patient stratification on </w:t>
      </w:r>
      <w:r w:rsidR="00183BC6" w:rsidRPr="0044579A">
        <w:rPr>
          <w:rFonts w:cs="Arial"/>
          <w:sz w:val="24"/>
          <w:szCs w:val="24"/>
        </w:rPr>
        <w:t>J101</w:t>
      </w:r>
      <w:r w:rsidRPr="0044579A">
        <w:rPr>
          <w:rFonts w:cs="Arial"/>
          <w:sz w:val="24"/>
          <w:szCs w:val="24"/>
        </w:rPr>
        <w:t xml:space="preserve"> data set using the stromal TIL densities on (</w:t>
      </w:r>
      <w:r w:rsidR="006400A3" w:rsidRPr="0044579A">
        <w:rPr>
          <w:rFonts w:cs="Arial"/>
          <w:b/>
          <w:bCs/>
          <w:sz w:val="24"/>
          <w:szCs w:val="24"/>
        </w:rPr>
        <w:t>A</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full cohort, (</w:t>
      </w:r>
      <w:r w:rsidR="006400A3" w:rsidRPr="0044579A">
        <w:rPr>
          <w:rFonts w:cs="Arial"/>
          <w:b/>
          <w:bCs/>
          <w:sz w:val="24"/>
          <w:szCs w:val="24"/>
        </w:rPr>
        <w:t>B</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HER2-negative cohort, and</w:t>
      </w:r>
      <w:r w:rsidRPr="0044579A">
        <w:rPr>
          <w:rFonts w:cs="Arial"/>
          <w:b/>
          <w:bCs/>
          <w:sz w:val="24"/>
          <w:szCs w:val="24"/>
        </w:rPr>
        <w:t xml:space="preserve"> </w:t>
      </w:r>
      <w:r w:rsidR="00183BC6" w:rsidRPr="0044579A">
        <w:rPr>
          <w:rFonts w:cs="Arial"/>
          <w:sz w:val="24"/>
          <w:szCs w:val="24"/>
        </w:rPr>
        <w:t>(</w:t>
      </w:r>
      <w:r w:rsidR="006400A3" w:rsidRPr="0044579A">
        <w:rPr>
          <w:rFonts w:cs="Arial"/>
          <w:b/>
          <w:bCs/>
          <w:sz w:val="24"/>
          <w:szCs w:val="24"/>
        </w:rPr>
        <w:t>C</w:t>
      </w:r>
      <w:r w:rsidR="006400A3" w:rsidRPr="0044579A">
        <w:rPr>
          <w:rFonts w:cs="Arial"/>
          <w:sz w:val="24"/>
          <w:szCs w:val="24"/>
        </w:rPr>
        <w:t>)</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 xml:space="preserve">HER2-positive cohort. HER2, human epidermal growth factor receptor 2; </w:t>
      </w:r>
      <w:proofErr w:type="spellStart"/>
      <w:r w:rsidR="00183BC6" w:rsidRPr="0044579A">
        <w:rPr>
          <w:rFonts w:cs="Arial"/>
          <w:sz w:val="24"/>
          <w:szCs w:val="24"/>
        </w:rPr>
        <w:t>sTIL</w:t>
      </w:r>
      <w:proofErr w:type="spellEnd"/>
      <w:r w:rsidR="00183BC6" w:rsidRPr="0044579A">
        <w:rPr>
          <w:rFonts w:cs="Arial"/>
          <w:sz w:val="24"/>
          <w:szCs w:val="24"/>
        </w:rPr>
        <w:t xml:space="preserve">, stromal tumor-infiltrating lymphocyte; </w:t>
      </w:r>
      <w:r w:rsidRPr="0044579A">
        <w:rPr>
          <w:rFonts w:cs="Arial"/>
          <w:sz w:val="24"/>
          <w:szCs w:val="24"/>
        </w:rPr>
        <w:t>TIL, tumor-infiltrating lymphocyte.</w:t>
      </w:r>
    </w:p>
    <w:p w14:paraId="4C20D84C" w14:textId="03C9031A" w:rsidR="00890E80" w:rsidRPr="0044579A" w:rsidRDefault="00890E80" w:rsidP="00D7514C">
      <w:pPr>
        <w:pStyle w:val="BodyText"/>
        <w:ind w:right="138"/>
        <w:rPr>
          <w:rFonts w:cs="Arial"/>
          <w:b/>
          <w:bCs/>
          <w:sz w:val="24"/>
          <w:szCs w:val="24"/>
        </w:rPr>
      </w:pPr>
    </w:p>
    <w:p w14:paraId="03E3FCF5" w14:textId="7482771F" w:rsidR="00D7514C" w:rsidRPr="0044579A" w:rsidRDefault="006400A3" w:rsidP="00D7514C">
      <w:pPr>
        <w:pStyle w:val="BodyText"/>
        <w:ind w:right="138"/>
        <w:rPr>
          <w:rFonts w:cs="Arial"/>
          <w:b/>
          <w:bCs/>
          <w:sz w:val="24"/>
          <w:szCs w:val="24"/>
        </w:rPr>
      </w:pPr>
      <w:r w:rsidRPr="0044579A">
        <w:rPr>
          <w:rFonts w:cs="Arial"/>
          <w:b/>
          <w:bCs/>
          <w:sz w:val="24"/>
          <w:szCs w:val="24"/>
        </w:rPr>
        <w:t>A</w:t>
      </w:r>
      <w:r w:rsidR="00D7514C" w:rsidRPr="0044579A">
        <w:rPr>
          <w:rFonts w:cs="Arial"/>
          <w:b/>
          <w:bCs/>
          <w:sz w:val="24"/>
          <w:szCs w:val="24"/>
        </w:rPr>
        <w:t xml:space="preserve"> </w:t>
      </w:r>
      <w:r w:rsidR="00D7514C" w:rsidRPr="0044579A">
        <w:rPr>
          <w:rFonts w:cs="Arial"/>
          <w:b/>
          <w:bCs/>
          <w:noProof/>
          <w:sz w:val="24"/>
          <w:szCs w:val="24"/>
        </w:rPr>
        <w:drawing>
          <wp:inline distT="0" distB="0" distL="0" distR="0" wp14:anchorId="3439F583" wp14:editId="717B5A23">
            <wp:extent cx="5943600" cy="3709670"/>
            <wp:effectExtent l="0" t="0" r="0" b="5080"/>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13"/>
                    <a:stretch>
                      <a:fillRect/>
                    </a:stretch>
                  </pic:blipFill>
                  <pic:spPr>
                    <a:xfrm>
                      <a:off x="0" y="0"/>
                      <a:ext cx="5943600" cy="3709670"/>
                    </a:xfrm>
                    <a:prstGeom prst="rect">
                      <a:avLst/>
                    </a:prstGeom>
                  </pic:spPr>
                </pic:pic>
              </a:graphicData>
            </a:graphic>
          </wp:inline>
        </w:drawing>
      </w:r>
    </w:p>
    <w:p w14:paraId="07A4DFC9" w14:textId="77777777" w:rsidR="006400A3" w:rsidRPr="0044579A" w:rsidRDefault="006400A3" w:rsidP="00D7514C">
      <w:pPr>
        <w:pStyle w:val="BodyText"/>
        <w:ind w:right="138"/>
        <w:rPr>
          <w:rFonts w:cs="Arial"/>
          <w:b/>
          <w:bCs/>
          <w:sz w:val="24"/>
          <w:szCs w:val="24"/>
        </w:rPr>
      </w:pPr>
    </w:p>
    <w:p w14:paraId="6DE206F6" w14:textId="77777777" w:rsidR="006400A3" w:rsidRPr="0044579A" w:rsidRDefault="006400A3" w:rsidP="00D7514C">
      <w:pPr>
        <w:pStyle w:val="BodyText"/>
        <w:ind w:right="138"/>
        <w:rPr>
          <w:rFonts w:cs="Arial"/>
          <w:b/>
          <w:bCs/>
          <w:sz w:val="24"/>
          <w:szCs w:val="24"/>
        </w:rPr>
      </w:pPr>
    </w:p>
    <w:p w14:paraId="2FEBB845" w14:textId="3E5F0FA4" w:rsidR="006400A3" w:rsidRPr="0044579A" w:rsidRDefault="006400A3" w:rsidP="00D7514C">
      <w:pPr>
        <w:pStyle w:val="BodyText"/>
        <w:ind w:right="138"/>
        <w:rPr>
          <w:rFonts w:cs="Arial"/>
          <w:b/>
          <w:bCs/>
          <w:sz w:val="24"/>
          <w:szCs w:val="24"/>
        </w:rPr>
      </w:pPr>
      <w:r w:rsidRPr="0044579A">
        <w:rPr>
          <w:rFonts w:cs="Arial"/>
          <w:b/>
          <w:bCs/>
          <w:sz w:val="24"/>
          <w:szCs w:val="24"/>
        </w:rPr>
        <w:lastRenderedPageBreak/>
        <w:t>B</w:t>
      </w:r>
    </w:p>
    <w:p w14:paraId="5DAA79C4" w14:textId="700E3B3A" w:rsidR="006400A3" w:rsidRPr="0044579A" w:rsidRDefault="006400A3" w:rsidP="00D7514C">
      <w:pPr>
        <w:pStyle w:val="BodyText"/>
        <w:ind w:right="138"/>
        <w:rPr>
          <w:rFonts w:cs="Arial"/>
          <w:b/>
          <w:bCs/>
          <w:sz w:val="24"/>
          <w:szCs w:val="24"/>
        </w:rPr>
      </w:pPr>
      <w:r w:rsidRPr="0044579A">
        <w:rPr>
          <w:rFonts w:cs="Arial"/>
          <w:b/>
          <w:bCs/>
          <w:noProof/>
          <w:sz w:val="24"/>
          <w:szCs w:val="24"/>
        </w:rPr>
        <w:drawing>
          <wp:inline distT="0" distB="0" distL="0" distR="0" wp14:anchorId="6D0316E7" wp14:editId="2A929F6B">
            <wp:extent cx="5629275" cy="3507471"/>
            <wp:effectExtent l="0" t="0" r="0" b="0"/>
            <wp:docPr id="35" name="Picture 3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pic:nvPicPr>
                  <pic:blipFill>
                    <a:blip r:embed="rId14"/>
                    <a:stretch>
                      <a:fillRect/>
                    </a:stretch>
                  </pic:blipFill>
                  <pic:spPr>
                    <a:xfrm>
                      <a:off x="0" y="0"/>
                      <a:ext cx="5638716" cy="3513354"/>
                    </a:xfrm>
                    <a:prstGeom prst="rect">
                      <a:avLst/>
                    </a:prstGeom>
                  </pic:spPr>
                </pic:pic>
              </a:graphicData>
            </a:graphic>
          </wp:inline>
        </w:drawing>
      </w:r>
    </w:p>
    <w:p w14:paraId="4E12B2B8" w14:textId="0D52439C" w:rsidR="006400A3" w:rsidRPr="0044579A" w:rsidRDefault="006400A3" w:rsidP="00D7514C">
      <w:pPr>
        <w:pStyle w:val="BodyText"/>
        <w:ind w:right="138"/>
        <w:rPr>
          <w:rFonts w:cs="Arial"/>
          <w:b/>
          <w:bCs/>
          <w:sz w:val="24"/>
          <w:szCs w:val="24"/>
        </w:rPr>
      </w:pPr>
      <w:r w:rsidRPr="0044579A">
        <w:rPr>
          <w:rFonts w:cs="Arial"/>
          <w:b/>
          <w:bCs/>
          <w:sz w:val="24"/>
          <w:szCs w:val="24"/>
        </w:rPr>
        <w:t>C</w:t>
      </w:r>
    </w:p>
    <w:p w14:paraId="1BDAFAEE" w14:textId="77777777" w:rsidR="00D7514C" w:rsidRPr="0044579A" w:rsidRDefault="00D7514C" w:rsidP="00D7514C">
      <w:pPr>
        <w:pStyle w:val="BodyText"/>
        <w:ind w:right="138"/>
        <w:rPr>
          <w:rFonts w:cs="Arial"/>
          <w:b/>
          <w:bCs/>
          <w:sz w:val="24"/>
          <w:szCs w:val="24"/>
        </w:rPr>
      </w:pPr>
      <w:r w:rsidRPr="0044579A">
        <w:rPr>
          <w:rFonts w:cs="Arial"/>
          <w:b/>
          <w:bCs/>
          <w:noProof/>
          <w:sz w:val="24"/>
          <w:szCs w:val="24"/>
        </w:rPr>
        <w:drawing>
          <wp:inline distT="0" distB="0" distL="0" distR="0" wp14:anchorId="3F9B5334" wp14:editId="4B59BC43">
            <wp:extent cx="5577840" cy="3502468"/>
            <wp:effectExtent l="0" t="0" r="3810" b="3175"/>
            <wp:docPr id="36" name="Picture 3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7840" cy="3502468"/>
                    </a:xfrm>
                    <a:prstGeom prst="rect">
                      <a:avLst/>
                    </a:prstGeom>
                    <a:noFill/>
                  </pic:spPr>
                </pic:pic>
              </a:graphicData>
            </a:graphic>
          </wp:inline>
        </w:drawing>
      </w:r>
    </w:p>
    <w:p w14:paraId="3AD931BC" w14:textId="3A55AB8C" w:rsidR="00D7514C" w:rsidRPr="0044579A" w:rsidRDefault="00D7514C" w:rsidP="00D7514C">
      <w:pPr>
        <w:pStyle w:val="BodyText"/>
        <w:ind w:right="138"/>
        <w:rPr>
          <w:rFonts w:cs="Arial"/>
          <w:sz w:val="24"/>
          <w:szCs w:val="24"/>
        </w:rPr>
      </w:pPr>
      <w:r w:rsidRPr="0044579A">
        <w:rPr>
          <w:rFonts w:cs="Arial"/>
          <w:b/>
          <w:sz w:val="24"/>
          <w:szCs w:val="24"/>
        </w:rPr>
        <w:lastRenderedPageBreak/>
        <w:t xml:space="preserve">Supplementary Figure </w:t>
      </w:r>
      <w:r w:rsidR="00BF39B1" w:rsidRPr="0044579A">
        <w:rPr>
          <w:rFonts w:cs="Arial"/>
          <w:b/>
          <w:sz w:val="24"/>
          <w:szCs w:val="24"/>
        </w:rPr>
        <w:t>S</w:t>
      </w:r>
      <w:r w:rsidR="00DC6EBA" w:rsidRPr="0044579A">
        <w:rPr>
          <w:rFonts w:cs="Arial"/>
          <w:b/>
          <w:sz w:val="24"/>
          <w:szCs w:val="24"/>
        </w:rPr>
        <w:t>2</w:t>
      </w:r>
      <w:r w:rsidRPr="0044579A">
        <w:rPr>
          <w:rFonts w:cs="Arial"/>
          <w:b/>
          <w:sz w:val="24"/>
          <w:szCs w:val="24"/>
        </w:rPr>
        <w:t xml:space="preserve">. </w:t>
      </w:r>
      <w:r w:rsidRPr="0044579A">
        <w:rPr>
          <w:rFonts w:cs="Arial"/>
          <w:sz w:val="24"/>
          <w:szCs w:val="24"/>
        </w:rPr>
        <w:t xml:space="preserve">Kaplan-Meier curves for patient stratification on </w:t>
      </w:r>
      <w:r w:rsidR="00183BC6" w:rsidRPr="0044579A">
        <w:rPr>
          <w:rFonts w:cs="Arial"/>
          <w:sz w:val="24"/>
          <w:szCs w:val="24"/>
        </w:rPr>
        <w:t>J101</w:t>
      </w:r>
      <w:r w:rsidRPr="0044579A">
        <w:rPr>
          <w:rFonts w:cs="Arial"/>
          <w:sz w:val="24"/>
          <w:szCs w:val="24"/>
        </w:rPr>
        <w:t xml:space="preserve"> data set using the bivariate combination of best HER2 QCS-based features and </w:t>
      </w:r>
      <w:proofErr w:type="spellStart"/>
      <w:r w:rsidRPr="0044579A">
        <w:rPr>
          <w:rFonts w:cs="Arial"/>
          <w:sz w:val="24"/>
          <w:szCs w:val="24"/>
        </w:rPr>
        <w:t>sTIL</w:t>
      </w:r>
      <w:proofErr w:type="spellEnd"/>
      <w:r w:rsidRPr="0044579A">
        <w:rPr>
          <w:rFonts w:cs="Arial"/>
          <w:sz w:val="24"/>
          <w:szCs w:val="24"/>
        </w:rPr>
        <w:t xml:space="preserve"> densities. Stratification using % OD-positive cells or </w:t>
      </w:r>
      <w:proofErr w:type="spellStart"/>
      <w:r w:rsidRPr="0044579A">
        <w:rPr>
          <w:rFonts w:cs="Arial"/>
          <w:sz w:val="24"/>
          <w:szCs w:val="24"/>
        </w:rPr>
        <w:t>sTIL</w:t>
      </w:r>
      <w:proofErr w:type="spellEnd"/>
      <w:r w:rsidRPr="0044579A">
        <w:rPr>
          <w:rFonts w:cs="Arial"/>
          <w:sz w:val="24"/>
          <w:szCs w:val="24"/>
        </w:rPr>
        <w:t xml:space="preserve"> density for (</w:t>
      </w:r>
      <w:r w:rsidR="006400A3" w:rsidRPr="0044579A">
        <w:rPr>
          <w:rFonts w:cs="Arial"/>
          <w:b/>
          <w:bCs/>
          <w:sz w:val="24"/>
          <w:szCs w:val="24"/>
        </w:rPr>
        <w:t>A</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full cohort, (</w:t>
      </w:r>
      <w:r w:rsidR="006400A3" w:rsidRPr="0044579A">
        <w:rPr>
          <w:rFonts w:cs="Arial"/>
          <w:b/>
          <w:bCs/>
          <w:sz w:val="24"/>
          <w:szCs w:val="24"/>
        </w:rPr>
        <w:t>B</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HER2-negative cohort, and (</w:t>
      </w:r>
      <w:r w:rsidR="006400A3" w:rsidRPr="0044579A">
        <w:rPr>
          <w:rFonts w:cs="Arial"/>
          <w:b/>
          <w:bCs/>
          <w:sz w:val="24"/>
          <w:szCs w:val="24"/>
        </w:rPr>
        <w:t>C</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 xml:space="preserve">HER2-positive cohort. Stratification using </w:t>
      </w:r>
      <w:proofErr w:type="spellStart"/>
      <w:r w:rsidRPr="0044579A">
        <w:rPr>
          <w:rFonts w:cs="Arial"/>
          <w:sz w:val="24"/>
          <w:szCs w:val="24"/>
        </w:rPr>
        <w:t>bSPS</w:t>
      </w:r>
      <w:proofErr w:type="spellEnd"/>
      <w:r w:rsidRPr="0044579A">
        <w:rPr>
          <w:rFonts w:cs="Arial"/>
          <w:sz w:val="24"/>
          <w:szCs w:val="24"/>
        </w:rPr>
        <w:t xml:space="preserve"> or </w:t>
      </w:r>
      <w:proofErr w:type="spellStart"/>
      <w:r w:rsidRPr="0044579A">
        <w:rPr>
          <w:rFonts w:cs="Arial"/>
          <w:sz w:val="24"/>
          <w:szCs w:val="24"/>
        </w:rPr>
        <w:t>sTIL</w:t>
      </w:r>
      <w:proofErr w:type="spellEnd"/>
      <w:r w:rsidRPr="0044579A">
        <w:rPr>
          <w:rFonts w:cs="Arial"/>
          <w:sz w:val="24"/>
          <w:szCs w:val="24"/>
        </w:rPr>
        <w:t xml:space="preserve"> density for (</w:t>
      </w:r>
      <w:r w:rsidR="006400A3" w:rsidRPr="0044579A">
        <w:rPr>
          <w:rFonts w:cs="Arial"/>
          <w:b/>
          <w:bCs/>
          <w:sz w:val="24"/>
          <w:szCs w:val="24"/>
        </w:rPr>
        <w:t>D</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full cohort, (</w:t>
      </w:r>
      <w:r w:rsidR="006400A3" w:rsidRPr="0044579A">
        <w:rPr>
          <w:rFonts w:cs="Arial"/>
          <w:b/>
          <w:bCs/>
          <w:sz w:val="24"/>
          <w:szCs w:val="24"/>
        </w:rPr>
        <w:t>E</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HER2-negative cohort, and (</w:t>
      </w:r>
      <w:r w:rsidR="006400A3" w:rsidRPr="0044579A">
        <w:rPr>
          <w:rFonts w:cs="Arial"/>
          <w:b/>
          <w:bCs/>
          <w:sz w:val="24"/>
          <w:szCs w:val="24"/>
        </w:rPr>
        <w:t>F</w:t>
      </w:r>
      <w:r w:rsidRPr="0044579A">
        <w:rPr>
          <w:rFonts w:cs="Arial"/>
          <w:sz w:val="24"/>
          <w:szCs w:val="24"/>
        </w:rPr>
        <w:t xml:space="preserve">) </w:t>
      </w:r>
      <w:r w:rsidR="00183BC6" w:rsidRPr="0044579A">
        <w:rPr>
          <w:rFonts w:cs="Arial"/>
          <w:sz w:val="24"/>
          <w:szCs w:val="24"/>
        </w:rPr>
        <w:t xml:space="preserve">the </w:t>
      </w:r>
      <w:r w:rsidRPr="0044579A">
        <w:rPr>
          <w:rFonts w:cs="Arial"/>
          <w:sz w:val="24"/>
          <w:szCs w:val="24"/>
        </w:rPr>
        <w:t xml:space="preserve">HER2-positive cohort. </w:t>
      </w:r>
      <w:proofErr w:type="spellStart"/>
      <w:r w:rsidRPr="0044579A">
        <w:rPr>
          <w:rFonts w:cs="Arial"/>
          <w:sz w:val="24"/>
          <w:szCs w:val="24"/>
        </w:rPr>
        <w:t>bSPS</w:t>
      </w:r>
      <w:proofErr w:type="spellEnd"/>
      <w:r w:rsidRPr="0044579A">
        <w:rPr>
          <w:rFonts w:cs="Arial"/>
          <w:sz w:val="24"/>
          <w:szCs w:val="24"/>
        </w:rPr>
        <w:t>, binary spatial pro</w:t>
      </w:r>
      <w:r w:rsidR="00CA5FA6" w:rsidRPr="0044579A">
        <w:rPr>
          <w:rFonts w:cs="Arial"/>
          <w:sz w:val="24"/>
          <w:szCs w:val="24"/>
        </w:rPr>
        <w:t>xim</w:t>
      </w:r>
      <w:r w:rsidRPr="0044579A">
        <w:rPr>
          <w:rFonts w:cs="Arial"/>
          <w:sz w:val="24"/>
          <w:szCs w:val="24"/>
        </w:rPr>
        <w:t xml:space="preserve">ity scores; HER2, human epidermal growth factor receptor 2; </w:t>
      </w:r>
      <w:r w:rsidR="00183BC6" w:rsidRPr="0044579A">
        <w:rPr>
          <w:rFonts w:cs="Arial"/>
          <w:sz w:val="24"/>
          <w:szCs w:val="24"/>
        </w:rPr>
        <w:t xml:space="preserve">Neg, negative; </w:t>
      </w:r>
      <w:r w:rsidRPr="0044579A">
        <w:rPr>
          <w:rFonts w:cs="Arial"/>
          <w:sz w:val="24"/>
          <w:szCs w:val="24"/>
        </w:rPr>
        <w:t xml:space="preserve">OD, optical density; </w:t>
      </w:r>
      <w:r w:rsidR="00183BC6" w:rsidRPr="0044579A">
        <w:rPr>
          <w:rFonts w:cs="Arial"/>
          <w:sz w:val="24"/>
          <w:szCs w:val="24"/>
        </w:rPr>
        <w:t xml:space="preserve">Pos, positive; </w:t>
      </w:r>
      <w:r w:rsidR="00CF155F" w:rsidRPr="0044579A">
        <w:rPr>
          <w:rFonts w:cs="Arial"/>
          <w:sz w:val="24"/>
          <w:szCs w:val="24"/>
        </w:rPr>
        <w:br/>
      </w:r>
      <w:r w:rsidRPr="0044579A">
        <w:rPr>
          <w:rFonts w:cs="Arial"/>
          <w:sz w:val="24"/>
          <w:szCs w:val="24"/>
        </w:rPr>
        <w:t xml:space="preserve">QCS, quantitative continuous scoring; </w:t>
      </w:r>
      <w:proofErr w:type="spellStart"/>
      <w:r w:rsidRPr="0044579A">
        <w:rPr>
          <w:rFonts w:cs="Arial"/>
          <w:sz w:val="24"/>
          <w:szCs w:val="24"/>
        </w:rPr>
        <w:t>sTIL</w:t>
      </w:r>
      <w:proofErr w:type="spellEnd"/>
      <w:r w:rsidRPr="0044579A">
        <w:rPr>
          <w:rFonts w:cs="Arial"/>
          <w:sz w:val="24"/>
          <w:szCs w:val="24"/>
        </w:rPr>
        <w:t>, stromal tumor-infiltrating lymphocyte.</w:t>
      </w:r>
    </w:p>
    <w:p w14:paraId="3955D8C2" w14:textId="24BBE1DA" w:rsidR="00D7514C" w:rsidRPr="0044579A" w:rsidRDefault="006400A3" w:rsidP="00D7514C">
      <w:pPr>
        <w:pStyle w:val="BodyText"/>
        <w:ind w:right="138"/>
        <w:rPr>
          <w:rFonts w:cs="Arial"/>
          <w:sz w:val="24"/>
          <w:szCs w:val="24"/>
        </w:rPr>
      </w:pPr>
      <w:r w:rsidRPr="0044579A">
        <w:rPr>
          <w:rFonts w:cs="Arial"/>
          <w:b/>
          <w:bCs/>
          <w:sz w:val="24"/>
          <w:szCs w:val="24"/>
        </w:rPr>
        <w:t>A</w:t>
      </w:r>
      <w:r w:rsidR="00D7514C" w:rsidRPr="0044579A">
        <w:rPr>
          <w:rFonts w:cs="Arial"/>
          <w:sz w:val="24"/>
          <w:szCs w:val="24"/>
        </w:rPr>
        <w:t xml:space="preserve"> </w:t>
      </w:r>
      <w:r w:rsidR="00D7514C" w:rsidRPr="0044579A">
        <w:rPr>
          <w:rFonts w:cs="Arial"/>
          <w:noProof/>
          <w:sz w:val="24"/>
          <w:szCs w:val="24"/>
        </w:rPr>
        <w:drawing>
          <wp:inline distT="0" distB="0" distL="0" distR="0" wp14:anchorId="0E1BA103" wp14:editId="6C1D20BA">
            <wp:extent cx="5943600" cy="3717925"/>
            <wp:effectExtent l="0" t="0" r="0" b="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6"/>
                    <a:stretch>
                      <a:fillRect/>
                    </a:stretch>
                  </pic:blipFill>
                  <pic:spPr>
                    <a:xfrm>
                      <a:off x="0" y="0"/>
                      <a:ext cx="5943600" cy="3717925"/>
                    </a:xfrm>
                    <a:prstGeom prst="rect">
                      <a:avLst/>
                    </a:prstGeom>
                  </pic:spPr>
                </pic:pic>
              </a:graphicData>
            </a:graphic>
          </wp:inline>
        </w:drawing>
      </w:r>
    </w:p>
    <w:p w14:paraId="2D694DB0" w14:textId="4AE293E6" w:rsidR="00D7514C" w:rsidRPr="0044579A" w:rsidRDefault="00AB4E01" w:rsidP="00D7514C">
      <w:pPr>
        <w:pStyle w:val="BodyText"/>
        <w:keepNext/>
        <w:widowControl/>
        <w:ind w:right="144"/>
        <w:rPr>
          <w:rFonts w:cs="Arial"/>
          <w:sz w:val="24"/>
          <w:szCs w:val="24"/>
        </w:rPr>
      </w:pPr>
      <w:r w:rsidRPr="0044579A">
        <w:rPr>
          <w:rFonts w:cs="Arial"/>
          <w:b/>
          <w:bCs/>
          <w:sz w:val="24"/>
          <w:szCs w:val="24"/>
        </w:rPr>
        <w:lastRenderedPageBreak/>
        <w:t>B</w:t>
      </w:r>
      <w:r w:rsidR="00D7514C" w:rsidRPr="0044579A">
        <w:rPr>
          <w:rFonts w:cs="Arial"/>
          <w:sz w:val="24"/>
          <w:szCs w:val="24"/>
        </w:rPr>
        <w:t xml:space="preserve"> </w:t>
      </w:r>
      <w:r w:rsidR="00D7514C" w:rsidRPr="0044579A">
        <w:rPr>
          <w:rFonts w:cs="Arial"/>
          <w:noProof/>
          <w:sz w:val="24"/>
          <w:szCs w:val="24"/>
        </w:rPr>
        <w:drawing>
          <wp:inline distT="0" distB="0" distL="0" distR="0" wp14:anchorId="7B63A01C" wp14:editId="347D66E6">
            <wp:extent cx="5743575" cy="3575007"/>
            <wp:effectExtent l="0" t="0" r="0" b="6985"/>
            <wp:docPr id="38" name="Picture 38" descr="Chart, 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ox and whisker chart&#10;&#10;Description automatically generated with medium confidence"/>
                    <pic:cNvPicPr/>
                  </pic:nvPicPr>
                  <pic:blipFill>
                    <a:blip r:embed="rId17"/>
                    <a:stretch>
                      <a:fillRect/>
                    </a:stretch>
                  </pic:blipFill>
                  <pic:spPr>
                    <a:xfrm>
                      <a:off x="0" y="0"/>
                      <a:ext cx="5749638" cy="3578781"/>
                    </a:xfrm>
                    <a:prstGeom prst="rect">
                      <a:avLst/>
                    </a:prstGeom>
                  </pic:spPr>
                </pic:pic>
              </a:graphicData>
            </a:graphic>
          </wp:inline>
        </w:drawing>
      </w:r>
    </w:p>
    <w:p w14:paraId="3BD63028" w14:textId="5C2C841A" w:rsidR="00D7514C" w:rsidRPr="0044579A" w:rsidRDefault="00AB4E01" w:rsidP="00D7514C">
      <w:pPr>
        <w:pStyle w:val="BodyText"/>
        <w:ind w:right="138"/>
        <w:rPr>
          <w:rFonts w:cs="Arial"/>
          <w:sz w:val="24"/>
          <w:szCs w:val="24"/>
        </w:rPr>
      </w:pPr>
      <w:r w:rsidRPr="0044579A">
        <w:rPr>
          <w:rFonts w:cs="Arial"/>
          <w:b/>
          <w:bCs/>
          <w:sz w:val="24"/>
          <w:szCs w:val="24"/>
        </w:rPr>
        <w:t>C</w:t>
      </w:r>
      <w:r w:rsidR="00D7514C" w:rsidRPr="0044579A">
        <w:rPr>
          <w:rFonts w:cs="Arial"/>
          <w:sz w:val="24"/>
          <w:szCs w:val="24"/>
        </w:rPr>
        <w:t xml:space="preserve"> </w:t>
      </w:r>
      <w:r w:rsidR="00D7514C" w:rsidRPr="0044579A">
        <w:rPr>
          <w:rFonts w:cs="Arial"/>
          <w:noProof/>
          <w:sz w:val="24"/>
          <w:szCs w:val="24"/>
        </w:rPr>
        <w:drawing>
          <wp:inline distT="0" distB="0" distL="0" distR="0" wp14:anchorId="4DDC8AA7" wp14:editId="49E14B9D">
            <wp:extent cx="5791200" cy="3614550"/>
            <wp:effectExtent l="0" t="0" r="0" b="508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18"/>
                    <a:stretch>
                      <a:fillRect/>
                    </a:stretch>
                  </pic:blipFill>
                  <pic:spPr>
                    <a:xfrm>
                      <a:off x="0" y="0"/>
                      <a:ext cx="5794036" cy="3616320"/>
                    </a:xfrm>
                    <a:prstGeom prst="rect">
                      <a:avLst/>
                    </a:prstGeom>
                  </pic:spPr>
                </pic:pic>
              </a:graphicData>
            </a:graphic>
          </wp:inline>
        </w:drawing>
      </w:r>
    </w:p>
    <w:p w14:paraId="2302327E" w14:textId="2E8A3AC5" w:rsidR="00D7514C" w:rsidRPr="0044579A" w:rsidRDefault="00AB4E01" w:rsidP="00D7514C">
      <w:pPr>
        <w:pStyle w:val="BodyText"/>
        <w:ind w:right="138"/>
        <w:rPr>
          <w:rFonts w:cs="Arial"/>
          <w:sz w:val="24"/>
          <w:szCs w:val="24"/>
        </w:rPr>
      </w:pPr>
      <w:r w:rsidRPr="0044579A">
        <w:rPr>
          <w:rFonts w:cs="Arial"/>
          <w:b/>
          <w:bCs/>
          <w:sz w:val="24"/>
          <w:szCs w:val="24"/>
        </w:rPr>
        <w:lastRenderedPageBreak/>
        <w:t>D</w:t>
      </w:r>
      <w:r w:rsidR="00D7514C" w:rsidRPr="0044579A">
        <w:rPr>
          <w:rFonts w:cs="Arial"/>
          <w:sz w:val="24"/>
          <w:szCs w:val="24"/>
        </w:rPr>
        <w:t xml:space="preserve"> </w:t>
      </w:r>
      <w:r w:rsidR="00D7514C" w:rsidRPr="0044579A">
        <w:rPr>
          <w:rFonts w:cs="Arial"/>
          <w:noProof/>
          <w:sz w:val="24"/>
          <w:szCs w:val="24"/>
        </w:rPr>
        <w:drawing>
          <wp:inline distT="0" distB="0" distL="0" distR="0" wp14:anchorId="7F753AAF" wp14:editId="631E9981">
            <wp:extent cx="5705475" cy="3570798"/>
            <wp:effectExtent l="0" t="0" r="0" b="0"/>
            <wp:docPr id="40" name="Picture 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19"/>
                    <a:stretch>
                      <a:fillRect/>
                    </a:stretch>
                  </pic:blipFill>
                  <pic:spPr>
                    <a:xfrm>
                      <a:off x="0" y="0"/>
                      <a:ext cx="5712191" cy="3575001"/>
                    </a:xfrm>
                    <a:prstGeom prst="rect">
                      <a:avLst/>
                    </a:prstGeom>
                  </pic:spPr>
                </pic:pic>
              </a:graphicData>
            </a:graphic>
          </wp:inline>
        </w:drawing>
      </w:r>
    </w:p>
    <w:p w14:paraId="2657DBF3" w14:textId="0B39EA01" w:rsidR="00D7514C" w:rsidRPr="0044579A" w:rsidRDefault="00AB4E01" w:rsidP="00D7514C">
      <w:pPr>
        <w:pStyle w:val="BodyText"/>
        <w:ind w:right="138"/>
        <w:rPr>
          <w:rFonts w:cs="Arial"/>
          <w:sz w:val="24"/>
          <w:szCs w:val="24"/>
        </w:rPr>
      </w:pPr>
      <w:r w:rsidRPr="0044579A">
        <w:rPr>
          <w:rFonts w:cs="Arial"/>
          <w:b/>
          <w:bCs/>
          <w:sz w:val="24"/>
          <w:szCs w:val="24"/>
        </w:rPr>
        <w:t>E</w:t>
      </w:r>
      <w:r w:rsidR="00D7514C" w:rsidRPr="0044579A">
        <w:rPr>
          <w:rFonts w:cs="Arial"/>
          <w:sz w:val="24"/>
          <w:szCs w:val="24"/>
        </w:rPr>
        <w:t xml:space="preserve"> </w:t>
      </w:r>
      <w:r w:rsidR="00D7514C" w:rsidRPr="0044579A">
        <w:rPr>
          <w:rFonts w:cs="Arial"/>
          <w:noProof/>
          <w:sz w:val="24"/>
          <w:szCs w:val="24"/>
        </w:rPr>
        <w:drawing>
          <wp:inline distT="0" distB="0" distL="0" distR="0" wp14:anchorId="2C6CE91E" wp14:editId="27F3D10B">
            <wp:extent cx="5715000" cy="3592635"/>
            <wp:effectExtent l="0" t="0" r="0" b="8255"/>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20"/>
                    <a:stretch>
                      <a:fillRect/>
                    </a:stretch>
                  </pic:blipFill>
                  <pic:spPr>
                    <a:xfrm>
                      <a:off x="0" y="0"/>
                      <a:ext cx="5717636" cy="3594292"/>
                    </a:xfrm>
                    <a:prstGeom prst="rect">
                      <a:avLst/>
                    </a:prstGeom>
                  </pic:spPr>
                </pic:pic>
              </a:graphicData>
            </a:graphic>
          </wp:inline>
        </w:drawing>
      </w:r>
    </w:p>
    <w:p w14:paraId="139DBA65" w14:textId="6B17B2BF" w:rsidR="00D7514C" w:rsidRPr="0044579A" w:rsidRDefault="00AB4E01" w:rsidP="00D7514C">
      <w:pPr>
        <w:pStyle w:val="BodyText"/>
        <w:ind w:right="138"/>
        <w:rPr>
          <w:rFonts w:cs="Arial"/>
          <w:sz w:val="24"/>
          <w:szCs w:val="24"/>
        </w:rPr>
      </w:pPr>
      <w:r w:rsidRPr="0044579A">
        <w:rPr>
          <w:rFonts w:cs="Arial"/>
          <w:b/>
          <w:bCs/>
          <w:sz w:val="24"/>
          <w:szCs w:val="24"/>
        </w:rPr>
        <w:lastRenderedPageBreak/>
        <w:t>F</w:t>
      </w:r>
      <w:r w:rsidR="00D7514C" w:rsidRPr="0044579A">
        <w:rPr>
          <w:rFonts w:cs="Arial"/>
          <w:sz w:val="24"/>
          <w:szCs w:val="24"/>
        </w:rPr>
        <w:t xml:space="preserve"> </w:t>
      </w:r>
      <w:r w:rsidR="00D7514C" w:rsidRPr="0044579A">
        <w:rPr>
          <w:rFonts w:cs="Arial"/>
          <w:noProof/>
          <w:sz w:val="24"/>
          <w:szCs w:val="24"/>
        </w:rPr>
        <w:drawing>
          <wp:inline distT="0" distB="0" distL="0" distR="0" wp14:anchorId="2233C2AC" wp14:editId="4FA74B0B">
            <wp:extent cx="5943600" cy="3732530"/>
            <wp:effectExtent l="0" t="0" r="0" b="127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21"/>
                    <a:stretch>
                      <a:fillRect/>
                    </a:stretch>
                  </pic:blipFill>
                  <pic:spPr>
                    <a:xfrm>
                      <a:off x="0" y="0"/>
                      <a:ext cx="5943600" cy="3732530"/>
                    </a:xfrm>
                    <a:prstGeom prst="rect">
                      <a:avLst/>
                    </a:prstGeom>
                  </pic:spPr>
                </pic:pic>
              </a:graphicData>
            </a:graphic>
          </wp:inline>
        </w:drawing>
      </w:r>
    </w:p>
    <w:p w14:paraId="25046240" w14:textId="77777777" w:rsidR="00D7514C" w:rsidRPr="0044579A" w:rsidRDefault="00D7514C" w:rsidP="00D7514C">
      <w:pPr>
        <w:spacing w:line="240" w:lineRule="auto"/>
        <w:rPr>
          <w:rFonts w:cs="Arial"/>
          <w:szCs w:val="24"/>
        </w:rPr>
      </w:pPr>
      <w:r w:rsidRPr="0044579A">
        <w:rPr>
          <w:rFonts w:cs="Arial"/>
          <w:szCs w:val="24"/>
        </w:rPr>
        <w:br w:type="page"/>
      </w:r>
    </w:p>
    <w:p w14:paraId="41BF4DF2" w14:textId="5F10221E" w:rsidR="00D7514C" w:rsidRPr="0044579A" w:rsidRDefault="00D7514C" w:rsidP="00D7514C">
      <w:pPr>
        <w:pStyle w:val="Heading1"/>
        <w:ind w:left="0" w:right="151"/>
      </w:pPr>
      <w:r w:rsidRPr="0044579A">
        <w:lastRenderedPageBreak/>
        <w:t xml:space="preserve">Application of </w:t>
      </w:r>
      <w:r w:rsidR="00606350" w:rsidRPr="0044579A">
        <w:t>quantitative continuous scoring</w:t>
      </w:r>
      <w:r w:rsidRPr="0044579A">
        <w:t>-</w:t>
      </w:r>
      <w:r w:rsidR="00890E80" w:rsidRPr="0044579A">
        <w:t>b</w:t>
      </w:r>
      <w:r w:rsidRPr="0044579A">
        <w:t xml:space="preserve">ased </w:t>
      </w:r>
      <w:r w:rsidR="00890E80" w:rsidRPr="0044579A">
        <w:t>a</w:t>
      </w:r>
      <w:r w:rsidRPr="0044579A">
        <w:t xml:space="preserve">nalysis on </w:t>
      </w:r>
      <w:r w:rsidR="00EE6F11" w:rsidRPr="0044579A">
        <w:t>immuno-oncology–</w:t>
      </w:r>
      <w:r w:rsidR="00890E80" w:rsidRPr="0044579A">
        <w:t>t</w:t>
      </w:r>
      <w:r w:rsidRPr="0044579A">
        <w:t>reated (</w:t>
      </w:r>
      <w:r w:rsidR="00890E80" w:rsidRPr="0044579A">
        <w:t>a</w:t>
      </w:r>
      <w:r w:rsidRPr="0044579A">
        <w:t>nti–PD-L1–</w:t>
      </w:r>
      <w:r w:rsidR="00890E80" w:rsidRPr="0044579A">
        <w:t>t</w:t>
      </w:r>
      <w:r w:rsidRPr="0044579A">
        <w:t xml:space="preserve">reated) </w:t>
      </w:r>
      <w:r w:rsidR="00890E80" w:rsidRPr="0044579A">
        <w:t>c</w:t>
      </w:r>
      <w:r w:rsidRPr="0044579A">
        <w:t xml:space="preserve">linical </w:t>
      </w:r>
      <w:r w:rsidR="00890E80" w:rsidRPr="0044579A">
        <w:t>t</w:t>
      </w:r>
      <w:r w:rsidRPr="0044579A">
        <w:t xml:space="preserve">rial </w:t>
      </w:r>
      <w:proofErr w:type="gramStart"/>
      <w:r w:rsidR="00890E80" w:rsidRPr="0044579A">
        <w:t>d</w:t>
      </w:r>
      <w:r w:rsidRPr="0044579A">
        <w:t>ata</w:t>
      </w:r>
      <w:proofErr w:type="gramEnd"/>
    </w:p>
    <w:p w14:paraId="631E19F9" w14:textId="48028CFB" w:rsidR="00D7514C" w:rsidRPr="0044579A" w:rsidRDefault="00D7514C" w:rsidP="00D7514C">
      <w:pPr>
        <w:pStyle w:val="BodyText"/>
        <w:ind w:right="136" w:hanging="7"/>
        <w:rPr>
          <w:rFonts w:cs="Arial"/>
          <w:sz w:val="24"/>
          <w:szCs w:val="24"/>
        </w:rPr>
      </w:pPr>
      <w:r w:rsidRPr="0044579A">
        <w:rPr>
          <w:rFonts w:cs="Arial"/>
          <w:sz w:val="24"/>
          <w:szCs w:val="24"/>
        </w:rPr>
        <w:t>The pathologist’s visual assessment of tumor proportion score (TPS) on anti</w:t>
      </w:r>
      <w:r w:rsidR="00E03CB1" w:rsidRPr="0044579A">
        <w:rPr>
          <w:rFonts w:cs="Arial"/>
          <w:sz w:val="24"/>
          <w:szCs w:val="24"/>
        </w:rPr>
        <w:t>–</w:t>
      </w:r>
      <w:r w:rsidRPr="0044579A">
        <w:rPr>
          <w:rFonts w:cs="Arial"/>
          <w:sz w:val="24"/>
          <w:szCs w:val="24"/>
        </w:rPr>
        <w:t>programmed death</w:t>
      </w:r>
      <w:r w:rsidR="000B7019" w:rsidRPr="0044579A">
        <w:rPr>
          <w:rFonts w:cs="Arial"/>
          <w:sz w:val="24"/>
          <w:szCs w:val="24"/>
        </w:rPr>
        <w:t>-</w:t>
      </w:r>
      <w:r w:rsidRPr="0044579A">
        <w:rPr>
          <w:rFonts w:cs="Arial"/>
          <w:sz w:val="24"/>
          <w:szCs w:val="24"/>
        </w:rPr>
        <w:t>ligand 1 (PD-L1)–stained tissue samples is an established method to select patients with metastatic non-small cell lung cancer (NSCLC) who are likely to respond to anti</w:t>
      </w:r>
      <w:r w:rsidR="00A10DDB" w:rsidRPr="0044579A">
        <w:rPr>
          <w:rFonts w:cs="Arial"/>
          <w:sz w:val="24"/>
          <w:szCs w:val="24"/>
        </w:rPr>
        <w:t>–</w:t>
      </w:r>
      <w:r w:rsidR="00FF161E" w:rsidRPr="0044579A">
        <w:rPr>
          <w:rFonts w:cs="Arial"/>
          <w:sz w:val="24"/>
          <w:szCs w:val="24"/>
        </w:rPr>
        <w:t>PD</w:t>
      </w:r>
      <w:r w:rsidR="00C32A94" w:rsidRPr="0044579A">
        <w:rPr>
          <w:rFonts w:cs="Arial"/>
          <w:sz w:val="24"/>
          <w:szCs w:val="24"/>
        </w:rPr>
        <w:t>-L1</w:t>
      </w:r>
      <w:r w:rsidR="00EF4BBC" w:rsidRPr="0044579A">
        <w:rPr>
          <w:rFonts w:cs="Arial"/>
          <w:sz w:val="24"/>
          <w:szCs w:val="24"/>
        </w:rPr>
        <w:t xml:space="preserve"> </w:t>
      </w:r>
      <w:r w:rsidRPr="0044579A">
        <w:rPr>
          <w:rFonts w:cs="Arial"/>
          <w:sz w:val="24"/>
          <w:szCs w:val="24"/>
        </w:rPr>
        <w:t>/</w:t>
      </w:r>
      <w:r w:rsidR="00EF4BBC" w:rsidRPr="0044579A">
        <w:rPr>
          <w:rFonts w:cs="Arial"/>
          <w:sz w:val="24"/>
          <w:szCs w:val="24"/>
        </w:rPr>
        <w:t xml:space="preserve"> </w:t>
      </w:r>
      <w:r w:rsidRPr="0044579A">
        <w:rPr>
          <w:rFonts w:cs="Arial"/>
          <w:sz w:val="24"/>
          <w:szCs w:val="24"/>
        </w:rPr>
        <w:t>PD-L1 monotherapy</w:t>
      </w:r>
      <w:r w:rsidR="003E3DBB" w:rsidRPr="0044579A">
        <w:rPr>
          <w:rFonts w:cs="Arial"/>
          <w:color w:val="0000FF"/>
          <w:sz w:val="24"/>
          <w:szCs w:val="24"/>
          <w:vertAlign w:val="superscript"/>
        </w:rPr>
        <w:t>3</w:t>
      </w:r>
      <w:r w:rsidRPr="0044579A">
        <w:rPr>
          <w:rFonts w:cs="Arial"/>
          <w:sz w:val="24"/>
          <w:szCs w:val="24"/>
        </w:rPr>
        <w:t xml:space="preserve">. The quantitative continuous scoring (QCS)-based analysis of PD-L1 can redefine the PD-L1 TPS estimation by allowing PD-L1 to be scored in a more objective and quantifiable </w:t>
      </w:r>
      <w:r w:rsidR="001162B1" w:rsidRPr="0044579A">
        <w:rPr>
          <w:rFonts w:cs="Arial"/>
          <w:sz w:val="24"/>
          <w:szCs w:val="24"/>
        </w:rPr>
        <w:t>manner</w:t>
      </w:r>
      <w:r w:rsidRPr="0044579A">
        <w:rPr>
          <w:rFonts w:cs="Arial"/>
          <w:sz w:val="24"/>
          <w:szCs w:val="24"/>
        </w:rPr>
        <w:t>.</w:t>
      </w:r>
    </w:p>
    <w:p w14:paraId="14D7563A" w14:textId="77777777" w:rsidR="00D7514C" w:rsidRPr="0044579A" w:rsidRDefault="00D7514C" w:rsidP="00D7514C">
      <w:pPr>
        <w:pStyle w:val="BodyText"/>
        <w:rPr>
          <w:rFonts w:cs="Arial"/>
          <w:sz w:val="24"/>
          <w:szCs w:val="24"/>
        </w:rPr>
      </w:pPr>
    </w:p>
    <w:p w14:paraId="12C8626C" w14:textId="1E6DD8AC" w:rsidR="00C87312" w:rsidRPr="0044579A" w:rsidRDefault="00C87312" w:rsidP="00C87312">
      <w:pPr>
        <w:pStyle w:val="BodyText"/>
        <w:ind w:right="148"/>
        <w:rPr>
          <w:rFonts w:cs="Arial"/>
          <w:sz w:val="24"/>
          <w:szCs w:val="24"/>
        </w:rPr>
      </w:pPr>
      <w:r w:rsidRPr="0044579A">
        <w:rPr>
          <w:rFonts w:cs="Arial"/>
          <w:sz w:val="24"/>
          <w:szCs w:val="24"/>
        </w:rPr>
        <w:t>By applying the QCS-based image analysis pipeline using</w:t>
      </w:r>
      <w:r w:rsidR="003E3DBB" w:rsidRPr="0044579A">
        <w:rPr>
          <w:rFonts w:cs="Arial"/>
          <w:color w:val="0000FF"/>
          <w:sz w:val="24"/>
          <w:szCs w:val="24"/>
          <w:vertAlign w:val="superscript"/>
        </w:rPr>
        <w:t>4</w:t>
      </w:r>
      <w:r w:rsidRPr="0044579A">
        <w:rPr>
          <w:rFonts w:cs="Arial"/>
          <w:color w:val="0000FF"/>
          <w:sz w:val="24"/>
          <w:szCs w:val="24"/>
        </w:rPr>
        <w:t xml:space="preserve"> </w:t>
      </w:r>
      <w:r w:rsidRPr="0044579A">
        <w:rPr>
          <w:rFonts w:cs="Arial"/>
          <w:sz w:val="24"/>
          <w:szCs w:val="24"/>
        </w:rPr>
        <w:t>the epithelial segmentation model, the PD-L1 expression of each tumor cell compartment was estimated by the respective optical density (OD) of 3,3-diaminobenzidine</w:t>
      </w:r>
      <w:r w:rsidR="00F17B0D" w:rsidRPr="0044579A">
        <w:rPr>
          <w:rFonts w:cs="Arial"/>
          <w:sz w:val="24"/>
          <w:szCs w:val="24"/>
        </w:rPr>
        <w:t xml:space="preserve"> (DAB)</w:t>
      </w:r>
      <w:r w:rsidRPr="0044579A">
        <w:rPr>
          <w:rFonts w:cs="Arial"/>
          <w:sz w:val="24"/>
          <w:szCs w:val="24"/>
        </w:rPr>
        <w:t xml:space="preserve">, and tumor cells with a membrane OD greater than </w:t>
      </w:r>
      <w:proofErr w:type="spellStart"/>
      <w:r w:rsidRPr="0044579A">
        <w:rPr>
          <w:rFonts w:cs="Arial"/>
          <w:iCs/>
          <w:sz w:val="24"/>
          <w:szCs w:val="24"/>
        </w:rPr>
        <w:t>OD</w:t>
      </w:r>
      <w:r w:rsidRPr="0044579A">
        <w:rPr>
          <w:rFonts w:cs="Arial"/>
          <w:iCs/>
          <w:sz w:val="24"/>
          <w:szCs w:val="24"/>
          <w:vertAlign w:val="subscript"/>
        </w:rPr>
        <w:t>threshold</w:t>
      </w:r>
      <w:proofErr w:type="spellEnd"/>
      <w:r w:rsidRPr="0044579A">
        <w:rPr>
          <w:rFonts w:cs="Arial"/>
          <w:iCs/>
          <w:sz w:val="24"/>
          <w:szCs w:val="24"/>
        </w:rPr>
        <w:t xml:space="preserve"> </w:t>
      </w:r>
      <w:r w:rsidR="0010110F" w:rsidRPr="0044579A">
        <w:rPr>
          <w:rFonts w:cs="Arial"/>
          <w:iCs/>
          <w:sz w:val="24"/>
          <w:szCs w:val="24"/>
        </w:rPr>
        <w:t>(</w:t>
      </w:r>
      <w:r w:rsidR="007E643F" w:rsidRPr="0044579A">
        <w:rPr>
          <w:rFonts w:cs="Arial"/>
          <w:iCs/>
          <w:sz w:val="24"/>
          <w:szCs w:val="24"/>
        </w:rPr>
        <w:t>refers to the OD threshold set to label a cell OD positive</w:t>
      </w:r>
      <w:r w:rsidR="006A5DF0" w:rsidRPr="0044579A">
        <w:rPr>
          <w:rFonts w:cs="Arial"/>
          <w:iCs/>
          <w:sz w:val="24"/>
          <w:szCs w:val="24"/>
        </w:rPr>
        <w:t xml:space="preserve">) </w:t>
      </w:r>
      <w:r w:rsidR="00D13C83" w:rsidRPr="0044579A">
        <w:rPr>
          <w:rFonts w:cs="Arial"/>
          <w:iCs/>
          <w:sz w:val="24"/>
          <w:szCs w:val="24"/>
        </w:rPr>
        <w:t>we</w:t>
      </w:r>
      <w:r w:rsidRPr="0044579A">
        <w:rPr>
          <w:rFonts w:cs="Arial"/>
          <w:sz w:val="24"/>
          <w:szCs w:val="24"/>
        </w:rPr>
        <w:t xml:space="preserve">re considered OD positive. A slide comprising a greater percentage of OD-positive tumor cells than a cut-point value </w:t>
      </w:r>
      <w:r w:rsidR="00D13C83" w:rsidRPr="0044579A">
        <w:rPr>
          <w:rFonts w:cs="Arial"/>
          <w:sz w:val="24"/>
          <w:szCs w:val="24"/>
        </w:rPr>
        <w:t>wa</w:t>
      </w:r>
      <w:r w:rsidRPr="0044579A">
        <w:rPr>
          <w:rFonts w:cs="Arial"/>
          <w:sz w:val="24"/>
          <w:szCs w:val="24"/>
        </w:rPr>
        <w:t>s considered QCS positive (</w:t>
      </w:r>
      <w:r w:rsidR="0025780D" w:rsidRPr="0044579A">
        <w:rPr>
          <w:rFonts w:cs="Arial"/>
          <w:sz w:val="24"/>
          <w:szCs w:val="24"/>
        </w:rPr>
        <w:t xml:space="preserve">see Supplementary </w:t>
      </w:r>
      <w:r w:rsidRPr="0044579A">
        <w:rPr>
          <w:rFonts w:cs="Arial"/>
          <w:sz w:val="24"/>
          <w:szCs w:val="24"/>
        </w:rPr>
        <w:t>Fig</w:t>
      </w:r>
      <w:r w:rsidR="00181277" w:rsidRPr="0044579A">
        <w:rPr>
          <w:rFonts w:cs="Arial"/>
          <w:sz w:val="24"/>
          <w:szCs w:val="24"/>
        </w:rPr>
        <w:t>.</w:t>
      </w:r>
      <w:r w:rsidRPr="0044579A">
        <w:rPr>
          <w:rFonts w:cs="Arial"/>
          <w:b/>
          <w:bCs/>
          <w:sz w:val="24"/>
          <w:szCs w:val="24"/>
        </w:rPr>
        <w:t xml:space="preserve"> </w:t>
      </w:r>
      <w:r w:rsidRPr="0044579A">
        <w:rPr>
          <w:rFonts w:cs="Arial"/>
          <w:b/>
          <w:bCs/>
          <w:color w:val="0000FF"/>
          <w:sz w:val="24"/>
          <w:szCs w:val="24"/>
        </w:rPr>
        <w:t>S</w:t>
      </w:r>
      <w:r w:rsidR="00475127" w:rsidRPr="0044579A">
        <w:rPr>
          <w:rFonts w:cs="Arial"/>
          <w:b/>
          <w:bCs/>
          <w:color w:val="0000FF"/>
          <w:sz w:val="24"/>
          <w:szCs w:val="24"/>
        </w:rPr>
        <w:t>3</w:t>
      </w:r>
      <w:r w:rsidRPr="0044579A">
        <w:rPr>
          <w:rFonts w:cs="Arial"/>
          <w:sz w:val="24"/>
          <w:szCs w:val="24"/>
        </w:rPr>
        <w:t xml:space="preserve">). </w:t>
      </w:r>
    </w:p>
    <w:p w14:paraId="2413B0B6" w14:textId="77777777" w:rsidR="00D7514C" w:rsidRPr="0044579A" w:rsidRDefault="00D7514C" w:rsidP="00D7514C">
      <w:pPr>
        <w:spacing w:line="240" w:lineRule="auto"/>
        <w:rPr>
          <w:rFonts w:cs="Arial"/>
          <w:b/>
          <w:szCs w:val="24"/>
        </w:rPr>
      </w:pPr>
      <w:r w:rsidRPr="0044579A">
        <w:rPr>
          <w:rFonts w:cs="Arial"/>
          <w:b/>
          <w:szCs w:val="24"/>
        </w:rPr>
        <w:br w:type="page"/>
      </w:r>
    </w:p>
    <w:p w14:paraId="226EEE17" w14:textId="595F573A" w:rsidR="00D7514C" w:rsidRPr="0044579A" w:rsidRDefault="00D7514C" w:rsidP="00D7514C">
      <w:pPr>
        <w:pStyle w:val="BodyText"/>
        <w:ind w:right="148"/>
        <w:rPr>
          <w:rFonts w:cs="Arial"/>
          <w:sz w:val="24"/>
          <w:szCs w:val="24"/>
        </w:rPr>
      </w:pPr>
      <w:r w:rsidRPr="0044579A">
        <w:rPr>
          <w:rFonts w:cs="Arial"/>
          <w:b/>
          <w:sz w:val="24"/>
          <w:szCs w:val="24"/>
        </w:rPr>
        <w:lastRenderedPageBreak/>
        <w:t xml:space="preserve">Supplementary Figure </w:t>
      </w:r>
      <w:r w:rsidR="00BF39B1" w:rsidRPr="0044579A">
        <w:rPr>
          <w:rFonts w:cs="Arial"/>
          <w:b/>
          <w:sz w:val="24"/>
          <w:szCs w:val="24"/>
        </w:rPr>
        <w:t>S</w:t>
      </w:r>
      <w:r w:rsidR="00DC6EBA" w:rsidRPr="0044579A">
        <w:rPr>
          <w:rFonts w:cs="Arial"/>
          <w:b/>
          <w:sz w:val="24"/>
          <w:szCs w:val="24"/>
        </w:rPr>
        <w:t>3</w:t>
      </w:r>
      <w:r w:rsidRPr="0044579A">
        <w:rPr>
          <w:rFonts w:cs="Arial"/>
          <w:b/>
          <w:sz w:val="24"/>
          <w:szCs w:val="24"/>
        </w:rPr>
        <w:t xml:space="preserve">. </w:t>
      </w:r>
      <w:r w:rsidRPr="0044579A">
        <w:rPr>
          <w:rFonts w:cs="Arial"/>
          <w:sz w:val="24"/>
          <w:szCs w:val="24"/>
        </w:rPr>
        <w:t xml:space="preserve">PD-L1 QCS workflow that takes as an input a </w:t>
      </w:r>
      <w:r w:rsidR="00557AF3" w:rsidRPr="0044579A">
        <w:rPr>
          <w:rFonts w:cs="Arial"/>
          <w:sz w:val="24"/>
          <w:szCs w:val="24"/>
        </w:rPr>
        <w:t>whole-slide image</w:t>
      </w:r>
      <w:r w:rsidR="0031131D" w:rsidRPr="0044579A">
        <w:rPr>
          <w:rFonts w:cs="Arial"/>
          <w:sz w:val="24"/>
          <w:szCs w:val="24"/>
        </w:rPr>
        <w:t xml:space="preserve"> </w:t>
      </w:r>
      <w:r w:rsidRPr="0044579A">
        <w:rPr>
          <w:rFonts w:cs="Arial"/>
          <w:sz w:val="24"/>
          <w:szCs w:val="24"/>
        </w:rPr>
        <w:t xml:space="preserve">acquired from </w:t>
      </w:r>
      <w:r w:rsidR="002C2690" w:rsidRPr="0044579A">
        <w:rPr>
          <w:rFonts w:cs="Arial"/>
          <w:sz w:val="24"/>
          <w:szCs w:val="24"/>
        </w:rPr>
        <w:t xml:space="preserve">a </w:t>
      </w:r>
      <w:r w:rsidRPr="0044579A">
        <w:rPr>
          <w:rFonts w:cs="Arial"/>
          <w:sz w:val="24"/>
          <w:szCs w:val="24"/>
        </w:rPr>
        <w:t>PD-L1 IHC tissue section (left column)</w:t>
      </w:r>
      <w:r w:rsidR="00451EDF" w:rsidRPr="0044579A">
        <w:rPr>
          <w:rFonts w:cs="Arial"/>
          <w:sz w:val="24"/>
          <w:szCs w:val="24"/>
        </w:rPr>
        <w:t xml:space="preserve">, </w:t>
      </w:r>
      <w:r w:rsidRPr="0044579A">
        <w:rPr>
          <w:rFonts w:cs="Arial"/>
          <w:sz w:val="24"/>
          <w:szCs w:val="24"/>
        </w:rPr>
        <w:t xml:space="preserve">segments the tumor cells to membrane, cytoplasm, and nucleus (middle column), and derives OD-based readouts per cell that are aggregated as histograms (right column). Following cut-point optimization, a PD-L1 QCS-positive case is defined </w:t>
      </w:r>
      <w:r w:rsidR="00D13C83" w:rsidRPr="0044579A">
        <w:rPr>
          <w:rFonts w:cs="Arial"/>
          <w:sz w:val="24"/>
          <w:szCs w:val="24"/>
        </w:rPr>
        <w:t xml:space="preserve">as one </w:t>
      </w:r>
      <w:r w:rsidRPr="0044579A">
        <w:rPr>
          <w:rFonts w:cs="Arial"/>
          <w:sz w:val="24"/>
          <w:szCs w:val="24"/>
        </w:rPr>
        <w:t>in which ≥57% of cells exhibit OD ≥8. IHC, immunohistochemistry; OD, optical density; PD-L1, programmed death-ligand 1; QCS, quantitative continuous scoring.</w:t>
      </w:r>
    </w:p>
    <w:p w14:paraId="14B0B622" w14:textId="77777777" w:rsidR="00D7514C" w:rsidRPr="0044579A" w:rsidRDefault="00D7514C" w:rsidP="00D7514C">
      <w:pPr>
        <w:pStyle w:val="BodyText"/>
        <w:ind w:right="148"/>
        <w:rPr>
          <w:rFonts w:cs="Arial"/>
          <w:sz w:val="24"/>
          <w:szCs w:val="24"/>
        </w:rPr>
      </w:pPr>
      <w:r w:rsidRPr="0044579A">
        <w:rPr>
          <w:rFonts w:cs="Arial"/>
          <w:noProof/>
          <w:sz w:val="24"/>
          <w:szCs w:val="24"/>
        </w:rPr>
        <w:drawing>
          <wp:inline distT="0" distB="0" distL="0" distR="0" wp14:anchorId="005C5D81" wp14:editId="727BCAAB">
            <wp:extent cx="5943600" cy="2840990"/>
            <wp:effectExtent l="0" t="0" r="0" b="0"/>
            <wp:docPr id="43" name="Picture 4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840990"/>
                    </a:xfrm>
                    <a:prstGeom prst="rect">
                      <a:avLst/>
                    </a:prstGeom>
                  </pic:spPr>
                </pic:pic>
              </a:graphicData>
            </a:graphic>
          </wp:inline>
        </w:drawing>
      </w:r>
    </w:p>
    <w:p w14:paraId="193D3961" w14:textId="31E0157C" w:rsidR="00C87312" w:rsidRPr="0044579A" w:rsidRDefault="00D7514C" w:rsidP="00C87312">
      <w:pPr>
        <w:pStyle w:val="BodyText"/>
        <w:ind w:right="116"/>
        <w:rPr>
          <w:rFonts w:cs="Arial"/>
          <w:sz w:val="24"/>
          <w:szCs w:val="24"/>
        </w:rPr>
      </w:pPr>
      <w:r w:rsidRPr="0044579A">
        <w:br w:type="page"/>
      </w:r>
      <w:r w:rsidR="00C87312" w:rsidRPr="0044579A">
        <w:rPr>
          <w:sz w:val="24"/>
          <w:szCs w:val="24"/>
        </w:rPr>
        <w:lastRenderedPageBreak/>
        <w:t xml:space="preserve">The </w:t>
      </w:r>
      <w:proofErr w:type="spellStart"/>
      <w:r w:rsidR="00C87312" w:rsidRPr="0044579A">
        <w:rPr>
          <w:iCs/>
          <w:sz w:val="24"/>
          <w:szCs w:val="24"/>
        </w:rPr>
        <w:t>OD</w:t>
      </w:r>
      <w:r w:rsidR="00C87312" w:rsidRPr="0044579A">
        <w:rPr>
          <w:iCs/>
          <w:sz w:val="24"/>
          <w:szCs w:val="24"/>
          <w:vertAlign w:val="subscript"/>
        </w:rPr>
        <w:t>threshold</w:t>
      </w:r>
      <w:proofErr w:type="spellEnd"/>
      <w:r w:rsidR="00C87312" w:rsidRPr="0044579A">
        <w:rPr>
          <w:i/>
          <w:sz w:val="24"/>
          <w:szCs w:val="24"/>
        </w:rPr>
        <w:t xml:space="preserve"> </w:t>
      </w:r>
      <w:r w:rsidR="00C87312" w:rsidRPr="0044579A">
        <w:rPr>
          <w:sz w:val="24"/>
          <w:szCs w:val="24"/>
        </w:rPr>
        <w:t>and cut-point parameters were linked to patient overall survival by minimizing the Kaplan-Meier log</w:t>
      </w:r>
      <w:r w:rsidR="00154EDD" w:rsidRPr="0044579A">
        <w:rPr>
          <w:rFonts w:cs="Arial"/>
          <w:sz w:val="24"/>
          <w:szCs w:val="24"/>
        </w:rPr>
        <w:t>–</w:t>
      </w:r>
      <w:r w:rsidR="00C87312" w:rsidRPr="0044579A">
        <w:rPr>
          <w:sz w:val="24"/>
          <w:szCs w:val="24"/>
        </w:rPr>
        <w:t xml:space="preserve">rank </w:t>
      </w:r>
      <w:r w:rsidR="00182666" w:rsidRPr="0044579A">
        <w:rPr>
          <w:i/>
          <w:iCs/>
          <w:sz w:val="24"/>
          <w:szCs w:val="24"/>
        </w:rPr>
        <w:t>p</w:t>
      </w:r>
      <w:r w:rsidR="00C87312" w:rsidRPr="0044579A">
        <w:rPr>
          <w:sz w:val="24"/>
          <w:szCs w:val="24"/>
        </w:rPr>
        <w:t xml:space="preserve"> values and keeping ≥50% prevalence in the QCS-positive subgroup. </w:t>
      </w:r>
      <w:r w:rsidR="00C87312" w:rsidRPr="0044579A">
        <w:rPr>
          <w:rFonts w:cs="Arial"/>
          <w:sz w:val="24"/>
          <w:szCs w:val="24"/>
        </w:rPr>
        <w:t>A PD-L1 QCS</w:t>
      </w:r>
      <w:r w:rsidR="00154EDD" w:rsidRPr="0044579A">
        <w:rPr>
          <w:rFonts w:cs="Arial"/>
          <w:sz w:val="24"/>
          <w:szCs w:val="24"/>
        </w:rPr>
        <w:t>–</w:t>
      </w:r>
      <w:r w:rsidR="00C87312" w:rsidRPr="0044579A">
        <w:rPr>
          <w:rFonts w:cs="Arial"/>
          <w:sz w:val="24"/>
          <w:szCs w:val="24"/>
        </w:rPr>
        <w:t>based analysis (</w:t>
      </w:r>
      <w:proofErr w:type="spellStart"/>
      <w:r w:rsidR="00C87312" w:rsidRPr="0044579A">
        <w:rPr>
          <w:rFonts w:cs="Arial"/>
          <w:iCs/>
          <w:sz w:val="24"/>
          <w:szCs w:val="24"/>
        </w:rPr>
        <w:t>OD</w:t>
      </w:r>
      <w:r w:rsidR="00C87312" w:rsidRPr="0044579A">
        <w:rPr>
          <w:rFonts w:cs="Arial"/>
          <w:iCs/>
          <w:sz w:val="24"/>
          <w:szCs w:val="24"/>
          <w:vertAlign w:val="subscript"/>
        </w:rPr>
        <w:t>threshold</w:t>
      </w:r>
      <w:proofErr w:type="spellEnd"/>
      <w:r w:rsidR="00C87312" w:rsidRPr="0044579A">
        <w:rPr>
          <w:rFonts w:cs="Arial"/>
          <w:sz w:val="24"/>
          <w:szCs w:val="24"/>
        </w:rPr>
        <w:t>=8, cut point ≥57%) stratifies durvalumab-treated patients with NSCLC at a higher prevalence and with a significant Kaplan</w:t>
      </w:r>
      <w:r w:rsidR="00D13C83" w:rsidRPr="0044579A">
        <w:rPr>
          <w:rFonts w:cs="Arial"/>
          <w:sz w:val="24"/>
          <w:szCs w:val="24"/>
        </w:rPr>
        <w:t>-</w:t>
      </w:r>
      <w:r w:rsidR="00C87312" w:rsidRPr="0044579A">
        <w:rPr>
          <w:rFonts w:cs="Arial"/>
          <w:sz w:val="24"/>
          <w:szCs w:val="24"/>
        </w:rPr>
        <w:t>Meier log</w:t>
      </w:r>
      <w:r w:rsidR="00634A45" w:rsidRPr="0044579A">
        <w:rPr>
          <w:rFonts w:cs="Arial"/>
          <w:sz w:val="24"/>
          <w:szCs w:val="24"/>
        </w:rPr>
        <w:t>–</w:t>
      </w:r>
      <w:r w:rsidR="00C87312" w:rsidRPr="0044579A">
        <w:rPr>
          <w:rFonts w:cs="Arial"/>
          <w:sz w:val="24"/>
          <w:szCs w:val="24"/>
        </w:rPr>
        <w:t xml:space="preserve">rank </w:t>
      </w:r>
      <w:r w:rsidR="00182666" w:rsidRPr="0044579A">
        <w:rPr>
          <w:rFonts w:cs="Arial"/>
          <w:i/>
          <w:iCs/>
          <w:sz w:val="24"/>
          <w:szCs w:val="24"/>
        </w:rPr>
        <w:t>p</w:t>
      </w:r>
      <w:r w:rsidR="00C87312" w:rsidRPr="0044579A">
        <w:rPr>
          <w:rFonts w:cs="Arial"/>
          <w:sz w:val="24"/>
          <w:szCs w:val="24"/>
        </w:rPr>
        <w:t xml:space="preserve"> value (64%; </w:t>
      </w:r>
      <w:r w:rsidR="00294BB9" w:rsidRPr="0044579A">
        <w:rPr>
          <w:rFonts w:cs="Arial"/>
          <w:i/>
          <w:iCs/>
          <w:sz w:val="24"/>
          <w:szCs w:val="24"/>
        </w:rPr>
        <w:t>p</w:t>
      </w:r>
      <w:r w:rsidR="00C87312" w:rsidRPr="0044579A">
        <w:rPr>
          <w:rFonts w:cs="Arial"/>
          <w:sz w:val="24"/>
          <w:szCs w:val="24"/>
        </w:rPr>
        <w:t>=</w:t>
      </w:r>
      <w:r w:rsidR="00294BB9" w:rsidRPr="0044579A">
        <w:rPr>
          <w:rFonts w:cs="Arial"/>
          <w:sz w:val="24"/>
          <w:szCs w:val="24"/>
        </w:rPr>
        <w:t>0</w:t>
      </w:r>
      <w:r w:rsidR="00C87312" w:rsidRPr="0044579A">
        <w:rPr>
          <w:rFonts w:cs="Arial"/>
          <w:sz w:val="24"/>
          <w:szCs w:val="24"/>
        </w:rPr>
        <w:t xml:space="preserve">.0001) for </w:t>
      </w:r>
      <w:r w:rsidR="008A5EC6" w:rsidRPr="0044579A">
        <w:rPr>
          <w:rFonts w:cs="Arial"/>
          <w:sz w:val="24"/>
          <w:szCs w:val="24"/>
        </w:rPr>
        <w:t>overall survival</w:t>
      </w:r>
      <w:r w:rsidR="00C87312" w:rsidRPr="0044579A">
        <w:rPr>
          <w:rFonts w:cs="Arial"/>
          <w:sz w:val="24"/>
          <w:szCs w:val="24"/>
        </w:rPr>
        <w:t xml:space="preserve"> compared with pathologist TPS (59%; </w:t>
      </w:r>
      <w:r w:rsidR="00294BB9" w:rsidRPr="0044579A">
        <w:rPr>
          <w:rFonts w:cs="Arial"/>
          <w:i/>
          <w:iCs/>
          <w:sz w:val="24"/>
          <w:szCs w:val="24"/>
        </w:rPr>
        <w:t>p</w:t>
      </w:r>
      <w:r w:rsidR="00C87312" w:rsidRPr="0044579A">
        <w:rPr>
          <w:rFonts w:cs="Arial"/>
          <w:sz w:val="24"/>
          <w:szCs w:val="24"/>
        </w:rPr>
        <w:t>=</w:t>
      </w:r>
      <w:r w:rsidR="00294BB9" w:rsidRPr="0044579A">
        <w:rPr>
          <w:rFonts w:cs="Arial"/>
          <w:sz w:val="24"/>
          <w:szCs w:val="24"/>
        </w:rPr>
        <w:t>0</w:t>
      </w:r>
      <w:r w:rsidR="00C87312" w:rsidRPr="0044579A">
        <w:rPr>
          <w:rFonts w:cs="Arial"/>
          <w:sz w:val="24"/>
          <w:szCs w:val="24"/>
        </w:rPr>
        <w:t>.01)</w:t>
      </w:r>
      <w:r w:rsidR="002245E1" w:rsidRPr="0044579A">
        <w:rPr>
          <w:rFonts w:cs="Arial"/>
          <w:sz w:val="24"/>
          <w:szCs w:val="24"/>
        </w:rPr>
        <w:t xml:space="preserve"> (</w:t>
      </w:r>
      <w:r w:rsidR="008452D3" w:rsidRPr="0044579A">
        <w:rPr>
          <w:rFonts w:cs="Arial"/>
          <w:sz w:val="24"/>
          <w:szCs w:val="24"/>
        </w:rPr>
        <w:t xml:space="preserve">Supplementary </w:t>
      </w:r>
      <w:r w:rsidR="002245E1" w:rsidRPr="0044579A">
        <w:rPr>
          <w:rFonts w:cs="Arial"/>
          <w:sz w:val="24"/>
          <w:szCs w:val="24"/>
        </w:rPr>
        <w:t>Fig.</w:t>
      </w:r>
      <w:r w:rsidR="002245E1" w:rsidRPr="0044579A">
        <w:rPr>
          <w:rFonts w:cs="Arial"/>
          <w:b/>
          <w:bCs/>
          <w:sz w:val="24"/>
          <w:szCs w:val="24"/>
        </w:rPr>
        <w:t xml:space="preserve"> </w:t>
      </w:r>
      <w:r w:rsidR="002245E1" w:rsidRPr="0044579A">
        <w:rPr>
          <w:rFonts w:cs="Arial"/>
          <w:b/>
          <w:bCs/>
          <w:color w:val="0000FF"/>
          <w:sz w:val="24"/>
          <w:szCs w:val="24"/>
        </w:rPr>
        <w:t>S</w:t>
      </w:r>
      <w:hyperlink w:anchor="_bookmark38" w:history="1">
        <w:r w:rsidR="002245E1" w:rsidRPr="0044579A">
          <w:rPr>
            <w:rFonts w:cs="Arial"/>
            <w:b/>
            <w:bCs/>
            <w:color w:val="0000FF"/>
            <w:sz w:val="24"/>
            <w:szCs w:val="24"/>
          </w:rPr>
          <w:t>4</w:t>
        </w:r>
      </w:hyperlink>
      <w:r w:rsidR="002245E1" w:rsidRPr="0044579A">
        <w:rPr>
          <w:rFonts w:cs="Arial"/>
          <w:sz w:val="24"/>
          <w:szCs w:val="24"/>
        </w:rPr>
        <w:t>)</w:t>
      </w:r>
      <w:r w:rsidR="00C87312" w:rsidRPr="0044579A">
        <w:rPr>
          <w:rFonts w:cs="Arial"/>
          <w:sz w:val="24"/>
          <w:szCs w:val="24"/>
        </w:rPr>
        <w:t>. Median overall survival of 19.2 vs 7.9 months was observed in the QCS-positive vs -negative subgroup, respectively. The box plots (</w:t>
      </w:r>
      <w:r w:rsidR="008452D3" w:rsidRPr="0044579A">
        <w:rPr>
          <w:rFonts w:cs="Arial"/>
          <w:sz w:val="24"/>
          <w:szCs w:val="24"/>
        </w:rPr>
        <w:t xml:space="preserve">Supplementary </w:t>
      </w:r>
      <w:r w:rsidR="00C87312" w:rsidRPr="0044579A">
        <w:rPr>
          <w:rFonts w:cs="Arial"/>
          <w:sz w:val="24"/>
          <w:szCs w:val="24"/>
        </w:rPr>
        <w:t>Fig.</w:t>
      </w:r>
      <w:r w:rsidR="00C87312" w:rsidRPr="0044579A">
        <w:rPr>
          <w:rFonts w:cs="Arial"/>
          <w:b/>
          <w:bCs/>
          <w:sz w:val="24"/>
          <w:szCs w:val="24"/>
        </w:rPr>
        <w:t xml:space="preserve"> </w:t>
      </w:r>
      <w:r w:rsidR="00D323DA" w:rsidRPr="0044579A">
        <w:rPr>
          <w:rFonts w:cs="Arial"/>
          <w:b/>
          <w:bCs/>
          <w:color w:val="0000FF"/>
          <w:sz w:val="24"/>
          <w:szCs w:val="24"/>
        </w:rPr>
        <w:t>S</w:t>
      </w:r>
      <w:r w:rsidR="002245E1" w:rsidRPr="0044579A">
        <w:rPr>
          <w:rFonts w:cs="Arial"/>
          <w:b/>
          <w:bCs/>
          <w:color w:val="0000FF"/>
          <w:sz w:val="24"/>
          <w:szCs w:val="24"/>
        </w:rPr>
        <w:t>5</w:t>
      </w:r>
      <w:r w:rsidR="00A63C4A" w:rsidRPr="0044579A">
        <w:rPr>
          <w:rFonts w:cs="Arial"/>
          <w:b/>
          <w:bCs/>
          <w:color w:val="0000FF"/>
          <w:sz w:val="24"/>
          <w:szCs w:val="24"/>
        </w:rPr>
        <w:t>A</w:t>
      </w:r>
      <w:r w:rsidR="00C87312" w:rsidRPr="0044579A">
        <w:rPr>
          <w:rFonts w:cs="Arial"/>
          <w:sz w:val="24"/>
          <w:szCs w:val="24"/>
        </w:rPr>
        <w:t>) indicate an overall good agreement (72% concordance) of the fully automated QCS with the pathologist TPS, which quantitatively supports the positive visual assessment of the cell segmentation accuracy. The grouped Kaplan</w:t>
      </w:r>
      <w:r w:rsidR="00D13C83" w:rsidRPr="0044579A">
        <w:rPr>
          <w:rFonts w:cs="Arial"/>
          <w:sz w:val="24"/>
          <w:szCs w:val="24"/>
        </w:rPr>
        <w:t>-</w:t>
      </w:r>
      <w:r w:rsidR="00C87312" w:rsidRPr="0044579A">
        <w:rPr>
          <w:rFonts w:cs="Arial"/>
          <w:sz w:val="24"/>
          <w:szCs w:val="24"/>
        </w:rPr>
        <w:t>Meier (</w:t>
      </w:r>
      <w:r w:rsidR="008452D3" w:rsidRPr="0044579A">
        <w:rPr>
          <w:rFonts w:cs="Arial"/>
          <w:sz w:val="24"/>
          <w:szCs w:val="24"/>
        </w:rPr>
        <w:t xml:space="preserve">Supplementary </w:t>
      </w:r>
      <w:r w:rsidR="00C87312" w:rsidRPr="0044579A">
        <w:rPr>
          <w:rFonts w:cs="Arial"/>
          <w:sz w:val="24"/>
          <w:szCs w:val="24"/>
        </w:rPr>
        <w:t>Fig.</w:t>
      </w:r>
      <w:r w:rsidR="00C87312" w:rsidRPr="0044579A">
        <w:rPr>
          <w:rFonts w:cs="Arial"/>
          <w:b/>
          <w:bCs/>
          <w:sz w:val="24"/>
          <w:szCs w:val="24"/>
        </w:rPr>
        <w:t xml:space="preserve"> </w:t>
      </w:r>
      <w:r w:rsidR="00C87312" w:rsidRPr="0044579A">
        <w:rPr>
          <w:rFonts w:cs="Arial"/>
          <w:b/>
          <w:bCs/>
          <w:color w:val="0000FF"/>
          <w:sz w:val="24"/>
          <w:szCs w:val="24"/>
        </w:rPr>
        <w:t>S</w:t>
      </w:r>
      <w:r w:rsidR="002245E1" w:rsidRPr="0044579A">
        <w:rPr>
          <w:rFonts w:cs="Arial"/>
          <w:b/>
          <w:bCs/>
          <w:color w:val="0000FF"/>
          <w:sz w:val="24"/>
          <w:szCs w:val="24"/>
        </w:rPr>
        <w:t>5</w:t>
      </w:r>
      <w:r w:rsidR="00A63C4A" w:rsidRPr="0044579A">
        <w:rPr>
          <w:rFonts w:cs="Arial"/>
          <w:b/>
          <w:bCs/>
          <w:color w:val="0000FF"/>
          <w:sz w:val="24"/>
          <w:szCs w:val="24"/>
        </w:rPr>
        <w:t>B</w:t>
      </w:r>
      <w:r w:rsidR="00C87312" w:rsidRPr="0044579A">
        <w:rPr>
          <w:rFonts w:cs="Arial"/>
          <w:sz w:val="24"/>
          <w:szCs w:val="24"/>
        </w:rPr>
        <w:t xml:space="preserve"> shows </w:t>
      </w:r>
      <w:r w:rsidR="00A63C4A" w:rsidRPr="0044579A">
        <w:rPr>
          <w:rFonts w:cs="Arial"/>
          <w:sz w:val="24"/>
          <w:szCs w:val="24"/>
        </w:rPr>
        <w:t>four</w:t>
      </w:r>
      <w:r w:rsidR="00C87312" w:rsidRPr="0044579A">
        <w:rPr>
          <w:rFonts w:cs="Arial"/>
          <w:sz w:val="24"/>
          <w:szCs w:val="24"/>
        </w:rPr>
        <w:t xml:space="preserve"> arms based on stratification where QCS and pathologist TPS agree/disagree on the category. The survival of discordant cases favors the QCS for patient selection compared with pathologist TPS. </w:t>
      </w:r>
    </w:p>
    <w:p w14:paraId="5CCEF53C" w14:textId="77777777" w:rsidR="00C87312" w:rsidRPr="0044579A" w:rsidRDefault="00C87312" w:rsidP="00C87312">
      <w:pPr>
        <w:pStyle w:val="BodyText"/>
        <w:ind w:right="116"/>
        <w:rPr>
          <w:rFonts w:cs="Arial"/>
          <w:sz w:val="24"/>
          <w:szCs w:val="24"/>
        </w:rPr>
      </w:pPr>
    </w:p>
    <w:p w14:paraId="0AA2E514" w14:textId="1FDED535" w:rsidR="00C87312" w:rsidRPr="0044579A" w:rsidRDefault="00C87312" w:rsidP="00C87312">
      <w:pPr>
        <w:pStyle w:val="BodyText"/>
        <w:ind w:right="116"/>
        <w:rPr>
          <w:rFonts w:cs="Arial"/>
          <w:sz w:val="24"/>
          <w:szCs w:val="24"/>
        </w:rPr>
      </w:pPr>
      <w:r w:rsidRPr="0044579A">
        <w:rPr>
          <w:rFonts w:cs="Arial"/>
          <w:sz w:val="24"/>
          <w:szCs w:val="24"/>
        </w:rPr>
        <w:t>The novel QCS</w:t>
      </w:r>
      <w:r w:rsidR="00B374D0" w:rsidRPr="0044579A">
        <w:rPr>
          <w:rFonts w:cs="Arial"/>
          <w:sz w:val="24"/>
          <w:szCs w:val="24"/>
        </w:rPr>
        <w:t>-based approach</w:t>
      </w:r>
      <w:r w:rsidRPr="0044579A">
        <w:rPr>
          <w:rFonts w:cs="Arial"/>
          <w:sz w:val="24"/>
          <w:szCs w:val="24"/>
        </w:rPr>
        <w:t xml:space="preserve"> provides an objective way of correlating a quantitative estimate of PD-L1 </w:t>
      </w:r>
      <w:r w:rsidR="000B512F" w:rsidRPr="0044579A">
        <w:rPr>
          <w:rFonts w:cs="Arial"/>
          <w:sz w:val="24"/>
          <w:szCs w:val="24"/>
        </w:rPr>
        <w:t>immunohistochemistry (</w:t>
      </w:r>
      <w:r w:rsidRPr="0044579A">
        <w:rPr>
          <w:rFonts w:cs="Arial"/>
          <w:sz w:val="24"/>
          <w:szCs w:val="24"/>
        </w:rPr>
        <w:t>IHC</w:t>
      </w:r>
      <w:r w:rsidR="000B512F" w:rsidRPr="0044579A">
        <w:rPr>
          <w:rFonts w:cs="Arial"/>
          <w:sz w:val="24"/>
          <w:szCs w:val="24"/>
        </w:rPr>
        <w:t>)</w:t>
      </w:r>
      <w:r w:rsidRPr="0044579A">
        <w:rPr>
          <w:rFonts w:cs="Arial"/>
          <w:sz w:val="24"/>
          <w:szCs w:val="24"/>
        </w:rPr>
        <w:t xml:space="preserve"> expression on tumor cells with survival of patients with NSCLC treated with durvalumab in later lines of therapy. An efficacy data</w:t>
      </w:r>
      <w:r w:rsidR="00A80510" w:rsidRPr="0044579A">
        <w:rPr>
          <w:rFonts w:cs="Arial"/>
          <w:sz w:val="24"/>
          <w:szCs w:val="24"/>
        </w:rPr>
        <w:t>-</w:t>
      </w:r>
      <w:r w:rsidRPr="0044579A">
        <w:rPr>
          <w:rFonts w:cs="Arial"/>
          <w:sz w:val="24"/>
          <w:szCs w:val="24"/>
        </w:rPr>
        <w:t xml:space="preserve">driven definition of PD-L1 tumor cell positivity may identify more patients benefiting from therapy with higher precision. Further validation of the QCS-based approach is needed to correlate with outcomes in the </w:t>
      </w:r>
      <w:proofErr w:type="gramStart"/>
      <w:r w:rsidRPr="0044579A">
        <w:rPr>
          <w:rFonts w:cs="Arial"/>
          <w:sz w:val="24"/>
          <w:szCs w:val="24"/>
        </w:rPr>
        <w:t>first-line</w:t>
      </w:r>
      <w:proofErr w:type="gramEnd"/>
      <w:r w:rsidRPr="0044579A">
        <w:rPr>
          <w:rFonts w:cs="Arial"/>
          <w:sz w:val="24"/>
          <w:szCs w:val="24"/>
        </w:rPr>
        <w:t xml:space="preserve"> setting and in comparison with other PD-L1 cutoff levels.</w:t>
      </w:r>
    </w:p>
    <w:p w14:paraId="06DD851D" w14:textId="263AE16C" w:rsidR="00D7514C" w:rsidRPr="0044579A" w:rsidRDefault="00D7514C" w:rsidP="008F2230">
      <w:pPr>
        <w:rPr>
          <w:b/>
        </w:rPr>
      </w:pPr>
      <w:r w:rsidRPr="0044579A">
        <w:rPr>
          <w:b/>
        </w:rPr>
        <w:br w:type="page"/>
      </w:r>
    </w:p>
    <w:p w14:paraId="7B48615A" w14:textId="77777777" w:rsidR="00D7514C" w:rsidRPr="0044579A" w:rsidRDefault="00D7514C" w:rsidP="00D7514C">
      <w:pPr>
        <w:pStyle w:val="BodyText"/>
        <w:rPr>
          <w:rFonts w:cs="Arial"/>
          <w:b/>
          <w:sz w:val="24"/>
          <w:szCs w:val="24"/>
        </w:rPr>
        <w:sectPr w:rsidR="00D7514C" w:rsidRPr="0044579A" w:rsidSect="00D7514C">
          <w:footerReference w:type="default" r:id="rId23"/>
          <w:pgSz w:w="12240" w:h="15840"/>
          <w:pgMar w:top="1440" w:right="1440" w:bottom="1440" w:left="1440" w:header="0" w:footer="648" w:gutter="0"/>
          <w:cols w:space="720"/>
          <w:docGrid w:linePitch="299"/>
        </w:sectPr>
      </w:pPr>
    </w:p>
    <w:p w14:paraId="22CBC643" w14:textId="7A24D0AD" w:rsidR="00D7514C" w:rsidRPr="0044579A" w:rsidRDefault="00D7514C" w:rsidP="00D7514C">
      <w:pPr>
        <w:pStyle w:val="BodyText"/>
        <w:rPr>
          <w:rFonts w:cs="Arial"/>
          <w:sz w:val="24"/>
          <w:szCs w:val="24"/>
        </w:rPr>
      </w:pPr>
      <w:r w:rsidRPr="0044579A">
        <w:rPr>
          <w:rFonts w:cs="Arial"/>
          <w:b/>
          <w:sz w:val="24"/>
          <w:szCs w:val="24"/>
        </w:rPr>
        <w:lastRenderedPageBreak/>
        <w:t xml:space="preserve">Supplementary Figure </w:t>
      </w:r>
      <w:r w:rsidR="00BF39B1" w:rsidRPr="0044579A">
        <w:rPr>
          <w:rFonts w:cs="Arial"/>
          <w:b/>
          <w:sz w:val="24"/>
          <w:szCs w:val="24"/>
        </w:rPr>
        <w:t>S</w:t>
      </w:r>
      <w:r w:rsidR="00DC6EBA" w:rsidRPr="0044579A">
        <w:rPr>
          <w:rFonts w:cs="Arial"/>
          <w:b/>
          <w:sz w:val="24"/>
          <w:szCs w:val="24"/>
        </w:rPr>
        <w:t>4</w:t>
      </w:r>
      <w:r w:rsidRPr="0044579A">
        <w:rPr>
          <w:rFonts w:cs="Arial"/>
          <w:b/>
          <w:sz w:val="24"/>
          <w:szCs w:val="24"/>
        </w:rPr>
        <w:t xml:space="preserve">. </w:t>
      </w:r>
      <w:r w:rsidRPr="0044579A">
        <w:rPr>
          <w:rFonts w:cs="Arial"/>
          <w:sz w:val="24"/>
          <w:szCs w:val="24"/>
        </w:rPr>
        <w:t xml:space="preserve">Kaplan-Meier curves for </w:t>
      </w:r>
      <w:r w:rsidR="008A5EC6" w:rsidRPr="0044579A">
        <w:rPr>
          <w:rFonts w:cs="Arial"/>
          <w:sz w:val="24"/>
          <w:szCs w:val="24"/>
        </w:rPr>
        <w:t>overall survival</w:t>
      </w:r>
      <w:r w:rsidRPr="0044579A">
        <w:rPr>
          <w:rFonts w:cs="Arial"/>
          <w:sz w:val="24"/>
          <w:szCs w:val="24"/>
        </w:rPr>
        <w:t xml:space="preserve"> stratification with (left) manual </w:t>
      </w:r>
      <w:r w:rsidR="004D0D9F" w:rsidRPr="0044579A">
        <w:rPr>
          <w:rFonts w:cs="Arial"/>
          <w:sz w:val="24"/>
          <w:szCs w:val="24"/>
        </w:rPr>
        <w:t>tumor proportion score</w:t>
      </w:r>
      <w:r w:rsidRPr="0044579A">
        <w:rPr>
          <w:rFonts w:cs="Arial"/>
          <w:sz w:val="24"/>
          <w:szCs w:val="24"/>
        </w:rPr>
        <w:t xml:space="preserve"> (25% cut point) and (right) automated </w:t>
      </w:r>
      <w:r w:rsidR="00B621D5" w:rsidRPr="0044579A">
        <w:rPr>
          <w:rFonts w:cs="Arial"/>
          <w:sz w:val="24"/>
          <w:szCs w:val="24"/>
        </w:rPr>
        <w:t>quantitative continuous scoring</w:t>
      </w:r>
      <w:r w:rsidRPr="0044579A">
        <w:rPr>
          <w:rFonts w:cs="Arial"/>
          <w:sz w:val="24"/>
          <w:szCs w:val="24"/>
        </w:rPr>
        <w:t xml:space="preserve"> (57% cut point). </w:t>
      </w:r>
    </w:p>
    <w:p w14:paraId="7E81C8E2" w14:textId="77777777" w:rsidR="00D7514C" w:rsidRPr="0044579A" w:rsidRDefault="00D7514C" w:rsidP="00D7514C">
      <w:pPr>
        <w:ind w:right="118" w:hanging="6"/>
        <w:rPr>
          <w:rFonts w:cs="Arial"/>
          <w:szCs w:val="24"/>
        </w:rPr>
      </w:pPr>
      <w:r w:rsidRPr="0044579A">
        <w:rPr>
          <w:rFonts w:cs="Arial"/>
          <w:noProof/>
          <w:szCs w:val="24"/>
        </w:rPr>
        <w:drawing>
          <wp:inline distT="0" distB="0" distL="0" distR="0" wp14:anchorId="121AF3CB" wp14:editId="2F076360">
            <wp:extent cx="7877175" cy="3861162"/>
            <wp:effectExtent l="0" t="0" r="0" b="635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24"/>
                    <a:stretch>
                      <a:fillRect/>
                    </a:stretch>
                  </pic:blipFill>
                  <pic:spPr>
                    <a:xfrm>
                      <a:off x="0" y="0"/>
                      <a:ext cx="7889541" cy="3867224"/>
                    </a:xfrm>
                    <a:prstGeom prst="rect">
                      <a:avLst/>
                    </a:prstGeom>
                  </pic:spPr>
                </pic:pic>
              </a:graphicData>
            </a:graphic>
          </wp:inline>
        </w:drawing>
      </w:r>
    </w:p>
    <w:p w14:paraId="5404906B" w14:textId="77777777" w:rsidR="00D7514C" w:rsidRPr="0044579A" w:rsidRDefault="00D7514C" w:rsidP="00D7514C">
      <w:pPr>
        <w:spacing w:line="240" w:lineRule="auto"/>
        <w:rPr>
          <w:rFonts w:cs="Arial"/>
          <w:b/>
          <w:szCs w:val="24"/>
        </w:rPr>
        <w:sectPr w:rsidR="00D7514C" w:rsidRPr="0044579A" w:rsidSect="00540213">
          <w:type w:val="continuous"/>
          <w:pgSz w:w="15840" w:h="12240" w:orient="landscape"/>
          <w:pgMar w:top="1440" w:right="1440" w:bottom="1440" w:left="1440" w:header="0" w:footer="648" w:gutter="0"/>
          <w:cols w:space="720"/>
          <w:docGrid w:linePitch="299"/>
        </w:sectPr>
      </w:pPr>
    </w:p>
    <w:p w14:paraId="4E253EB3" w14:textId="412E7584" w:rsidR="00D7514C" w:rsidRPr="0044579A" w:rsidRDefault="00D7514C" w:rsidP="00D7514C">
      <w:pPr>
        <w:rPr>
          <w:rFonts w:cs="Arial"/>
          <w:szCs w:val="24"/>
        </w:rPr>
      </w:pPr>
      <w:r w:rsidRPr="0044579A">
        <w:rPr>
          <w:rFonts w:cs="Arial"/>
          <w:b/>
          <w:szCs w:val="24"/>
        </w:rPr>
        <w:lastRenderedPageBreak/>
        <w:t xml:space="preserve">Supplementary Figure </w:t>
      </w:r>
      <w:r w:rsidR="00BF39B1" w:rsidRPr="0044579A">
        <w:rPr>
          <w:rFonts w:cs="Arial"/>
          <w:b/>
          <w:szCs w:val="24"/>
        </w:rPr>
        <w:t>S</w:t>
      </w:r>
      <w:r w:rsidR="00DC6EBA" w:rsidRPr="0044579A">
        <w:rPr>
          <w:rFonts w:cs="Arial"/>
          <w:b/>
          <w:szCs w:val="24"/>
        </w:rPr>
        <w:t>5</w:t>
      </w:r>
      <w:r w:rsidRPr="0044579A">
        <w:rPr>
          <w:rFonts w:cs="Arial"/>
          <w:b/>
          <w:szCs w:val="24"/>
        </w:rPr>
        <w:t xml:space="preserve">. </w:t>
      </w:r>
      <w:r w:rsidRPr="0044579A">
        <w:rPr>
          <w:rFonts w:cs="Arial"/>
          <w:szCs w:val="24"/>
        </w:rPr>
        <w:t xml:space="preserve">Subgroup analysis. </w:t>
      </w:r>
      <w:r w:rsidRPr="0044579A">
        <w:rPr>
          <w:rFonts w:cs="Arial"/>
          <w:bCs/>
          <w:szCs w:val="24"/>
        </w:rPr>
        <w:t>(</w:t>
      </w:r>
      <w:r w:rsidR="00CE6D28" w:rsidRPr="0044579A">
        <w:rPr>
          <w:rFonts w:cs="Arial"/>
          <w:b/>
          <w:szCs w:val="24"/>
        </w:rPr>
        <w:t>A</w:t>
      </w:r>
      <w:r w:rsidRPr="0044579A">
        <w:rPr>
          <w:rFonts w:cs="Arial"/>
          <w:bCs/>
          <w:szCs w:val="24"/>
        </w:rPr>
        <w:t xml:space="preserve">) </w:t>
      </w:r>
      <w:r w:rsidRPr="0044579A">
        <w:rPr>
          <w:rFonts w:cs="Arial"/>
          <w:szCs w:val="24"/>
        </w:rPr>
        <w:t xml:space="preserve">Box plot indicating </w:t>
      </w:r>
      <w:r w:rsidR="00D13C83" w:rsidRPr="0044579A">
        <w:rPr>
          <w:rFonts w:cs="Arial"/>
          <w:szCs w:val="24"/>
        </w:rPr>
        <w:t xml:space="preserve">% </w:t>
      </w:r>
      <w:r w:rsidRPr="0044579A">
        <w:rPr>
          <w:rFonts w:cs="Arial"/>
          <w:szCs w:val="24"/>
        </w:rPr>
        <w:t xml:space="preserve">OD-positive cells (OD ≥8) within the PD-L1–high and –low groups per pathologist assessment by TPS. </w:t>
      </w:r>
      <w:r w:rsidRPr="0044579A">
        <w:rPr>
          <w:rFonts w:cs="Arial"/>
          <w:bCs/>
          <w:szCs w:val="24"/>
        </w:rPr>
        <w:t>(</w:t>
      </w:r>
      <w:r w:rsidR="00CE6D28" w:rsidRPr="0044579A">
        <w:rPr>
          <w:rFonts w:cs="Arial"/>
          <w:b/>
          <w:szCs w:val="24"/>
        </w:rPr>
        <w:t>B</w:t>
      </w:r>
      <w:r w:rsidR="00292AA2" w:rsidRPr="0044579A">
        <w:rPr>
          <w:rFonts w:cs="Arial"/>
          <w:bCs/>
          <w:szCs w:val="24"/>
        </w:rPr>
        <w:t>)</w:t>
      </w:r>
      <w:r w:rsidRPr="0044579A">
        <w:rPr>
          <w:rFonts w:cs="Arial"/>
          <w:b/>
          <w:szCs w:val="24"/>
        </w:rPr>
        <w:t xml:space="preserve"> </w:t>
      </w:r>
      <w:r w:rsidRPr="0044579A">
        <w:rPr>
          <w:rFonts w:cs="Arial"/>
          <w:szCs w:val="24"/>
        </w:rPr>
        <w:t xml:space="preserve">Grouped Kaplan-Meier curves showing stratification where QCS and pathologists agree/disagree on the scoring category. OD, optical density; </w:t>
      </w:r>
      <w:r w:rsidR="006A0EAD" w:rsidRPr="0044579A">
        <w:rPr>
          <w:rFonts w:cs="Arial"/>
          <w:szCs w:val="24"/>
        </w:rPr>
        <w:t xml:space="preserve">Path, pathologist; </w:t>
      </w:r>
      <w:r w:rsidRPr="0044579A">
        <w:rPr>
          <w:rFonts w:cs="Arial"/>
          <w:szCs w:val="24"/>
        </w:rPr>
        <w:t>PD-L1, programmed death</w:t>
      </w:r>
      <w:r w:rsidR="00A10DDB" w:rsidRPr="0044579A">
        <w:rPr>
          <w:rFonts w:cs="Arial"/>
          <w:szCs w:val="24"/>
        </w:rPr>
        <w:t>-</w:t>
      </w:r>
      <w:r w:rsidRPr="0044579A">
        <w:rPr>
          <w:rFonts w:cs="Arial"/>
          <w:szCs w:val="24"/>
        </w:rPr>
        <w:t>ligand 1; QCS, quantitative continuous scoring; TPS, tumor proportion score.</w:t>
      </w:r>
    </w:p>
    <w:p w14:paraId="05E32D1A" w14:textId="7CDFDF46" w:rsidR="00D7514C" w:rsidRPr="0044579A" w:rsidRDefault="00CE6D28" w:rsidP="00CE6D28">
      <w:pPr>
        <w:rPr>
          <w:rFonts w:cs="Arial"/>
          <w:b/>
          <w:bCs/>
          <w:szCs w:val="24"/>
        </w:rPr>
      </w:pPr>
      <w:r w:rsidRPr="0044579A">
        <w:rPr>
          <w:rFonts w:cs="Arial"/>
          <w:b/>
          <w:bCs/>
          <w:szCs w:val="24"/>
        </w:rPr>
        <w:t>A</w:t>
      </w:r>
      <w:r w:rsidR="00D7514C" w:rsidRPr="0044579A">
        <w:rPr>
          <w:rFonts w:cs="Arial"/>
          <w:b/>
          <w:bCs/>
          <w:szCs w:val="24"/>
        </w:rPr>
        <w:br/>
      </w:r>
      <w:r w:rsidR="00D7514C" w:rsidRPr="0044579A">
        <w:rPr>
          <w:noProof/>
        </w:rPr>
        <w:drawing>
          <wp:inline distT="0" distB="0" distL="0" distR="0" wp14:anchorId="497C2F4B" wp14:editId="3C2F2CC8">
            <wp:extent cx="4865569" cy="3209925"/>
            <wp:effectExtent l="0" t="0" r="0" b="0"/>
            <wp:docPr id="45" name="Picture 4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ox and whisker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881663" cy="3220542"/>
                    </a:xfrm>
                    <a:prstGeom prst="rect">
                      <a:avLst/>
                    </a:prstGeom>
                  </pic:spPr>
                </pic:pic>
              </a:graphicData>
            </a:graphic>
          </wp:inline>
        </w:drawing>
      </w:r>
    </w:p>
    <w:p w14:paraId="26419E86" w14:textId="77777777" w:rsidR="00292AA2" w:rsidRPr="0044579A" w:rsidRDefault="00292AA2">
      <w:pPr>
        <w:spacing w:line="240" w:lineRule="auto"/>
        <w:rPr>
          <w:rFonts w:cs="Arial"/>
          <w:szCs w:val="24"/>
        </w:rPr>
      </w:pPr>
      <w:r w:rsidRPr="0044579A">
        <w:rPr>
          <w:rFonts w:cs="Arial"/>
          <w:szCs w:val="24"/>
        </w:rPr>
        <w:br w:type="page"/>
      </w:r>
    </w:p>
    <w:p w14:paraId="2C5EDB83" w14:textId="77777777" w:rsidR="00292AA2" w:rsidRPr="0044579A" w:rsidRDefault="00292AA2" w:rsidP="00D7514C">
      <w:pPr>
        <w:spacing w:line="240" w:lineRule="auto"/>
        <w:rPr>
          <w:rFonts w:cs="Arial"/>
          <w:b/>
          <w:bCs/>
          <w:szCs w:val="24"/>
        </w:rPr>
      </w:pPr>
      <w:r w:rsidRPr="0044579A">
        <w:rPr>
          <w:rFonts w:cs="Arial"/>
          <w:b/>
          <w:bCs/>
          <w:szCs w:val="24"/>
        </w:rPr>
        <w:lastRenderedPageBreak/>
        <w:t>B</w:t>
      </w:r>
    </w:p>
    <w:p w14:paraId="45B1FF4A" w14:textId="77777777" w:rsidR="00292AA2" w:rsidRPr="0044579A" w:rsidRDefault="00292AA2" w:rsidP="00D7514C">
      <w:pPr>
        <w:spacing w:line="240" w:lineRule="auto"/>
        <w:rPr>
          <w:rFonts w:cs="Arial"/>
          <w:szCs w:val="24"/>
        </w:rPr>
      </w:pPr>
    </w:p>
    <w:p w14:paraId="5B91B868" w14:textId="1859BB46" w:rsidR="00D7514C" w:rsidRPr="0044579A" w:rsidRDefault="00292AA2" w:rsidP="00D7514C">
      <w:pPr>
        <w:spacing w:line="240" w:lineRule="auto"/>
        <w:rPr>
          <w:rFonts w:eastAsia="Arial" w:cs="Arial"/>
          <w:b/>
          <w:bCs/>
          <w:szCs w:val="24"/>
        </w:rPr>
      </w:pPr>
      <w:r w:rsidRPr="0044579A">
        <w:rPr>
          <w:rFonts w:cs="Arial"/>
          <w:b/>
          <w:bCs/>
          <w:noProof/>
          <w:szCs w:val="24"/>
        </w:rPr>
        <w:drawing>
          <wp:inline distT="0" distB="0" distL="0" distR="0" wp14:anchorId="0A329CB3" wp14:editId="52B22C49">
            <wp:extent cx="5683180" cy="3838575"/>
            <wp:effectExtent l="0" t="0" r="0" b="0"/>
            <wp:docPr id="46"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05601" cy="3853719"/>
                    </a:xfrm>
                    <a:prstGeom prst="rect">
                      <a:avLst/>
                    </a:prstGeom>
                  </pic:spPr>
                </pic:pic>
              </a:graphicData>
            </a:graphic>
          </wp:inline>
        </w:drawing>
      </w:r>
      <w:r w:rsidRPr="0044579A">
        <w:rPr>
          <w:rFonts w:cs="Arial"/>
          <w:szCs w:val="24"/>
        </w:rPr>
        <w:t xml:space="preserve"> </w:t>
      </w:r>
      <w:r w:rsidR="00D7514C" w:rsidRPr="0044579A">
        <w:rPr>
          <w:rFonts w:cs="Arial"/>
          <w:szCs w:val="24"/>
        </w:rPr>
        <w:br w:type="page"/>
      </w:r>
    </w:p>
    <w:p w14:paraId="25C1BD3B" w14:textId="22CD677F" w:rsidR="00D7514C" w:rsidRPr="0044579A" w:rsidRDefault="00D7514C" w:rsidP="00D7514C">
      <w:pPr>
        <w:pStyle w:val="Heading1"/>
        <w:ind w:left="0"/>
      </w:pPr>
      <w:r w:rsidRPr="0044579A">
        <w:lastRenderedPageBreak/>
        <w:t xml:space="preserve">Optical </w:t>
      </w:r>
      <w:r w:rsidR="00395441" w:rsidRPr="0044579A">
        <w:t>d</w:t>
      </w:r>
      <w:r w:rsidRPr="0044579A">
        <w:t xml:space="preserve">ensity </w:t>
      </w:r>
      <w:r w:rsidR="00395441" w:rsidRPr="0044579A">
        <w:t>c</w:t>
      </w:r>
      <w:r w:rsidRPr="0044579A">
        <w:t>omputation</w:t>
      </w:r>
    </w:p>
    <w:p w14:paraId="14853F60" w14:textId="1EF883A0" w:rsidR="00D7514C" w:rsidRPr="0044579A" w:rsidRDefault="00D7514C" w:rsidP="00D7514C">
      <w:pPr>
        <w:pStyle w:val="BodyText"/>
        <w:ind w:right="151" w:hanging="7"/>
        <w:rPr>
          <w:rFonts w:cs="Arial"/>
          <w:sz w:val="24"/>
          <w:szCs w:val="24"/>
        </w:rPr>
      </w:pPr>
      <w:r w:rsidRPr="0044579A">
        <w:rPr>
          <w:rFonts w:cs="Arial"/>
          <w:sz w:val="24"/>
          <w:szCs w:val="24"/>
        </w:rPr>
        <w:t xml:space="preserve">The human epidermal growth factor receptor 2 QCS quantifies DAB staining intensity generated by a </w:t>
      </w:r>
      <w:r w:rsidR="00181111" w:rsidRPr="0044579A">
        <w:rPr>
          <w:rFonts w:cs="Arial"/>
          <w:sz w:val="24"/>
          <w:szCs w:val="24"/>
        </w:rPr>
        <w:t xml:space="preserve">human epidermal growth factor receptor 2 </w:t>
      </w:r>
      <w:r w:rsidRPr="0044579A">
        <w:rPr>
          <w:rFonts w:cs="Arial"/>
          <w:sz w:val="24"/>
          <w:szCs w:val="24"/>
        </w:rPr>
        <w:t>immunohistochemistry assay in individual cell compartments using the hue saturation density model</w:t>
      </w:r>
      <w:r w:rsidR="00835A50" w:rsidRPr="0044579A">
        <w:rPr>
          <w:rFonts w:cs="Arial"/>
          <w:color w:val="0000FF"/>
          <w:sz w:val="24"/>
          <w:szCs w:val="24"/>
          <w:vertAlign w:val="superscript"/>
        </w:rPr>
        <w:t>5</w:t>
      </w:r>
      <w:r w:rsidRPr="0044579A">
        <w:rPr>
          <w:rFonts w:cs="Arial"/>
          <w:sz w:val="24"/>
          <w:szCs w:val="24"/>
        </w:rPr>
        <w:t>. Images are acquired using a red-green-blue</w:t>
      </w:r>
      <w:r w:rsidR="00FC03D7" w:rsidRPr="0044579A">
        <w:rPr>
          <w:rFonts w:cs="Arial"/>
          <w:sz w:val="24"/>
          <w:szCs w:val="24"/>
        </w:rPr>
        <w:t xml:space="preserve"> </w:t>
      </w:r>
      <w:r w:rsidRPr="0044579A">
        <w:rPr>
          <w:rFonts w:cs="Arial"/>
          <w:sz w:val="24"/>
          <w:szCs w:val="24"/>
        </w:rPr>
        <w:t>color model that comprises 8-bit (256) gray values for each color channel. Using Beer</w:t>
      </w:r>
      <w:r w:rsidR="00540CE3" w:rsidRPr="0044579A">
        <w:rPr>
          <w:rFonts w:cs="Arial"/>
          <w:sz w:val="24"/>
          <w:szCs w:val="24"/>
        </w:rPr>
        <w:t>-Lambert’s</w:t>
      </w:r>
      <w:r w:rsidRPr="0044579A">
        <w:rPr>
          <w:rFonts w:cs="Arial"/>
          <w:sz w:val="24"/>
          <w:szCs w:val="24"/>
        </w:rPr>
        <w:t xml:space="preserve"> law, each color channel is converted to density using a logarithm and parameters </w:t>
      </w:r>
      <w:r w:rsidRPr="0044579A">
        <w:rPr>
          <w:rFonts w:cs="Arial"/>
          <w:i/>
          <w:sz w:val="24"/>
          <w:szCs w:val="24"/>
        </w:rPr>
        <w:t>I</w:t>
      </w:r>
      <w:r w:rsidRPr="0044579A">
        <w:rPr>
          <w:rFonts w:cs="Arial"/>
          <w:sz w:val="24"/>
          <w:szCs w:val="24"/>
          <w:vertAlign w:val="subscript"/>
        </w:rPr>
        <w:t>0</w:t>
      </w:r>
      <w:r w:rsidRPr="0044579A">
        <w:rPr>
          <w:rFonts w:cs="Arial"/>
          <w:sz w:val="24"/>
          <w:szCs w:val="24"/>
        </w:rPr>
        <w:t xml:space="preserve">, which are related to physical properties such as sectioning thickness and slide scanner illumination brightness. Based on those log-transformed channels, a color separation using the </w:t>
      </w:r>
      <w:r w:rsidR="004A4841" w:rsidRPr="0044579A">
        <w:rPr>
          <w:rFonts w:cs="Arial"/>
          <w:sz w:val="24"/>
          <w:szCs w:val="24"/>
        </w:rPr>
        <w:t>hue saturation density</w:t>
      </w:r>
      <w:r w:rsidRPr="0044579A">
        <w:rPr>
          <w:rFonts w:cs="Arial"/>
          <w:sz w:val="24"/>
          <w:szCs w:val="24"/>
        </w:rPr>
        <w:t xml:space="preserve"> model estimates the density of the brown color from the DAB dye, which is referred to in the manuscript as the OD. An initial output in the range </w:t>
      </w:r>
      <w:r w:rsidR="00A63C4A" w:rsidRPr="0044579A">
        <w:rPr>
          <w:rFonts w:cs="Arial"/>
          <w:sz w:val="24"/>
          <w:szCs w:val="24"/>
        </w:rPr>
        <w:t>(</w:t>
      </w:r>
      <w:r w:rsidRPr="0044579A">
        <w:rPr>
          <w:rFonts w:cs="Arial"/>
          <w:sz w:val="24"/>
          <w:szCs w:val="24"/>
        </w:rPr>
        <w:t xml:space="preserve">0 </w:t>
      </w:r>
      <w:r w:rsidRPr="0044579A">
        <w:rPr>
          <w:rFonts w:cs="Arial"/>
          <w:i/>
          <w:sz w:val="24"/>
          <w:szCs w:val="24"/>
        </w:rPr>
        <w:t xml:space="preserve">... </w:t>
      </w:r>
      <w:r w:rsidRPr="0044579A">
        <w:rPr>
          <w:rFonts w:cs="Arial"/>
          <w:sz w:val="24"/>
          <w:szCs w:val="24"/>
        </w:rPr>
        <w:t>5</w:t>
      </w:r>
      <w:r w:rsidRPr="0044579A">
        <w:rPr>
          <w:rFonts w:cs="Arial"/>
          <w:i/>
          <w:sz w:val="24"/>
          <w:szCs w:val="24"/>
        </w:rPr>
        <w:t>.</w:t>
      </w:r>
      <w:r w:rsidRPr="0044579A">
        <w:rPr>
          <w:rFonts w:cs="Arial"/>
          <w:sz w:val="24"/>
          <w:szCs w:val="24"/>
        </w:rPr>
        <w:t>75</w:t>
      </w:r>
      <w:r w:rsidR="00A63C4A" w:rsidRPr="0044579A">
        <w:rPr>
          <w:rFonts w:cs="Arial"/>
          <w:sz w:val="24"/>
          <w:szCs w:val="24"/>
        </w:rPr>
        <w:t>)</w:t>
      </w:r>
      <w:r w:rsidR="0010419B" w:rsidRPr="0044579A">
        <w:rPr>
          <w:rFonts w:cs="Arial"/>
          <w:color w:val="0000FF"/>
          <w:sz w:val="24"/>
          <w:szCs w:val="24"/>
          <w:vertAlign w:val="superscript"/>
        </w:rPr>
        <w:t>5</w:t>
      </w:r>
      <w:r w:rsidR="00884F3E" w:rsidRPr="0044579A">
        <w:rPr>
          <w:rFonts w:cs="Arial"/>
          <w:sz w:val="24"/>
          <w:szCs w:val="24"/>
        </w:rPr>
        <w:t xml:space="preserve"> </w:t>
      </w:r>
      <w:r w:rsidRPr="0044579A">
        <w:rPr>
          <w:rFonts w:cs="Arial"/>
          <w:sz w:val="24"/>
          <w:szCs w:val="24"/>
        </w:rPr>
        <w:t xml:space="preserve">is converted to the standard </w:t>
      </w:r>
      <w:r w:rsidR="00FC03D7" w:rsidRPr="0044579A">
        <w:rPr>
          <w:rFonts w:cs="Arial"/>
          <w:sz w:val="24"/>
          <w:szCs w:val="24"/>
        </w:rPr>
        <w:t xml:space="preserve">red-green-blue </w:t>
      </w:r>
      <w:r w:rsidRPr="0044579A">
        <w:rPr>
          <w:rFonts w:cs="Arial"/>
          <w:sz w:val="24"/>
          <w:szCs w:val="24"/>
        </w:rPr>
        <w:t xml:space="preserve">grayscale range </w:t>
      </w:r>
      <w:r w:rsidR="00A63C4A" w:rsidRPr="0044579A">
        <w:rPr>
          <w:rFonts w:cs="Arial"/>
          <w:sz w:val="24"/>
          <w:szCs w:val="24"/>
        </w:rPr>
        <w:t>(</w:t>
      </w:r>
      <w:r w:rsidRPr="0044579A">
        <w:rPr>
          <w:rFonts w:cs="Arial"/>
          <w:sz w:val="24"/>
          <w:szCs w:val="24"/>
        </w:rPr>
        <w:t xml:space="preserve">0 </w:t>
      </w:r>
      <w:r w:rsidRPr="0044579A">
        <w:rPr>
          <w:rFonts w:cs="Arial"/>
          <w:i/>
          <w:sz w:val="24"/>
          <w:szCs w:val="24"/>
        </w:rPr>
        <w:t xml:space="preserve">... </w:t>
      </w:r>
      <w:r w:rsidRPr="0044579A">
        <w:rPr>
          <w:rFonts w:cs="Arial"/>
          <w:sz w:val="24"/>
          <w:szCs w:val="24"/>
        </w:rPr>
        <w:t>255</w:t>
      </w:r>
      <w:r w:rsidR="00A63C4A" w:rsidRPr="0044579A">
        <w:rPr>
          <w:rFonts w:cs="Arial"/>
          <w:sz w:val="24"/>
          <w:szCs w:val="24"/>
        </w:rPr>
        <w:t>)</w:t>
      </w:r>
      <w:r w:rsidRPr="0044579A">
        <w:rPr>
          <w:rFonts w:cs="Arial"/>
          <w:sz w:val="24"/>
          <w:szCs w:val="24"/>
        </w:rPr>
        <w:t xml:space="preserve"> by applying a scaling factor.</w:t>
      </w:r>
    </w:p>
    <w:p w14:paraId="56DD0F87" w14:textId="77777777" w:rsidR="00D7514C" w:rsidRPr="0044579A" w:rsidRDefault="00D7514C" w:rsidP="00D7514C">
      <w:pPr>
        <w:pStyle w:val="BodyText"/>
        <w:rPr>
          <w:rFonts w:cs="Arial"/>
          <w:sz w:val="24"/>
          <w:szCs w:val="24"/>
        </w:rPr>
      </w:pPr>
    </w:p>
    <w:p w14:paraId="79A99D15" w14:textId="77777777" w:rsidR="00D7514C" w:rsidRPr="0044579A" w:rsidRDefault="00D7514C" w:rsidP="00D7514C">
      <w:pPr>
        <w:spacing w:line="240" w:lineRule="auto"/>
        <w:rPr>
          <w:rFonts w:cs="Arial"/>
          <w:b/>
          <w:szCs w:val="24"/>
        </w:rPr>
      </w:pPr>
      <w:r w:rsidRPr="0044579A">
        <w:rPr>
          <w:rFonts w:cs="Arial"/>
          <w:b/>
          <w:szCs w:val="24"/>
        </w:rPr>
        <w:br w:type="page"/>
      </w:r>
    </w:p>
    <w:p w14:paraId="7AFC362C" w14:textId="566766C9" w:rsidR="00D7514C" w:rsidRPr="0044579A" w:rsidRDefault="00D7514C" w:rsidP="00D7514C">
      <w:pPr>
        <w:pStyle w:val="BodyText"/>
        <w:ind w:right="151"/>
        <w:rPr>
          <w:rFonts w:cs="Arial"/>
          <w:sz w:val="24"/>
          <w:szCs w:val="24"/>
        </w:rPr>
      </w:pPr>
      <w:r w:rsidRPr="0044579A">
        <w:rPr>
          <w:rFonts w:cs="Arial"/>
          <w:b/>
          <w:sz w:val="24"/>
          <w:szCs w:val="24"/>
        </w:rPr>
        <w:lastRenderedPageBreak/>
        <w:t xml:space="preserve">Supplementary Figure </w:t>
      </w:r>
      <w:r w:rsidR="00BF39B1" w:rsidRPr="0044579A">
        <w:rPr>
          <w:rFonts w:cs="Arial"/>
          <w:b/>
          <w:sz w:val="24"/>
          <w:szCs w:val="24"/>
        </w:rPr>
        <w:t>S</w:t>
      </w:r>
      <w:r w:rsidR="00DC6EBA" w:rsidRPr="0044579A">
        <w:rPr>
          <w:rFonts w:cs="Arial"/>
          <w:b/>
          <w:sz w:val="24"/>
          <w:szCs w:val="24"/>
        </w:rPr>
        <w:t>6</w:t>
      </w:r>
      <w:r w:rsidRPr="0044579A">
        <w:rPr>
          <w:rFonts w:cs="Arial"/>
          <w:b/>
          <w:sz w:val="24"/>
          <w:szCs w:val="24"/>
        </w:rPr>
        <w:t xml:space="preserve">. </w:t>
      </w:r>
      <w:r w:rsidRPr="0044579A">
        <w:rPr>
          <w:rFonts w:cs="Arial"/>
          <w:sz w:val="24"/>
          <w:szCs w:val="24"/>
        </w:rPr>
        <w:t>The hue saturation density model</w:t>
      </w:r>
      <w:hyperlink w:anchor="_bookmark31" w:history="1">
        <w:r w:rsidRPr="0044579A">
          <w:rPr>
            <w:rFonts w:cs="Arial"/>
            <w:color w:val="0000FF"/>
            <w:sz w:val="24"/>
            <w:szCs w:val="24"/>
            <w:vertAlign w:val="superscript"/>
          </w:rPr>
          <w:t>5</w:t>
        </w:r>
      </w:hyperlink>
      <w:r w:rsidRPr="0044579A">
        <w:rPr>
          <w:rFonts w:cs="Arial"/>
          <w:color w:val="0000FF"/>
          <w:sz w:val="24"/>
          <w:szCs w:val="24"/>
        </w:rPr>
        <w:t xml:space="preserve"> </w:t>
      </w:r>
      <w:r w:rsidRPr="0044579A">
        <w:rPr>
          <w:rFonts w:cs="Arial"/>
          <w:sz w:val="24"/>
          <w:szCs w:val="24"/>
        </w:rPr>
        <w:t>estimates 3,3-diaminobenzidine (DAB) staining and</w:t>
      </w:r>
      <w:r w:rsidR="001D4750" w:rsidRPr="0044579A">
        <w:rPr>
          <w:rFonts w:cs="Arial"/>
          <w:sz w:val="24"/>
          <w:szCs w:val="24"/>
        </w:rPr>
        <w:t>,</w:t>
      </w:r>
      <w:r w:rsidRPr="0044579A">
        <w:rPr>
          <w:rFonts w:cs="Arial"/>
          <w:sz w:val="24"/>
          <w:szCs w:val="24"/>
        </w:rPr>
        <w:t xml:space="preserve"> therefore</w:t>
      </w:r>
      <w:r w:rsidR="001D4750" w:rsidRPr="0044579A">
        <w:rPr>
          <w:rFonts w:cs="Arial"/>
          <w:sz w:val="24"/>
          <w:szCs w:val="24"/>
        </w:rPr>
        <w:t>,</w:t>
      </w:r>
      <w:r w:rsidRPr="0044579A">
        <w:rPr>
          <w:rFonts w:cs="Arial"/>
          <w:sz w:val="24"/>
          <w:szCs w:val="24"/>
        </w:rPr>
        <w:t xml:space="preserve"> human epidermal growth factor receptor 2 (HER2) expression in each tumor cell as optical density. HRP, horseradish peroxidase; </w:t>
      </w:r>
      <w:r w:rsidR="00A04D35" w:rsidRPr="0044579A">
        <w:rPr>
          <w:rFonts w:cs="Arial"/>
          <w:sz w:val="24"/>
          <w:szCs w:val="24"/>
        </w:rPr>
        <w:t xml:space="preserve">IHC, immunohistochemistry; </w:t>
      </w:r>
      <w:r w:rsidRPr="0044579A">
        <w:rPr>
          <w:rFonts w:cs="Arial"/>
          <w:sz w:val="24"/>
          <w:szCs w:val="24"/>
        </w:rPr>
        <w:t>RGB, red-green-blue.</w:t>
      </w:r>
    </w:p>
    <w:p w14:paraId="38B72674" w14:textId="77777777" w:rsidR="00D7514C" w:rsidRPr="0044579A" w:rsidRDefault="00D7514C" w:rsidP="00D7514C">
      <w:r w:rsidRPr="0044579A">
        <w:rPr>
          <w:noProof/>
        </w:rPr>
        <w:drawing>
          <wp:inline distT="0" distB="0" distL="0" distR="0" wp14:anchorId="08BF8B65" wp14:editId="375369D9">
            <wp:extent cx="5943600" cy="2959100"/>
            <wp:effectExtent l="0" t="0" r="0" b="0"/>
            <wp:docPr id="33" name="Picture 33"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chat or text messag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959100"/>
                    </a:xfrm>
                    <a:prstGeom prst="rect">
                      <a:avLst/>
                    </a:prstGeom>
                  </pic:spPr>
                </pic:pic>
              </a:graphicData>
            </a:graphic>
          </wp:inline>
        </w:drawing>
      </w:r>
    </w:p>
    <w:p w14:paraId="654AFC57" w14:textId="6A410CFE" w:rsidR="00780704" w:rsidRPr="0044579A" w:rsidRDefault="00780704">
      <w:pPr>
        <w:spacing w:line="240" w:lineRule="auto"/>
      </w:pPr>
      <w:r w:rsidRPr="0044579A">
        <w:br w:type="page"/>
      </w:r>
    </w:p>
    <w:p w14:paraId="5C9C4D61" w14:textId="691DDF7E" w:rsidR="00780704" w:rsidRPr="0044579A" w:rsidRDefault="00780704" w:rsidP="00357F26">
      <w:pPr>
        <w:pStyle w:val="Heading1"/>
      </w:pPr>
      <w:r w:rsidRPr="0044579A">
        <w:lastRenderedPageBreak/>
        <w:t>Overlap</w:t>
      </w:r>
      <w:r w:rsidR="00357F26" w:rsidRPr="0044579A">
        <w:t xml:space="preserve"> between QCS binary Spatial Proximity Score and QCS %OD positive cells </w:t>
      </w:r>
      <w:r w:rsidR="00CF060F" w:rsidRPr="0044579A">
        <w:t>signatures.</w:t>
      </w:r>
    </w:p>
    <w:p w14:paraId="16CBE0F7" w14:textId="77777777" w:rsidR="007F13B8" w:rsidRPr="0044579A" w:rsidRDefault="004E7C10" w:rsidP="007F13B8">
      <w:pPr>
        <w:pStyle w:val="BodyText"/>
        <w:rPr>
          <w:rFonts w:cs="Arial"/>
          <w:sz w:val="24"/>
          <w:szCs w:val="24"/>
        </w:rPr>
      </w:pPr>
      <w:r w:rsidRPr="0044579A">
        <w:rPr>
          <w:rFonts w:cs="Arial"/>
          <w:sz w:val="24"/>
          <w:szCs w:val="24"/>
        </w:rPr>
        <w:t xml:space="preserve">The </w:t>
      </w:r>
      <w:proofErr w:type="spellStart"/>
      <w:r w:rsidRPr="0044579A">
        <w:rPr>
          <w:rFonts w:cs="Arial"/>
          <w:sz w:val="24"/>
          <w:szCs w:val="24"/>
        </w:rPr>
        <w:t>bSPS</w:t>
      </w:r>
      <w:proofErr w:type="spellEnd"/>
      <w:r w:rsidRPr="0044579A">
        <w:rPr>
          <w:rFonts w:cs="Arial"/>
          <w:sz w:val="24"/>
          <w:szCs w:val="24"/>
        </w:rPr>
        <w:t xml:space="preserve"> is a more generalized form of % OD-positive cells.</w:t>
      </w:r>
      <w:r w:rsidR="007F13B8" w:rsidRPr="0044579A">
        <w:rPr>
          <w:rFonts w:cs="Arial"/>
          <w:sz w:val="24"/>
          <w:szCs w:val="24"/>
        </w:rPr>
        <w:t xml:space="preserve"> The formulation of </w:t>
      </w:r>
      <w:proofErr w:type="spellStart"/>
      <w:r w:rsidR="007F13B8" w:rsidRPr="0044579A">
        <w:rPr>
          <w:rFonts w:cs="Arial"/>
          <w:sz w:val="24"/>
          <w:szCs w:val="24"/>
        </w:rPr>
        <w:t>bSPS</w:t>
      </w:r>
      <w:proofErr w:type="spellEnd"/>
      <w:r w:rsidR="007F13B8" w:rsidRPr="0044579A">
        <w:rPr>
          <w:rFonts w:cs="Arial"/>
          <w:sz w:val="24"/>
          <w:szCs w:val="24"/>
        </w:rPr>
        <w:t xml:space="preserve"> is as follows</w:t>
      </w:r>
      <w:r w:rsidRPr="0044579A">
        <w:rPr>
          <w:rFonts w:cs="Arial"/>
          <w:sz w:val="24"/>
          <w:szCs w:val="24"/>
        </w:rPr>
        <w:t xml:space="preserve"> </w:t>
      </w:r>
      <w:r w:rsidR="007F13B8" w:rsidRPr="0044579A">
        <w:rPr>
          <w:rFonts w:cs="Arial"/>
          <w:sz w:val="24"/>
          <w:szCs w:val="24"/>
        </w:rPr>
        <w:t>(</w:t>
      </w:r>
      <w:r w:rsidRPr="0044579A">
        <w:rPr>
          <w:rFonts w:cs="Arial"/>
          <w:sz w:val="24"/>
          <w:szCs w:val="24"/>
        </w:rPr>
        <w:t>Equation</w:t>
      </w:r>
      <w:r w:rsidRPr="0044579A">
        <w:rPr>
          <w:rFonts w:cs="Arial"/>
          <w:b/>
          <w:bCs/>
          <w:sz w:val="24"/>
          <w:szCs w:val="24"/>
        </w:rPr>
        <w:t xml:space="preserve"> </w:t>
      </w:r>
      <w:r w:rsidRPr="0044579A">
        <w:rPr>
          <w:rFonts w:cs="Arial"/>
          <w:sz w:val="24"/>
          <w:szCs w:val="24"/>
        </w:rPr>
        <w:t>(</w:t>
      </w:r>
      <w:hyperlink w:anchor="_bookmark15" w:history="1">
        <w:r w:rsidRPr="0044579A">
          <w:rPr>
            <w:rFonts w:cs="Arial"/>
            <w:b/>
            <w:bCs/>
            <w:color w:val="0000FF"/>
            <w:sz w:val="24"/>
            <w:szCs w:val="24"/>
          </w:rPr>
          <w:t>3</w:t>
        </w:r>
      </w:hyperlink>
      <w:r w:rsidRPr="0044579A">
        <w:rPr>
          <w:rFonts w:cs="Arial"/>
          <w:color w:val="000000" w:themeColor="text1"/>
          <w:sz w:val="24"/>
          <w:szCs w:val="24"/>
        </w:rPr>
        <w:t>)</w:t>
      </w:r>
      <w:r w:rsidR="007F13B8" w:rsidRPr="0044579A">
        <w:rPr>
          <w:rFonts w:cs="Arial"/>
          <w:color w:val="000000" w:themeColor="text1"/>
          <w:sz w:val="24"/>
          <w:szCs w:val="24"/>
        </w:rPr>
        <w:t xml:space="preserve"> in main text) </w:t>
      </w:r>
    </w:p>
    <w:p w14:paraId="2682126A" w14:textId="77777777" w:rsidR="007F13B8" w:rsidRPr="0044579A" w:rsidRDefault="007F13B8" w:rsidP="007F13B8">
      <w:pPr>
        <w:pStyle w:val="BodyText"/>
        <w:rPr>
          <w:rFonts w:cs="Arial"/>
          <w:sz w:val="24"/>
          <w:szCs w:val="24"/>
        </w:rPr>
      </w:pPr>
      <m:oMathPara>
        <m:oMath>
          <m:r>
            <w:rPr>
              <w:rFonts w:ascii="Cambria Math" w:hAnsi="Cambria Math"/>
              <w:sz w:val="24"/>
              <w:szCs w:val="24"/>
            </w:rPr>
            <m:t>bSPS</m:t>
          </m:r>
          <m:d>
            <m:dPr>
              <m:ctrlPr>
                <w:rPr>
                  <w:rFonts w:ascii="Cambria Math" w:hAnsi="Cambria Math"/>
                  <w:i/>
                  <w:sz w:val="24"/>
                  <w:szCs w:val="24"/>
                </w:rPr>
              </m:ctrlPr>
            </m:dPr>
            <m:e>
              <m:r>
                <w:rPr>
                  <w:rFonts w:ascii="Cambria Math" w:hAnsi="Cambria Math"/>
                  <w:sz w:val="24"/>
                  <w:szCs w:val="24"/>
                </w:rPr>
                <m:t>r, O</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threshold</m:t>
                  </m:r>
                </m:sub>
              </m:sSub>
            </m:e>
          </m:d>
          <m:r>
            <w:rPr>
              <w:rFonts w:ascii="Cambria Math" w:hAnsi="Cambria Math"/>
              <w:sz w:val="24"/>
              <w:szCs w:val="24"/>
            </w:rPr>
            <m:t xml:space="preserve">= </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r>
                    <m:rPr>
                      <m:scr m:val="double-struck"/>
                    </m:rPr>
                    <w:rPr>
                      <w:rFonts w:ascii="Cambria Math" w:hAnsi="Cambria Math"/>
                      <w:sz w:val="24"/>
                      <w:szCs w:val="24"/>
                    </w:rPr>
                    <m:t>I[∃</m:t>
                  </m:r>
                  <m:r>
                    <w:rPr>
                      <w:rFonts w:ascii="Cambria Math" w:hAnsi="Cambria Math"/>
                      <w:sz w:val="24"/>
                      <w:szCs w:val="24"/>
                    </w:rPr>
                    <m:t>j∈ ͷ</m:t>
                  </m:r>
                  <m:sSub>
                    <m:sSubPr>
                      <m:ctrlPr>
                        <w:rPr>
                          <w:rFonts w:ascii="Cambria Math" w:hAnsi="Cambria Math"/>
                          <w:i/>
                          <w:sz w:val="24"/>
                          <w:szCs w:val="24"/>
                        </w:rPr>
                      </m:ctrlPr>
                    </m:sSubPr>
                    <m:e>
                      <m:d>
                        <m:dPr>
                          <m:ctrlPr>
                            <w:rPr>
                              <w:rFonts w:ascii="Cambria Math" w:hAnsi="Cambria Math"/>
                              <w:i/>
                              <w:sz w:val="24"/>
                              <w:szCs w:val="24"/>
                            </w:rPr>
                          </m:ctrlPr>
                        </m:dPr>
                        <m:e>
                          <m:r>
                            <w:rPr>
                              <w:rFonts w:ascii="Cambria Math" w:hAnsi="Cambria Math"/>
                              <w:sz w:val="24"/>
                              <w:szCs w:val="24"/>
                            </w:rPr>
                            <m:t>r</m:t>
                          </m:r>
                        </m:e>
                      </m:d>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OD</m:t>
                      </m:r>
                    </m:e>
                    <m:sub>
                      <m:sSup>
                        <m:sSupPr>
                          <m:ctrlPr>
                            <w:rPr>
                              <w:rFonts w:ascii="Cambria Math" w:hAnsi="Cambria Math"/>
                              <w:i/>
                              <w:sz w:val="24"/>
                              <w:szCs w:val="24"/>
                            </w:rPr>
                          </m:ctrlPr>
                        </m:sSupPr>
                        <m:e>
                          <m:r>
                            <w:rPr>
                              <w:rFonts w:ascii="Cambria Math" w:hAnsi="Cambria Math"/>
                              <w:sz w:val="24"/>
                              <w:szCs w:val="24"/>
                            </w:rPr>
                            <m:t>membrane</m:t>
                          </m:r>
                        </m:e>
                        <m:sup>
                          <m:r>
                            <w:rPr>
                              <w:rFonts w:ascii="Cambria Math" w:hAnsi="Cambria Math"/>
                              <w:sz w:val="24"/>
                              <w:szCs w:val="24"/>
                            </w:rPr>
                            <m:t>j</m:t>
                          </m:r>
                        </m:sup>
                      </m:sSup>
                    </m:sub>
                  </m:sSub>
                  <m:r>
                    <w:rPr>
                      <w:rFonts w:ascii="Cambria Math" w:hAnsi="Cambria Math"/>
                      <w:sz w:val="24"/>
                      <w:szCs w:val="24"/>
                    </w:rPr>
                    <m:t>≥O</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threshold</m:t>
                      </m:r>
                    </m:sub>
                  </m:sSub>
                  <m:r>
                    <w:rPr>
                      <w:rFonts w:ascii="Cambria Math" w:hAnsi="Cambria Math"/>
                      <w:sz w:val="24"/>
                      <w:szCs w:val="24"/>
                    </w:rPr>
                    <m:t xml:space="preserve">  </m:t>
                  </m:r>
                </m:e>
              </m:nary>
            </m:num>
            <m:den>
              <m:r>
                <w:rPr>
                  <w:rFonts w:ascii="Cambria Math" w:hAnsi="Cambria Math"/>
                  <w:sz w:val="24"/>
                  <w:szCs w:val="24"/>
                </w:rPr>
                <m:t>N</m:t>
              </m:r>
            </m:den>
          </m:f>
        </m:oMath>
      </m:oMathPara>
    </w:p>
    <w:p w14:paraId="4CCC02D7" w14:textId="0E3AF539" w:rsidR="00D14251" w:rsidRPr="0044579A" w:rsidRDefault="00D14251" w:rsidP="00CF060F">
      <w:pPr>
        <w:pStyle w:val="BodyText"/>
        <w:rPr>
          <w:rFonts w:cs="Arial"/>
          <w:sz w:val="24"/>
          <w:szCs w:val="24"/>
        </w:rPr>
      </w:pPr>
      <w:r w:rsidRPr="0044579A">
        <w:rPr>
          <w:rFonts w:cs="Arial"/>
          <w:sz w:val="24"/>
          <w:szCs w:val="24"/>
        </w:rPr>
        <w:t xml:space="preserve">where N refers to the total number of detected tumor cells on the slide; </w:t>
      </w:r>
      <w:r w:rsidRPr="0044579A">
        <w:rPr>
          <w:rFonts w:cs="Arial"/>
          <w:iCs/>
          <w:sz w:val="24"/>
          <w:szCs w:val="24"/>
        </w:rPr>
        <w:t>N</w:t>
      </w:r>
      <w:r w:rsidRPr="0044579A">
        <w:rPr>
          <w:rFonts w:cs="Arial"/>
          <w:iCs/>
          <w:position w:val="-5"/>
          <w:sz w:val="24"/>
          <w:szCs w:val="24"/>
        </w:rPr>
        <w:t xml:space="preserve">i </w:t>
      </w:r>
      <w:r w:rsidRPr="0044579A">
        <w:rPr>
          <w:rFonts w:cs="Arial"/>
          <w:iCs/>
          <w:position w:val="7"/>
          <w:sz w:val="24"/>
          <w:szCs w:val="24"/>
        </w:rPr>
        <w:t xml:space="preserve">r </w:t>
      </w:r>
      <w:r w:rsidRPr="0044579A">
        <w:rPr>
          <w:rFonts w:cs="Arial"/>
          <w:sz w:val="24"/>
          <w:szCs w:val="24"/>
        </w:rPr>
        <w:t xml:space="preserve">refers to all the cells </w:t>
      </w:r>
      <w:proofErr w:type="gramStart"/>
      <w:r w:rsidRPr="0044579A">
        <w:rPr>
          <w:rFonts w:cs="Arial"/>
          <w:sz w:val="24"/>
          <w:szCs w:val="24"/>
        </w:rPr>
        <w:t>in the neighborhood of</w:t>
      </w:r>
      <w:proofErr w:type="gramEnd"/>
      <w:r w:rsidRPr="0044579A">
        <w:rPr>
          <w:rFonts w:cs="Arial"/>
          <w:sz w:val="24"/>
          <w:szCs w:val="24"/>
        </w:rPr>
        <w:t xml:space="preserve"> a cell </w:t>
      </w:r>
      <w:r w:rsidRPr="0044579A">
        <w:rPr>
          <w:rFonts w:cs="Arial"/>
          <w:i/>
          <w:sz w:val="24"/>
          <w:szCs w:val="24"/>
        </w:rPr>
        <w:t xml:space="preserve">I </w:t>
      </w:r>
      <w:r w:rsidRPr="0044579A">
        <w:rPr>
          <w:rFonts w:cs="Arial"/>
          <w:sz w:val="24"/>
          <w:szCs w:val="24"/>
        </w:rPr>
        <w:t xml:space="preserve">within a radius of </w:t>
      </w:r>
      <w:r w:rsidRPr="0044579A">
        <w:rPr>
          <w:rFonts w:cs="Arial"/>
          <w:i/>
          <w:sz w:val="24"/>
          <w:szCs w:val="24"/>
        </w:rPr>
        <w:t>r</w:t>
      </w:r>
      <w:r w:rsidRPr="0044579A">
        <w:rPr>
          <w:rFonts w:cs="Arial"/>
          <w:sz w:val="24"/>
          <w:szCs w:val="24"/>
        </w:rPr>
        <w:t xml:space="preserve">. The </w:t>
      </w:r>
      <w:proofErr w:type="spellStart"/>
      <w:r w:rsidRPr="0044579A">
        <w:rPr>
          <w:rFonts w:cs="Arial"/>
          <w:i/>
          <w:sz w:val="24"/>
          <w:szCs w:val="24"/>
        </w:rPr>
        <w:t>OD</w:t>
      </w:r>
      <w:r w:rsidRPr="0044579A">
        <w:rPr>
          <w:rFonts w:cs="Arial"/>
          <w:i/>
          <w:sz w:val="24"/>
          <w:szCs w:val="24"/>
          <w:vertAlign w:val="subscript"/>
        </w:rPr>
        <w:t>threshold</w:t>
      </w:r>
      <w:proofErr w:type="spellEnd"/>
      <w:r w:rsidRPr="0044579A">
        <w:rPr>
          <w:rFonts w:cs="Arial"/>
          <w:i/>
          <w:sz w:val="24"/>
          <w:szCs w:val="24"/>
        </w:rPr>
        <w:t xml:space="preserve"> </w:t>
      </w:r>
      <w:r w:rsidRPr="0044579A">
        <w:rPr>
          <w:rFonts w:cs="Arial"/>
          <w:sz w:val="24"/>
          <w:szCs w:val="24"/>
        </w:rPr>
        <w:t>refers to the OD threshold set to label a cell OD positive.</w:t>
      </w:r>
    </w:p>
    <w:p w14:paraId="2A2789B0" w14:textId="4124B50D" w:rsidR="004E7C10" w:rsidRPr="0044579A" w:rsidRDefault="008C60CB" w:rsidP="00CF060F">
      <w:pPr>
        <w:pStyle w:val="BodyText"/>
        <w:rPr>
          <w:rFonts w:cs="Arial"/>
          <w:sz w:val="24"/>
          <w:szCs w:val="24"/>
        </w:rPr>
      </w:pPr>
      <w:r w:rsidRPr="0044579A">
        <w:rPr>
          <w:rFonts w:cs="Arial"/>
          <w:sz w:val="24"/>
          <w:szCs w:val="24"/>
        </w:rPr>
        <w:t>In this equation,</w:t>
      </w:r>
      <w:r w:rsidR="004E7C10" w:rsidRPr="0044579A">
        <w:rPr>
          <w:rFonts w:cs="Arial"/>
          <w:sz w:val="24"/>
          <w:szCs w:val="24"/>
        </w:rPr>
        <w:t xml:space="preserve"> with </w:t>
      </w:r>
      <w:r w:rsidR="004E7C10" w:rsidRPr="0044579A">
        <w:rPr>
          <w:rFonts w:cs="Arial"/>
          <w:i/>
          <w:sz w:val="24"/>
          <w:szCs w:val="24"/>
        </w:rPr>
        <w:t xml:space="preserve">r </w:t>
      </w:r>
      <w:r w:rsidR="004E7C10" w:rsidRPr="0044579A">
        <w:rPr>
          <w:rFonts w:cs="Arial"/>
          <w:sz w:val="24"/>
          <w:szCs w:val="24"/>
        </w:rPr>
        <w:t xml:space="preserve">→ 0, the neighborhood reduces to the cell itself and becomes </w:t>
      </w:r>
      <w:r w:rsidRPr="0044579A">
        <w:rPr>
          <w:rFonts w:cs="Arial"/>
          <w:sz w:val="24"/>
          <w:szCs w:val="24"/>
        </w:rPr>
        <w:t>the formulation of %OD positive cells</w:t>
      </w:r>
      <w:r w:rsidR="00D14251" w:rsidRPr="0044579A">
        <w:rPr>
          <w:rFonts w:cs="Arial"/>
          <w:sz w:val="24"/>
          <w:szCs w:val="24"/>
        </w:rPr>
        <w:t xml:space="preserve">. </w:t>
      </w:r>
      <w:r w:rsidR="00403E5C" w:rsidRPr="0044579A">
        <w:rPr>
          <w:rFonts w:cs="Arial"/>
          <w:sz w:val="24"/>
          <w:szCs w:val="24"/>
        </w:rPr>
        <w:t>Hence with the same</w:t>
      </w:r>
      <w:r w:rsidR="00443864" w:rsidRPr="0044579A">
        <w:rPr>
          <w:rFonts w:cs="Arial"/>
          <w:sz w:val="24"/>
          <w:szCs w:val="24"/>
        </w:rPr>
        <w:t xml:space="preserve"> </w:t>
      </w:r>
      <w:proofErr w:type="spellStart"/>
      <w:r w:rsidR="00443864" w:rsidRPr="0044579A">
        <w:rPr>
          <w:rFonts w:cs="Arial"/>
          <w:i/>
          <w:sz w:val="24"/>
          <w:szCs w:val="24"/>
        </w:rPr>
        <w:t>OD</w:t>
      </w:r>
      <w:r w:rsidR="00443864" w:rsidRPr="0044579A">
        <w:rPr>
          <w:rFonts w:cs="Arial"/>
          <w:i/>
          <w:sz w:val="24"/>
          <w:szCs w:val="24"/>
          <w:vertAlign w:val="subscript"/>
        </w:rPr>
        <w:t>threshold</w:t>
      </w:r>
      <w:proofErr w:type="spellEnd"/>
      <w:r w:rsidR="00430761" w:rsidRPr="0044579A">
        <w:rPr>
          <w:rFonts w:cs="Arial"/>
          <w:sz w:val="24"/>
          <w:szCs w:val="24"/>
        </w:rPr>
        <w:t xml:space="preserve">, </w:t>
      </w:r>
      <w:r w:rsidR="00981E48" w:rsidRPr="0044579A">
        <w:rPr>
          <w:rFonts w:cs="Arial"/>
          <w:sz w:val="24"/>
          <w:szCs w:val="24"/>
        </w:rPr>
        <w:t xml:space="preserve">the </w:t>
      </w:r>
      <w:proofErr w:type="spellStart"/>
      <w:r w:rsidR="00981E48" w:rsidRPr="0044579A">
        <w:rPr>
          <w:rFonts w:cs="Arial"/>
          <w:sz w:val="24"/>
          <w:szCs w:val="24"/>
        </w:rPr>
        <w:t>bSPS</w:t>
      </w:r>
      <w:proofErr w:type="spellEnd"/>
      <w:r w:rsidR="00981E48" w:rsidRPr="0044579A">
        <w:rPr>
          <w:rFonts w:cs="Arial"/>
          <w:sz w:val="24"/>
          <w:szCs w:val="24"/>
        </w:rPr>
        <w:t xml:space="preserve"> score will always be greater than or equal to %OD</w:t>
      </w:r>
      <w:r w:rsidR="00443864" w:rsidRPr="0044579A">
        <w:rPr>
          <w:rFonts w:cs="Arial"/>
          <w:sz w:val="24"/>
          <w:szCs w:val="24"/>
        </w:rPr>
        <w:t xml:space="preserve"> positive cells.</w:t>
      </w:r>
      <w:r w:rsidR="00403E5C" w:rsidRPr="0044579A">
        <w:rPr>
          <w:rFonts w:cs="Arial"/>
          <w:sz w:val="24"/>
          <w:szCs w:val="24"/>
        </w:rPr>
        <w:t xml:space="preserve"> </w:t>
      </w:r>
    </w:p>
    <w:p w14:paraId="69CDDB0C" w14:textId="4B5AA9A8" w:rsidR="00430761" w:rsidRPr="0044579A" w:rsidRDefault="00430761" w:rsidP="00CF060F">
      <w:pPr>
        <w:pStyle w:val="BodyText"/>
      </w:pPr>
      <w:r w:rsidRPr="0044579A">
        <w:rPr>
          <w:rFonts w:cs="Arial"/>
          <w:sz w:val="24"/>
          <w:szCs w:val="24"/>
        </w:rPr>
        <w:t xml:space="preserve">From the current study, the best signatures (feature + model parameters + cut-point) is </w:t>
      </w:r>
      <w:r w:rsidR="00930FB0" w:rsidRPr="0044579A">
        <w:rPr>
          <w:rFonts w:cs="Arial"/>
          <w:sz w:val="24"/>
          <w:szCs w:val="24"/>
        </w:rPr>
        <w:t xml:space="preserve">found to be </w:t>
      </w:r>
      <w:r w:rsidR="005C033C" w:rsidRPr="0044579A">
        <w:rPr>
          <w:rFonts w:cs="Arial"/>
          <w:sz w:val="24"/>
          <w:szCs w:val="24"/>
        </w:rPr>
        <w:t xml:space="preserve">the following: a) </w:t>
      </w:r>
      <w:proofErr w:type="spellStart"/>
      <w:r w:rsidR="005C033C" w:rsidRPr="0044579A">
        <w:rPr>
          <w:rFonts w:cs="Arial"/>
          <w:sz w:val="24"/>
          <w:szCs w:val="24"/>
        </w:rPr>
        <w:t>bSPS</w:t>
      </w:r>
      <w:proofErr w:type="spellEnd"/>
      <w:r w:rsidR="005C033C" w:rsidRPr="0044579A">
        <w:rPr>
          <w:rFonts w:cs="Arial"/>
          <w:sz w:val="24"/>
          <w:szCs w:val="24"/>
        </w:rPr>
        <w:t xml:space="preserve"> score (</w:t>
      </w:r>
      <w:proofErr w:type="spellStart"/>
      <w:r w:rsidR="005C033C" w:rsidRPr="0044579A">
        <w:rPr>
          <w:rFonts w:cs="Arial"/>
          <w:i/>
          <w:sz w:val="24"/>
          <w:szCs w:val="24"/>
        </w:rPr>
        <w:t>OD</w:t>
      </w:r>
      <w:r w:rsidR="005C033C" w:rsidRPr="0044579A">
        <w:rPr>
          <w:rFonts w:cs="Arial"/>
          <w:i/>
          <w:sz w:val="24"/>
          <w:szCs w:val="24"/>
          <w:vertAlign w:val="subscript"/>
        </w:rPr>
        <w:t>threshold</w:t>
      </w:r>
      <w:proofErr w:type="spellEnd"/>
      <w:r w:rsidR="005C033C" w:rsidRPr="0044579A">
        <w:rPr>
          <w:rFonts w:cs="Arial"/>
          <w:sz w:val="24"/>
          <w:szCs w:val="24"/>
        </w:rPr>
        <w:t xml:space="preserve"> = 8, r=50</w:t>
      </w:r>
      <m:oMath>
        <m:r>
          <w:rPr>
            <w:rFonts w:ascii="Cambria Math" w:hAnsi="Cambria Math" w:cs="Arial"/>
            <w:sz w:val="24"/>
            <w:szCs w:val="24"/>
          </w:rPr>
          <m:t>μm</m:t>
        </m:r>
      </m:oMath>
      <w:r w:rsidR="005C033C" w:rsidRPr="0044579A">
        <w:rPr>
          <w:rFonts w:cs="Arial"/>
          <w:sz w:val="24"/>
          <w:szCs w:val="24"/>
        </w:rPr>
        <w:t>) &gt; 99.8 and b) %OD+ cells (</w:t>
      </w:r>
      <w:proofErr w:type="spellStart"/>
      <w:r w:rsidR="005C033C" w:rsidRPr="0044579A">
        <w:rPr>
          <w:rFonts w:cs="Arial"/>
          <w:i/>
          <w:sz w:val="24"/>
          <w:szCs w:val="24"/>
        </w:rPr>
        <w:t>OD</w:t>
      </w:r>
      <w:r w:rsidR="005C033C" w:rsidRPr="0044579A">
        <w:rPr>
          <w:rFonts w:cs="Arial"/>
          <w:i/>
          <w:sz w:val="24"/>
          <w:szCs w:val="24"/>
          <w:vertAlign w:val="subscript"/>
        </w:rPr>
        <w:t>threshold</w:t>
      </w:r>
      <w:proofErr w:type="spellEnd"/>
      <w:r w:rsidR="005C033C" w:rsidRPr="0044579A">
        <w:rPr>
          <w:rFonts w:cs="Arial"/>
          <w:sz w:val="24"/>
          <w:szCs w:val="24"/>
        </w:rPr>
        <w:t xml:space="preserve"> = 6)</w:t>
      </w:r>
      <w:r w:rsidR="00570540" w:rsidRPr="0044579A">
        <w:rPr>
          <w:rFonts w:cs="Arial"/>
          <w:sz w:val="24"/>
          <w:szCs w:val="24"/>
        </w:rPr>
        <w:t xml:space="preserve"> &gt; 98.51. Please note that the </w:t>
      </w:r>
      <w:proofErr w:type="spellStart"/>
      <w:r w:rsidR="00570540" w:rsidRPr="0044579A">
        <w:rPr>
          <w:rFonts w:cs="Arial"/>
          <w:i/>
          <w:sz w:val="24"/>
          <w:szCs w:val="24"/>
        </w:rPr>
        <w:t>OD</w:t>
      </w:r>
      <w:r w:rsidR="00570540" w:rsidRPr="0044579A">
        <w:rPr>
          <w:rFonts w:cs="Arial"/>
          <w:i/>
          <w:sz w:val="24"/>
          <w:szCs w:val="24"/>
          <w:vertAlign w:val="subscript"/>
        </w:rPr>
        <w:t>threshold</w:t>
      </w:r>
      <w:proofErr w:type="spellEnd"/>
      <w:r w:rsidR="00570540" w:rsidRPr="0044579A">
        <w:rPr>
          <w:rFonts w:cs="Arial"/>
          <w:sz w:val="24"/>
          <w:szCs w:val="24"/>
        </w:rPr>
        <w:t xml:space="preserve"> for the optimal signatures are different for</w:t>
      </w:r>
      <w:r w:rsidR="004B5797" w:rsidRPr="0044579A">
        <w:rPr>
          <w:rFonts w:cs="Arial"/>
          <w:sz w:val="24"/>
          <w:szCs w:val="24"/>
        </w:rPr>
        <w:t xml:space="preserve"> the study. Nevertheless, high overlap in biomarker negative and positive population is still seen as seen in the confusion matrix below. It is seen that all </w:t>
      </w:r>
      <w:r w:rsidR="000659C9" w:rsidRPr="0044579A">
        <w:rPr>
          <w:rFonts w:cs="Arial"/>
          <w:sz w:val="24"/>
          <w:szCs w:val="24"/>
        </w:rPr>
        <w:t xml:space="preserve">%OD positive cases are contained within the BM+ cases determined by </w:t>
      </w:r>
      <w:proofErr w:type="spellStart"/>
      <w:r w:rsidR="000659C9" w:rsidRPr="0044579A">
        <w:rPr>
          <w:rFonts w:cs="Arial"/>
          <w:sz w:val="24"/>
          <w:szCs w:val="24"/>
        </w:rPr>
        <w:t>bSPS</w:t>
      </w:r>
      <w:proofErr w:type="spellEnd"/>
      <w:r w:rsidR="000659C9" w:rsidRPr="0044579A">
        <w:rPr>
          <w:rFonts w:cs="Arial"/>
          <w:sz w:val="24"/>
          <w:szCs w:val="24"/>
        </w:rPr>
        <w:t xml:space="preserve">. There are 3 cases that are BM+ by </w:t>
      </w:r>
      <w:proofErr w:type="spellStart"/>
      <w:r w:rsidR="000659C9" w:rsidRPr="0044579A">
        <w:rPr>
          <w:rFonts w:cs="Arial"/>
          <w:sz w:val="24"/>
          <w:szCs w:val="24"/>
        </w:rPr>
        <w:t>bSPS</w:t>
      </w:r>
      <w:proofErr w:type="spellEnd"/>
      <w:r w:rsidR="000659C9" w:rsidRPr="0044579A">
        <w:rPr>
          <w:rFonts w:cs="Arial"/>
          <w:sz w:val="24"/>
          <w:szCs w:val="24"/>
        </w:rPr>
        <w:t xml:space="preserve"> but BM- by %OD positive cells</w:t>
      </w:r>
      <w:r w:rsidR="0028633A" w:rsidRPr="0044579A">
        <w:rPr>
          <w:rFonts w:cs="Arial"/>
          <w:sz w:val="24"/>
          <w:szCs w:val="24"/>
        </w:rPr>
        <w:t xml:space="preserve">, in which 2 out 3 patients are responders. </w:t>
      </w:r>
      <w:r w:rsidR="005C033C" w:rsidRPr="0044579A">
        <w:rPr>
          <w:rFonts w:cs="Arial"/>
          <w:i/>
          <w:sz w:val="24"/>
          <w:szCs w:val="24"/>
          <w:vertAlign w:val="subscript"/>
        </w:rPr>
        <w:t xml:space="preserve"> </w:t>
      </w:r>
    </w:p>
    <w:p w14:paraId="4A7EC342" w14:textId="77777777" w:rsidR="00780704" w:rsidRPr="0044579A" w:rsidRDefault="00780704">
      <w:pPr>
        <w:spacing w:line="240" w:lineRule="auto"/>
      </w:pPr>
    </w:p>
    <w:tbl>
      <w:tblPr>
        <w:tblStyle w:val="TableGrid"/>
        <w:tblW w:w="0" w:type="auto"/>
        <w:tblLook w:val="04A0" w:firstRow="1" w:lastRow="0" w:firstColumn="1" w:lastColumn="0" w:noHBand="0" w:noVBand="1"/>
      </w:tblPr>
      <w:tblGrid>
        <w:gridCol w:w="3116"/>
        <w:gridCol w:w="1919"/>
        <w:gridCol w:w="2790"/>
      </w:tblGrid>
      <w:tr w:rsidR="00002FFC" w:rsidRPr="0044579A" w14:paraId="0091BC38" w14:textId="77777777" w:rsidTr="00DC012C">
        <w:tc>
          <w:tcPr>
            <w:tcW w:w="3116" w:type="dxa"/>
          </w:tcPr>
          <w:p w14:paraId="61D67109" w14:textId="2CDEE73F" w:rsidR="00002FFC" w:rsidRPr="0044579A" w:rsidRDefault="00002FFC" w:rsidP="00DC012C">
            <w:pPr>
              <w:spacing w:line="240" w:lineRule="auto"/>
              <w:jc w:val="center"/>
            </w:pPr>
          </w:p>
        </w:tc>
        <w:tc>
          <w:tcPr>
            <w:tcW w:w="1919" w:type="dxa"/>
          </w:tcPr>
          <w:p w14:paraId="6B08E566" w14:textId="4F083C1E" w:rsidR="00B22F81" w:rsidRPr="0044579A" w:rsidRDefault="00FA4240" w:rsidP="00DC012C">
            <w:pPr>
              <w:spacing w:line="240" w:lineRule="auto"/>
              <w:jc w:val="center"/>
            </w:pPr>
            <w:r w:rsidRPr="0044579A">
              <w:t>%OD cells</w:t>
            </w:r>
            <w:r w:rsidR="00B22F81" w:rsidRPr="0044579A">
              <w:t xml:space="preserve"> BM+</w:t>
            </w:r>
          </w:p>
          <w:p w14:paraId="7ABB5EC0" w14:textId="32B87FBB" w:rsidR="00002FFC" w:rsidRPr="0044579A" w:rsidRDefault="00FA4240" w:rsidP="00DC012C">
            <w:pPr>
              <w:spacing w:line="240" w:lineRule="auto"/>
              <w:jc w:val="center"/>
            </w:pPr>
            <w:r w:rsidRPr="0044579A">
              <w:t>(OD=6)</w:t>
            </w:r>
          </w:p>
        </w:tc>
        <w:tc>
          <w:tcPr>
            <w:tcW w:w="2790" w:type="dxa"/>
          </w:tcPr>
          <w:p w14:paraId="1802F9D9" w14:textId="77777777" w:rsidR="00DC012C" w:rsidRPr="0044579A" w:rsidRDefault="00FA4240" w:rsidP="00DC012C">
            <w:pPr>
              <w:spacing w:line="240" w:lineRule="auto"/>
              <w:jc w:val="center"/>
            </w:pPr>
            <w:r w:rsidRPr="0044579A">
              <w:t>%OD cells</w:t>
            </w:r>
            <w:r w:rsidR="00DC012C" w:rsidRPr="0044579A">
              <w:t xml:space="preserve"> BM-</w:t>
            </w:r>
          </w:p>
          <w:p w14:paraId="012EEEF4" w14:textId="0830B123" w:rsidR="00002FFC" w:rsidRPr="0044579A" w:rsidRDefault="00FA4240" w:rsidP="00DC012C">
            <w:pPr>
              <w:spacing w:line="240" w:lineRule="auto"/>
              <w:jc w:val="center"/>
            </w:pPr>
            <w:r w:rsidRPr="0044579A">
              <w:t>(OD=6)</w:t>
            </w:r>
          </w:p>
        </w:tc>
      </w:tr>
      <w:tr w:rsidR="00002FFC" w:rsidRPr="0044579A" w14:paraId="314E5761" w14:textId="77777777" w:rsidTr="00DC012C">
        <w:tc>
          <w:tcPr>
            <w:tcW w:w="3116" w:type="dxa"/>
          </w:tcPr>
          <w:p w14:paraId="7DF5E187" w14:textId="5BF9BB51" w:rsidR="00FA4240" w:rsidRPr="0044579A" w:rsidRDefault="00002FFC" w:rsidP="00DC012C">
            <w:pPr>
              <w:spacing w:line="240" w:lineRule="auto"/>
              <w:jc w:val="center"/>
              <w:rPr>
                <w:lang w:val="de-DE"/>
              </w:rPr>
            </w:pPr>
            <w:r w:rsidRPr="0044579A">
              <w:rPr>
                <w:lang w:val="de-DE"/>
              </w:rPr>
              <w:t>bSPS</w:t>
            </w:r>
            <w:r w:rsidR="00FA4240" w:rsidRPr="0044579A">
              <w:rPr>
                <w:lang w:val="de-DE"/>
              </w:rPr>
              <w:t xml:space="preserve"> BM+</w:t>
            </w:r>
          </w:p>
          <w:p w14:paraId="71EE5EF3" w14:textId="7E32CD2B" w:rsidR="00002FFC" w:rsidRPr="0044579A" w:rsidRDefault="00FA4240" w:rsidP="00DC012C">
            <w:pPr>
              <w:spacing w:line="240" w:lineRule="auto"/>
              <w:jc w:val="center"/>
              <w:rPr>
                <w:lang w:val="de-DE"/>
              </w:rPr>
            </w:pPr>
            <w:r w:rsidRPr="0044579A">
              <w:rPr>
                <w:lang w:val="de-DE"/>
              </w:rPr>
              <w:t>(r=50</w:t>
            </w:r>
            <m:oMath>
              <m:r>
                <w:rPr>
                  <w:rFonts w:ascii="Cambria Math" w:hAnsi="Cambria Math"/>
                </w:rPr>
                <m:t>μm</m:t>
              </m:r>
              <m:r>
                <w:rPr>
                  <w:rFonts w:ascii="Cambria Math" w:hAnsi="Cambria Math"/>
                  <w:lang w:val="de-DE"/>
                </w:rPr>
                <m:t xml:space="preserve"> </m:t>
              </m:r>
            </m:oMath>
            <w:r w:rsidRPr="0044579A">
              <w:rPr>
                <w:lang w:val="de-DE"/>
              </w:rPr>
              <w:t>, OD=8)</w:t>
            </w:r>
          </w:p>
        </w:tc>
        <w:tc>
          <w:tcPr>
            <w:tcW w:w="1919" w:type="dxa"/>
          </w:tcPr>
          <w:p w14:paraId="60BD74DD" w14:textId="74054092" w:rsidR="00002FFC" w:rsidRPr="0044579A" w:rsidRDefault="00B22F81" w:rsidP="00DC012C">
            <w:pPr>
              <w:spacing w:line="240" w:lineRule="auto"/>
              <w:jc w:val="center"/>
            </w:pPr>
            <w:r w:rsidRPr="0044579A">
              <w:t>114</w:t>
            </w:r>
          </w:p>
        </w:tc>
        <w:tc>
          <w:tcPr>
            <w:tcW w:w="2790" w:type="dxa"/>
          </w:tcPr>
          <w:p w14:paraId="5F39390B" w14:textId="088B2524" w:rsidR="00002FFC" w:rsidRPr="0044579A" w:rsidRDefault="00B22F81" w:rsidP="00DC012C">
            <w:pPr>
              <w:spacing w:line="240" w:lineRule="auto"/>
              <w:jc w:val="center"/>
            </w:pPr>
            <w:r w:rsidRPr="0044579A">
              <w:t>3</w:t>
            </w:r>
          </w:p>
        </w:tc>
      </w:tr>
      <w:tr w:rsidR="00002FFC" w:rsidRPr="0044579A" w14:paraId="5DD36097" w14:textId="77777777" w:rsidTr="00DC012C">
        <w:tc>
          <w:tcPr>
            <w:tcW w:w="3116" w:type="dxa"/>
          </w:tcPr>
          <w:p w14:paraId="03A22359" w14:textId="4E4A8F0C" w:rsidR="00FA4240" w:rsidRPr="0044579A" w:rsidRDefault="00FA4240" w:rsidP="00DC012C">
            <w:pPr>
              <w:spacing w:line="240" w:lineRule="auto"/>
              <w:jc w:val="center"/>
              <w:rPr>
                <w:lang w:val="de-DE"/>
              </w:rPr>
            </w:pPr>
            <w:r w:rsidRPr="0044579A">
              <w:rPr>
                <w:lang w:val="de-DE"/>
              </w:rPr>
              <w:t>bSPS BM-</w:t>
            </w:r>
          </w:p>
          <w:p w14:paraId="257AEBCC" w14:textId="0798953E" w:rsidR="00002FFC" w:rsidRPr="0044579A" w:rsidRDefault="00FA4240" w:rsidP="00DC012C">
            <w:pPr>
              <w:spacing w:line="240" w:lineRule="auto"/>
              <w:jc w:val="center"/>
              <w:rPr>
                <w:lang w:val="de-DE"/>
              </w:rPr>
            </w:pPr>
            <w:r w:rsidRPr="0044579A">
              <w:rPr>
                <w:lang w:val="de-DE"/>
              </w:rPr>
              <w:t>(r=50</w:t>
            </w:r>
            <m:oMath>
              <m:r>
                <w:rPr>
                  <w:rFonts w:ascii="Cambria Math" w:hAnsi="Cambria Math"/>
                </w:rPr>
                <m:t>μm</m:t>
              </m:r>
              <m:r>
                <w:rPr>
                  <w:rFonts w:ascii="Cambria Math" w:hAnsi="Cambria Math"/>
                  <w:lang w:val="de-DE"/>
                </w:rPr>
                <m:t xml:space="preserve"> </m:t>
              </m:r>
            </m:oMath>
            <w:r w:rsidRPr="0044579A">
              <w:rPr>
                <w:lang w:val="de-DE"/>
              </w:rPr>
              <w:t>, OD=8)</w:t>
            </w:r>
          </w:p>
        </w:tc>
        <w:tc>
          <w:tcPr>
            <w:tcW w:w="1919" w:type="dxa"/>
          </w:tcPr>
          <w:p w14:paraId="77B4B67D" w14:textId="14157C81" w:rsidR="00002FFC" w:rsidRPr="0044579A" w:rsidRDefault="001E75F9" w:rsidP="00DC012C">
            <w:pPr>
              <w:spacing w:line="240" w:lineRule="auto"/>
              <w:jc w:val="center"/>
            </w:pPr>
            <w:r w:rsidRPr="0044579A">
              <w:t>0</w:t>
            </w:r>
          </w:p>
        </w:tc>
        <w:tc>
          <w:tcPr>
            <w:tcW w:w="2790" w:type="dxa"/>
          </w:tcPr>
          <w:p w14:paraId="6AC9E141" w14:textId="5CBE9A9F" w:rsidR="00002FFC" w:rsidRPr="0044579A" w:rsidRDefault="001E75F9" w:rsidP="00DC012C">
            <w:pPr>
              <w:spacing w:line="240" w:lineRule="auto"/>
              <w:jc w:val="center"/>
            </w:pPr>
            <w:r w:rsidRPr="0044579A">
              <w:t>34</w:t>
            </w:r>
          </w:p>
        </w:tc>
      </w:tr>
    </w:tbl>
    <w:p w14:paraId="159C220A" w14:textId="2344FD25" w:rsidR="00A7128B" w:rsidRDefault="00A7128B">
      <w:pPr>
        <w:spacing w:line="240" w:lineRule="auto"/>
      </w:pPr>
    </w:p>
    <w:p w14:paraId="2C6BB12D" w14:textId="1213FC40" w:rsidR="00C15F60" w:rsidRDefault="00C15F60" w:rsidP="00C15F60">
      <w:pPr>
        <w:pStyle w:val="Heading1"/>
      </w:pPr>
      <w:r>
        <w:t>Ridge Plots</w:t>
      </w:r>
      <w:r w:rsidR="00544782">
        <w:t xml:space="preserve"> for QCS cut-point stability </w:t>
      </w:r>
      <w:proofErr w:type="gramStart"/>
      <w:r w:rsidR="00544782">
        <w:t>analysis</w:t>
      </w:r>
      <w:proofErr w:type="gramEnd"/>
    </w:p>
    <w:p w14:paraId="19C3B291" w14:textId="6D270874" w:rsidR="00544782" w:rsidRDefault="00C15F60" w:rsidP="003D7A04">
      <w:pPr>
        <w:pStyle w:val="BodyText"/>
        <w:ind w:right="151"/>
        <w:rPr>
          <w:rFonts w:cs="Arial"/>
          <w:b/>
          <w:szCs w:val="24"/>
        </w:rPr>
      </w:pPr>
      <w:r w:rsidRPr="00BD1E7C">
        <w:rPr>
          <w:rFonts w:cs="Arial"/>
          <w:sz w:val="24"/>
          <w:szCs w:val="24"/>
        </w:rPr>
        <w:t>To gauge the robustness of the best-performing features, we evaluated stratification performance as a function of both the cut point and the feature parameters using ridge plots (for the % OD-positive cells, see Fig.</w:t>
      </w:r>
      <w:r w:rsidRPr="00BD1E7C">
        <w:rPr>
          <w:rFonts w:cs="Arial"/>
          <w:b/>
          <w:bCs/>
          <w:sz w:val="24"/>
          <w:szCs w:val="24"/>
        </w:rPr>
        <w:t xml:space="preserve"> </w:t>
      </w:r>
      <w:r w:rsidR="00544782">
        <w:rPr>
          <w:rFonts w:cs="Arial"/>
          <w:b/>
          <w:bCs/>
          <w:color w:val="0000FF"/>
          <w:sz w:val="24"/>
          <w:szCs w:val="24"/>
        </w:rPr>
        <w:t>S7</w:t>
      </w:r>
      <w:r w:rsidRPr="00BD1E7C">
        <w:rPr>
          <w:rFonts w:cs="Arial"/>
          <w:b/>
          <w:bCs/>
          <w:color w:val="0000FF"/>
          <w:sz w:val="24"/>
          <w:szCs w:val="24"/>
        </w:rPr>
        <w:t>A</w:t>
      </w:r>
      <w:r w:rsidRPr="00BD1E7C">
        <w:rPr>
          <w:rFonts w:cs="Arial"/>
          <w:sz w:val="24"/>
          <w:szCs w:val="24"/>
        </w:rPr>
        <w:t xml:space="preserve">) and </w:t>
      </w:r>
      <w:proofErr w:type="spellStart"/>
      <w:r w:rsidRPr="00BD1E7C">
        <w:rPr>
          <w:rFonts w:cs="Arial"/>
          <w:sz w:val="24"/>
          <w:szCs w:val="24"/>
        </w:rPr>
        <w:t>bSPS</w:t>
      </w:r>
      <w:proofErr w:type="spellEnd"/>
      <w:r w:rsidRPr="00BD1E7C">
        <w:rPr>
          <w:rFonts w:cs="Arial"/>
          <w:sz w:val="24"/>
          <w:szCs w:val="24"/>
        </w:rPr>
        <w:t xml:space="preserve"> (Fig.</w:t>
      </w:r>
      <w:r w:rsidRPr="00BD1E7C">
        <w:rPr>
          <w:rFonts w:cs="Arial"/>
          <w:b/>
          <w:bCs/>
          <w:sz w:val="24"/>
          <w:szCs w:val="24"/>
        </w:rPr>
        <w:t xml:space="preserve"> </w:t>
      </w:r>
      <w:r w:rsidR="00544782">
        <w:rPr>
          <w:rFonts w:cs="Arial"/>
          <w:b/>
          <w:bCs/>
          <w:color w:val="0000FF"/>
          <w:sz w:val="24"/>
          <w:szCs w:val="24"/>
        </w:rPr>
        <w:t>S7</w:t>
      </w:r>
      <w:r w:rsidRPr="00BD1E7C">
        <w:rPr>
          <w:rFonts w:cs="Arial"/>
          <w:b/>
          <w:bCs/>
          <w:color w:val="0000FF"/>
          <w:sz w:val="24"/>
          <w:szCs w:val="24"/>
        </w:rPr>
        <w:t>B</w:t>
      </w:r>
      <w:r w:rsidRPr="00BD1E7C">
        <w:rPr>
          <w:rFonts w:cs="Arial"/>
          <w:sz w:val="24"/>
          <w:szCs w:val="24"/>
        </w:rPr>
        <w:t xml:space="preserve"> and Fig. </w:t>
      </w:r>
      <w:r w:rsidR="00544782">
        <w:rPr>
          <w:rFonts w:cs="Arial"/>
          <w:b/>
          <w:bCs/>
          <w:color w:val="0000FF"/>
          <w:sz w:val="24"/>
          <w:szCs w:val="24"/>
        </w:rPr>
        <w:t>S7</w:t>
      </w:r>
      <w:r w:rsidRPr="00BD1E7C">
        <w:rPr>
          <w:rFonts w:cs="Arial"/>
          <w:b/>
          <w:bCs/>
          <w:color w:val="0000FF"/>
          <w:sz w:val="24"/>
          <w:szCs w:val="24"/>
        </w:rPr>
        <w:t>C</w:t>
      </w:r>
      <w:r w:rsidRPr="00BD1E7C">
        <w:rPr>
          <w:rFonts w:cs="Arial"/>
          <w:sz w:val="24"/>
          <w:szCs w:val="24"/>
        </w:rPr>
        <w:t xml:space="preserve">). For the % OD-positive cells, different OD thresholds for cellular positivity were plotted. The </w:t>
      </w:r>
      <w:proofErr w:type="spellStart"/>
      <w:r w:rsidRPr="00BD1E7C">
        <w:rPr>
          <w:rFonts w:cs="Arial"/>
          <w:sz w:val="24"/>
          <w:szCs w:val="24"/>
        </w:rPr>
        <w:t>bSPS</w:t>
      </w:r>
      <w:proofErr w:type="spellEnd"/>
      <w:r w:rsidRPr="00BD1E7C">
        <w:rPr>
          <w:rFonts w:cs="Arial"/>
          <w:sz w:val="24"/>
          <w:szCs w:val="24"/>
        </w:rPr>
        <w:t xml:space="preserve"> has two parameters: the OD threshold and the radius. To this end, we created two ridge plots for </w:t>
      </w:r>
      <w:proofErr w:type="spellStart"/>
      <w:r w:rsidRPr="00BD1E7C">
        <w:rPr>
          <w:rFonts w:cs="Arial"/>
          <w:sz w:val="24"/>
          <w:szCs w:val="24"/>
        </w:rPr>
        <w:t>bSPS</w:t>
      </w:r>
      <w:proofErr w:type="spellEnd"/>
      <w:r>
        <w:rPr>
          <w:rFonts w:cs="Arial"/>
          <w:sz w:val="24"/>
          <w:szCs w:val="24"/>
        </w:rPr>
        <w:t>:</w:t>
      </w:r>
      <w:r w:rsidRPr="00BD1E7C">
        <w:rPr>
          <w:rFonts w:cs="Arial"/>
          <w:sz w:val="24"/>
          <w:szCs w:val="24"/>
        </w:rPr>
        <w:t xml:space="preserve"> one keeping the OD threshold constant and plotting different radii and one keeping the radius constant and plotting different OD thresholds. Additional QCS-based features exploring the relationship between membrane and cytoplasm were also explored but did not relate to a significant correlation with ORR or PFS.</w:t>
      </w:r>
      <w:r w:rsidR="001263E7">
        <w:rPr>
          <w:rFonts w:cs="Arial"/>
          <w:b/>
          <w:szCs w:val="24"/>
        </w:rPr>
        <w:br w:type="page"/>
      </w:r>
    </w:p>
    <w:p w14:paraId="73BD48C3" w14:textId="31396020" w:rsidR="00544782" w:rsidRPr="00BD1E7C" w:rsidRDefault="00544782" w:rsidP="00544782">
      <w:pPr>
        <w:pStyle w:val="BodyText"/>
        <w:ind w:right="201"/>
        <w:rPr>
          <w:rFonts w:cs="Arial"/>
          <w:sz w:val="24"/>
          <w:szCs w:val="24"/>
        </w:rPr>
      </w:pPr>
      <w:r w:rsidRPr="0044579A">
        <w:rPr>
          <w:rFonts w:cs="Arial"/>
          <w:b/>
          <w:sz w:val="24"/>
          <w:szCs w:val="24"/>
        </w:rPr>
        <w:lastRenderedPageBreak/>
        <w:t>Supplementary Figure S</w:t>
      </w:r>
      <w:r>
        <w:rPr>
          <w:rFonts w:cs="Arial"/>
          <w:b/>
          <w:sz w:val="24"/>
          <w:szCs w:val="24"/>
        </w:rPr>
        <w:t>7</w:t>
      </w:r>
      <w:r w:rsidRPr="00BD1E7C">
        <w:rPr>
          <w:rFonts w:cs="Arial"/>
          <w:b/>
          <w:sz w:val="24"/>
          <w:szCs w:val="24"/>
        </w:rPr>
        <w:t xml:space="preserve">. </w:t>
      </w:r>
      <w:r w:rsidRPr="00BD1E7C">
        <w:rPr>
          <w:rFonts w:cs="Arial"/>
          <w:sz w:val="24"/>
          <w:szCs w:val="24"/>
        </w:rPr>
        <w:t>Ridge plots indicating cut</w:t>
      </w:r>
      <w:r>
        <w:rPr>
          <w:rFonts w:cs="Arial"/>
          <w:sz w:val="24"/>
          <w:szCs w:val="24"/>
        </w:rPr>
        <w:t xml:space="preserve"> </w:t>
      </w:r>
      <w:r w:rsidRPr="00BD1E7C">
        <w:rPr>
          <w:rFonts w:cs="Arial"/>
          <w:sz w:val="24"/>
          <w:szCs w:val="24"/>
        </w:rPr>
        <w:t xml:space="preserve">point stability for top-performing human epidermal growth factor receptor 2 (HER2) quantitative continuous scoring (QCS)-based features. Each point on each line in the ridge plot corresponds to a cut point for patient stratification for a particular parameter set of the QCS feature. The “deeper” the point within the “valley”, the lower the progression-free survival (PFS) log-rank </w:t>
      </w:r>
      <w:r w:rsidRPr="00BD1E7C">
        <w:rPr>
          <w:rFonts w:cs="Arial"/>
          <w:i/>
          <w:iCs/>
          <w:sz w:val="24"/>
          <w:szCs w:val="24"/>
        </w:rPr>
        <w:t>p</w:t>
      </w:r>
      <w:r w:rsidRPr="00BD1E7C">
        <w:rPr>
          <w:rFonts w:cs="Arial"/>
          <w:sz w:val="24"/>
          <w:szCs w:val="24"/>
        </w:rPr>
        <w:t xml:space="preserve"> value. The accepted prevalence range (20–80%) is indicated by the white background areas on each plot. The broad and deep valleys in the ridge plots for both % optical density (OD)-positive cells and binary spatial proximity scores (</w:t>
      </w:r>
      <w:proofErr w:type="spellStart"/>
      <w:r w:rsidRPr="00BD1E7C">
        <w:rPr>
          <w:rFonts w:cs="Arial"/>
          <w:sz w:val="24"/>
          <w:szCs w:val="24"/>
        </w:rPr>
        <w:t>bSPS</w:t>
      </w:r>
      <w:proofErr w:type="spellEnd"/>
      <w:r w:rsidRPr="00BD1E7C">
        <w:rPr>
          <w:rFonts w:cs="Arial"/>
          <w:sz w:val="24"/>
          <w:szCs w:val="24"/>
        </w:rPr>
        <w:t xml:space="preserve">) indicate robust cut points (i.e., a nearby cut point could be selected for stratification while maintaining significant </w:t>
      </w:r>
      <w:r w:rsidRPr="00BD1E7C">
        <w:rPr>
          <w:rFonts w:cs="Arial"/>
          <w:i/>
          <w:iCs/>
          <w:sz w:val="24"/>
          <w:szCs w:val="24"/>
        </w:rPr>
        <w:t>p</w:t>
      </w:r>
      <w:r w:rsidRPr="00BD1E7C">
        <w:rPr>
          <w:rFonts w:cs="Arial"/>
          <w:sz w:val="24"/>
          <w:szCs w:val="24"/>
        </w:rPr>
        <w:t xml:space="preserve"> values). This suggests an increased likelihood for these features to preserve significance even on new cohorts. </w:t>
      </w:r>
      <w:r w:rsidRPr="00BD1E7C">
        <w:rPr>
          <w:rFonts w:cs="Arial"/>
          <w:bCs/>
          <w:sz w:val="24"/>
          <w:szCs w:val="24"/>
        </w:rPr>
        <w:t>(</w:t>
      </w:r>
      <w:r w:rsidRPr="00BD1E7C">
        <w:rPr>
          <w:rFonts w:cs="Arial"/>
          <w:b/>
          <w:sz w:val="24"/>
          <w:szCs w:val="24"/>
        </w:rPr>
        <w:t>A</w:t>
      </w:r>
      <w:r w:rsidRPr="00BD1E7C">
        <w:rPr>
          <w:rFonts w:cs="Arial"/>
          <w:bCs/>
          <w:sz w:val="24"/>
          <w:szCs w:val="24"/>
        </w:rPr>
        <w:t>)</w:t>
      </w:r>
      <w:r w:rsidRPr="00BD1E7C">
        <w:rPr>
          <w:rFonts w:cs="Arial"/>
          <w:sz w:val="24"/>
          <w:szCs w:val="24"/>
        </w:rPr>
        <w:t xml:space="preserve"> Ridge plot showing stability of percentage of OD-positive cells at different OD thresholds. </w:t>
      </w:r>
      <w:r w:rsidRPr="00BD1E7C">
        <w:rPr>
          <w:rFonts w:cs="Arial"/>
          <w:bCs/>
          <w:sz w:val="24"/>
          <w:szCs w:val="24"/>
        </w:rPr>
        <w:t>(</w:t>
      </w:r>
      <w:r w:rsidRPr="00BD1E7C">
        <w:rPr>
          <w:rFonts w:cs="Arial"/>
          <w:b/>
          <w:sz w:val="24"/>
          <w:szCs w:val="24"/>
        </w:rPr>
        <w:t>B</w:t>
      </w:r>
      <w:r w:rsidRPr="00BD1E7C">
        <w:rPr>
          <w:rFonts w:cs="Arial"/>
          <w:bCs/>
          <w:sz w:val="24"/>
          <w:szCs w:val="24"/>
        </w:rPr>
        <w:t>)</w:t>
      </w:r>
      <w:r w:rsidRPr="00BD1E7C">
        <w:rPr>
          <w:rFonts w:cs="Arial"/>
          <w:sz w:val="24"/>
          <w:szCs w:val="24"/>
        </w:rPr>
        <w:t xml:space="preserve"> Ridge plot showing stability of </w:t>
      </w:r>
      <w:proofErr w:type="spellStart"/>
      <w:r w:rsidRPr="00BD1E7C">
        <w:rPr>
          <w:rFonts w:cs="Arial"/>
          <w:sz w:val="24"/>
          <w:szCs w:val="24"/>
        </w:rPr>
        <w:t>bSPS</w:t>
      </w:r>
      <w:proofErr w:type="spellEnd"/>
      <w:r w:rsidRPr="00BD1E7C">
        <w:rPr>
          <w:rFonts w:cs="Arial"/>
          <w:sz w:val="24"/>
          <w:szCs w:val="24"/>
        </w:rPr>
        <w:t xml:space="preserve"> at R=50 µm and at different OD thresholds. </w:t>
      </w:r>
      <w:r w:rsidRPr="00BD1E7C">
        <w:rPr>
          <w:rFonts w:cs="Arial"/>
          <w:bCs/>
          <w:sz w:val="24"/>
          <w:szCs w:val="24"/>
        </w:rPr>
        <w:t>(</w:t>
      </w:r>
      <w:r w:rsidRPr="00BD1E7C">
        <w:rPr>
          <w:rFonts w:cs="Arial"/>
          <w:b/>
          <w:sz w:val="24"/>
          <w:szCs w:val="24"/>
        </w:rPr>
        <w:t>C</w:t>
      </w:r>
      <w:r w:rsidRPr="00BD1E7C">
        <w:rPr>
          <w:rFonts w:cs="Arial"/>
          <w:bCs/>
          <w:sz w:val="24"/>
          <w:szCs w:val="24"/>
        </w:rPr>
        <w:t>)</w:t>
      </w:r>
      <w:r w:rsidRPr="00BD1E7C">
        <w:rPr>
          <w:rFonts w:cs="Arial"/>
          <w:sz w:val="24"/>
          <w:szCs w:val="24"/>
        </w:rPr>
        <w:t xml:space="preserve"> Ridge plot showing stability of </w:t>
      </w:r>
      <w:proofErr w:type="spellStart"/>
      <w:r w:rsidRPr="00BD1E7C">
        <w:rPr>
          <w:rFonts w:cs="Arial"/>
          <w:sz w:val="24"/>
          <w:szCs w:val="24"/>
        </w:rPr>
        <w:t>bSPS</w:t>
      </w:r>
      <w:proofErr w:type="spellEnd"/>
      <w:r w:rsidRPr="00BD1E7C">
        <w:rPr>
          <w:rFonts w:cs="Arial"/>
          <w:sz w:val="24"/>
          <w:szCs w:val="24"/>
        </w:rPr>
        <w:t xml:space="preserve"> across different radii using membrane OD ≥8.</w:t>
      </w:r>
    </w:p>
    <w:p w14:paraId="3F9D51AF" w14:textId="77777777" w:rsidR="00544782" w:rsidRPr="00BD1E7C" w:rsidRDefault="00544782" w:rsidP="00544782">
      <w:pPr>
        <w:pStyle w:val="BodyText"/>
        <w:keepNext/>
        <w:widowControl/>
        <w:ind w:right="158"/>
        <w:rPr>
          <w:rFonts w:cs="Arial"/>
          <w:b/>
          <w:sz w:val="24"/>
          <w:szCs w:val="24"/>
        </w:rPr>
      </w:pPr>
      <w:r w:rsidRPr="00BD1E7C">
        <w:rPr>
          <w:rFonts w:cs="Arial"/>
          <w:b/>
          <w:sz w:val="24"/>
          <w:szCs w:val="24"/>
        </w:rPr>
        <w:lastRenderedPageBreak/>
        <w:t xml:space="preserve">A </w:t>
      </w:r>
      <w:r w:rsidRPr="00BD1E7C">
        <w:rPr>
          <w:rFonts w:cs="Arial"/>
          <w:b/>
          <w:sz w:val="24"/>
          <w:szCs w:val="24"/>
        </w:rPr>
        <w:br/>
      </w:r>
      <w:r w:rsidRPr="00BD1E7C">
        <w:rPr>
          <w:rFonts w:cs="Arial"/>
          <w:b/>
          <w:noProof/>
          <w:sz w:val="24"/>
          <w:szCs w:val="24"/>
        </w:rPr>
        <w:drawing>
          <wp:inline distT="0" distB="0" distL="0" distR="0" wp14:anchorId="292AFB1C" wp14:editId="70F01877">
            <wp:extent cx="4856960" cy="3933825"/>
            <wp:effectExtent l="0" t="0" r="127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75367" cy="3948733"/>
                    </a:xfrm>
                    <a:prstGeom prst="rect">
                      <a:avLst/>
                    </a:prstGeom>
                  </pic:spPr>
                </pic:pic>
              </a:graphicData>
            </a:graphic>
          </wp:inline>
        </w:drawing>
      </w:r>
    </w:p>
    <w:p w14:paraId="11536F55" w14:textId="77777777" w:rsidR="00544782" w:rsidRPr="00BD1E7C" w:rsidRDefault="00544782" w:rsidP="00544782">
      <w:pPr>
        <w:pStyle w:val="BodyText"/>
        <w:keepNext/>
        <w:widowControl/>
        <w:ind w:right="158"/>
        <w:rPr>
          <w:rFonts w:cs="Arial"/>
          <w:b/>
          <w:sz w:val="24"/>
          <w:szCs w:val="24"/>
        </w:rPr>
      </w:pPr>
      <w:r w:rsidRPr="00BD1E7C">
        <w:rPr>
          <w:rFonts w:cs="Arial"/>
          <w:b/>
          <w:sz w:val="24"/>
          <w:szCs w:val="24"/>
        </w:rPr>
        <w:lastRenderedPageBreak/>
        <w:t xml:space="preserve">B </w:t>
      </w:r>
      <w:r w:rsidRPr="00BD1E7C">
        <w:rPr>
          <w:rFonts w:cs="Arial"/>
          <w:b/>
          <w:sz w:val="24"/>
          <w:szCs w:val="24"/>
        </w:rPr>
        <w:br/>
      </w:r>
      <w:r w:rsidRPr="00BD1E7C">
        <w:rPr>
          <w:rFonts w:cs="Arial"/>
          <w:b/>
          <w:noProof/>
          <w:sz w:val="24"/>
          <w:szCs w:val="24"/>
        </w:rPr>
        <w:drawing>
          <wp:inline distT="0" distB="0" distL="0" distR="0" wp14:anchorId="45E78F62" wp14:editId="5F7469B5">
            <wp:extent cx="4833438" cy="3914775"/>
            <wp:effectExtent l="0" t="0" r="5715"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42163" cy="3921842"/>
                    </a:xfrm>
                    <a:prstGeom prst="rect">
                      <a:avLst/>
                    </a:prstGeom>
                  </pic:spPr>
                </pic:pic>
              </a:graphicData>
            </a:graphic>
          </wp:inline>
        </w:drawing>
      </w:r>
    </w:p>
    <w:p w14:paraId="48E2D1AA" w14:textId="77777777" w:rsidR="00544782" w:rsidRPr="00BD1E7C" w:rsidRDefault="00544782" w:rsidP="00544782">
      <w:pPr>
        <w:pStyle w:val="BodyText"/>
        <w:rPr>
          <w:rFonts w:cs="Arial"/>
          <w:b/>
          <w:sz w:val="24"/>
          <w:szCs w:val="24"/>
        </w:rPr>
      </w:pPr>
    </w:p>
    <w:p w14:paraId="40925308" w14:textId="77777777" w:rsidR="00544782" w:rsidRPr="00BD1E7C" w:rsidRDefault="00544782" w:rsidP="00544782">
      <w:pPr>
        <w:pStyle w:val="BodyText"/>
        <w:keepNext/>
        <w:widowControl/>
        <w:rPr>
          <w:rFonts w:cs="Arial"/>
          <w:b/>
          <w:sz w:val="24"/>
          <w:szCs w:val="24"/>
        </w:rPr>
      </w:pPr>
      <w:r w:rsidRPr="00BD1E7C">
        <w:rPr>
          <w:rFonts w:cs="Arial"/>
          <w:b/>
          <w:sz w:val="24"/>
          <w:szCs w:val="24"/>
        </w:rPr>
        <w:lastRenderedPageBreak/>
        <w:t xml:space="preserve">C </w:t>
      </w:r>
      <w:r w:rsidRPr="00BD1E7C">
        <w:rPr>
          <w:rFonts w:cs="Arial"/>
          <w:b/>
          <w:sz w:val="24"/>
          <w:szCs w:val="24"/>
        </w:rPr>
        <w:br/>
      </w:r>
      <w:r w:rsidRPr="00BD1E7C">
        <w:rPr>
          <w:rFonts w:cs="Arial"/>
          <w:b/>
          <w:noProof/>
          <w:sz w:val="24"/>
          <w:szCs w:val="24"/>
        </w:rPr>
        <w:drawing>
          <wp:inline distT="0" distB="0" distL="0" distR="0" wp14:anchorId="10082D0F" wp14:editId="24B545EF">
            <wp:extent cx="4857750" cy="3934466"/>
            <wp:effectExtent l="0" t="0" r="0" b="889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64920" cy="3940273"/>
                    </a:xfrm>
                    <a:prstGeom prst="rect">
                      <a:avLst/>
                    </a:prstGeom>
                  </pic:spPr>
                </pic:pic>
              </a:graphicData>
            </a:graphic>
          </wp:inline>
        </w:drawing>
      </w:r>
    </w:p>
    <w:p w14:paraId="48881F71" w14:textId="77777777" w:rsidR="00544782" w:rsidRPr="00BD1E7C" w:rsidRDefault="00544782" w:rsidP="00544782">
      <w:pPr>
        <w:spacing w:line="240" w:lineRule="auto"/>
        <w:rPr>
          <w:rFonts w:cs="Arial"/>
          <w:b/>
          <w:szCs w:val="24"/>
        </w:rPr>
      </w:pPr>
      <w:r w:rsidRPr="00BD1E7C">
        <w:rPr>
          <w:rFonts w:cs="Arial"/>
          <w:b/>
          <w:szCs w:val="24"/>
        </w:rPr>
        <w:br w:type="page"/>
      </w:r>
    </w:p>
    <w:p w14:paraId="69B1D1BE" w14:textId="61870947" w:rsidR="00816BE1" w:rsidRPr="00176EA6" w:rsidRDefault="00816BE1" w:rsidP="00816BE1">
      <w:pPr>
        <w:pStyle w:val="Heading2"/>
        <w:tabs>
          <w:tab w:val="left" w:pos="511"/>
        </w:tabs>
        <w:ind w:left="0" w:firstLine="0"/>
        <w:rPr>
          <w:sz w:val="24"/>
          <w:szCs w:val="24"/>
        </w:rPr>
      </w:pPr>
      <w:r w:rsidRPr="00176EA6">
        <w:rPr>
          <w:sz w:val="24"/>
          <w:szCs w:val="24"/>
        </w:rPr>
        <w:lastRenderedPageBreak/>
        <w:t>Combination features</w:t>
      </w:r>
      <w:r>
        <w:rPr>
          <w:sz w:val="24"/>
          <w:szCs w:val="24"/>
        </w:rPr>
        <w:t xml:space="preserve"> of </w:t>
      </w:r>
      <w:r w:rsidR="00E54BBF">
        <w:rPr>
          <w:sz w:val="24"/>
          <w:szCs w:val="24"/>
        </w:rPr>
        <w:t>HER2 QCS and TIL features</w:t>
      </w:r>
    </w:p>
    <w:p w14:paraId="65C84328" w14:textId="5883B5B5" w:rsidR="00816BE1" w:rsidRPr="00176EA6" w:rsidRDefault="00816BE1" w:rsidP="00816BE1">
      <w:pPr>
        <w:pStyle w:val="BodyText"/>
        <w:spacing w:before="240"/>
        <w:ind w:right="118" w:firstLine="1"/>
        <w:rPr>
          <w:rFonts w:cs="Arial"/>
          <w:sz w:val="24"/>
          <w:szCs w:val="24"/>
        </w:rPr>
      </w:pPr>
      <w:r w:rsidRPr="00176EA6">
        <w:rPr>
          <w:rFonts w:cs="Arial"/>
          <w:sz w:val="24"/>
          <w:szCs w:val="24"/>
        </w:rPr>
        <w:t xml:space="preserve">The striking differences between TIL-based and HER2 QCS-based features when comparing HER2-positive and HER2-low subgroups led to the question of whether a combination of both feature types could further improve predictions. Generally, multivariate combinations of two or more features can quickly lead to a combinatorial explosion of hypotheses to be tested. This could potentially lead to a substantial lack in statistical power. Therefore, we decided to focus only on the top-two ranked HER2 QCS-based features and evaluated their correlation to the </w:t>
      </w:r>
      <w:proofErr w:type="spellStart"/>
      <w:r w:rsidRPr="00176EA6">
        <w:rPr>
          <w:rFonts w:cs="Arial"/>
          <w:sz w:val="24"/>
          <w:szCs w:val="24"/>
        </w:rPr>
        <w:t>sTIL</w:t>
      </w:r>
      <w:proofErr w:type="spellEnd"/>
      <w:r w:rsidRPr="00176EA6">
        <w:rPr>
          <w:rFonts w:cs="Arial"/>
          <w:sz w:val="24"/>
          <w:szCs w:val="24"/>
        </w:rPr>
        <w:t xml:space="preserve"> density. Neither the % OD-positive cells nor the </w:t>
      </w:r>
      <w:proofErr w:type="spellStart"/>
      <w:r w:rsidRPr="00176EA6">
        <w:rPr>
          <w:rFonts w:cs="Arial"/>
          <w:sz w:val="24"/>
          <w:szCs w:val="24"/>
        </w:rPr>
        <w:t>bSPS</w:t>
      </w:r>
      <w:proofErr w:type="spellEnd"/>
      <w:r w:rsidRPr="00176EA6">
        <w:rPr>
          <w:rFonts w:cs="Arial"/>
          <w:sz w:val="24"/>
          <w:szCs w:val="24"/>
        </w:rPr>
        <w:t xml:space="preserve"> were correlated with TIL densities (Spearman correlations approximately −0.1 for both), thus adding complementary information to the respective combination models. Stratification results with feature combinations are summarized in Table</w:t>
      </w:r>
      <w:r w:rsidRPr="00176EA6">
        <w:rPr>
          <w:rFonts w:cs="Arial"/>
          <w:b/>
          <w:bCs/>
          <w:sz w:val="24"/>
          <w:szCs w:val="24"/>
        </w:rPr>
        <w:t xml:space="preserve"> </w:t>
      </w:r>
      <w:r w:rsidR="00711EE0">
        <w:rPr>
          <w:rFonts w:cs="Arial"/>
          <w:b/>
          <w:bCs/>
          <w:color w:val="0000FF"/>
          <w:sz w:val="24"/>
          <w:szCs w:val="24"/>
        </w:rPr>
        <w:t>S</w:t>
      </w:r>
      <w:r w:rsidR="003F5326">
        <w:rPr>
          <w:rFonts w:cs="Arial"/>
          <w:b/>
          <w:bCs/>
          <w:color w:val="0000FF"/>
          <w:sz w:val="24"/>
          <w:szCs w:val="24"/>
        </w:rPr>
        <w:t>4</w:t>
      </w:r>
      <w:r w:rsidRPr="00176EA6">
        <w:rPr>
          <w:rFonts w:cs="Arial"/>
          <w:b/>
          <w:bCs/>
          <w:color w:val="0000FF"/>
          <w:sz w:val="24"/>
          <w:szCs w:val="24"/>
        </w:rPr>
        <w:t xml:space="preserve"> </w:t>
      </w:r>
      <w:r w:rsidRPr="00176EA6">
        <w:rPr>
          <w:rFonts w:cs="Arial"/>
          <w:color w:val="000000" w:themeColor="text1"/>
          <w:sz w:val="24"/>
          <w:szCs w:val="24"/>
        </w:rPr>
        <w:t>(see also Supplementary Fig. S2)</w:t>
      </w:r>
      <w:r w:rsidRPr="00176EA6">
        <w:rPr>
          <w:rFonts w:cs="Arial"/>
          <w:sz w:val="24"/>
          <w:szCs w:val="24"/>
        </w:rPr>
        <w:t xml:space="preserve">. We see that for both combinations, the prevalence increased from their univariate counterparts, and </w:t>
      </w:r>
      <w:bookmarkStart w:id="5" w:name="Conclusion_and_discussions"/>
      <w:bookmarkEnd w:id="5"/>
      <w:r w:rsidRPr="00176EA6">
        <w:rPr>
          <w:rFonts w:cs="Arial"/>
          <w:sz w:val="24"/>
          <w:szCs w:val="24"/>
        </w:rPr>
        <w:t xml:space="preserve">at the same time, the log-rank </w:t>
      </w:r>
      <w:r w:rsidRPr="00176EA6">
        <w:rPr>
          <w:rFonts w:cs="Arial"/>
          <w:i/>
          <w:iCs/>
          <w:sz w:val="24"/>
          <w:szCs w:val="24"/>
        </w:rPr>
        <w:t>p</w:t>
      </w:r>
      <w:r w:rsidRPr="00176EA6">
        <w:rPr>
          <w:rFonts w:cs="Arial"/>
          <w:sz w:val="24"/>
          <w:szCs w:val="24"/>
        </w:rPr>
        <w:t xml:space="preserve"> values decreased.</w:t>
      </w:r>
    </w:p>
    <w:p w14:paraId="63ADF2B5" w14:textId="4EC54D44" w:rsidR="00816BE1" w:rsidRDefault="00816BE1">
      <w:pPr>
        <w:spacing w:line="240" w:lineRule="auto"/>
      </w:pPr>
    </w:p>
    <w:p w14:paraId="78FBA9E6" w14:textId="77777777" w:rsidR="0097434D" w:rsidRPr="0044579A" w:rsidRDefault="0097434D">
      <w:pPr>
        <w:spacing w:line="240" w:lineRule="auto"/>
      </w:pPr>
    </w:p>
    <w:p w14:paraId="0DEAA999" w14:textId="77777777" w:rsidR="00D7514C" w:rsidRPr="0044579A" w:rsidRDefault="00D7514C" w:rsidP="00D7514C">
      <w:pPr>
        <w:spacing w:line="240" w:lineRule="auto"/>
        <w:rPr>
          <w:rFonts w:eastAsia="Arial" w:cs="Arial"/>
          <w:b/>
          <w:bCs/>
          <w:szCs w:val="24"/>
        </w:rPr>
      </w:pPr>
    </w:p>
    <w:p w14:paraId="21BC8783" w14:textId="77777777" w:rsidR="00BB1F65" w:rsidRDefault="00BB1F65">
      <w:pPr>
        <w:spacing w:line="240" w:lineRule="auto"/>
        <w:rPr>
          <w:rFonts w:eastAsia="Arial" w:cs="Arial"/>
          <w:b/>
          <w:bCs/>
          <w:szCs w:val="24"/>
        </w:rPr>
      </w:pPr>
      <w:r>
        <w:br w:type="page"/>
      </w:r>
    </w:p>
    <w:p w14:paraId="3C05F53D" w14:textId="232A1D8E" w:rsidR="00F12B78" w:rsidRPr="0044579A" w:rsidRDefault="00F12B78" w:rsidP="008F2230">
      <w:pPr>
        <w:pStyle w:val="Heading1"/>
        <w:ind w:left="0"/>
      </w:pPr>
      <w:r w:rsidRPr="0044579A">
        <w:lastRenderedPageBreak/>
        <w:t>References</w:t>
      </w:r>
    </w:p>
    <w:p w14:paraId="12E7BE09" w14:textId="2F2340C8" w:rsidR="00F12B78" w:rsidRPr="0044579A" w:rsidRDefault="00794035" w:rsidP="001169CF">
      <w:pPr>
        <w:pStyle w:val="ListParagraph"/>
        <w:tabs>
          <w:tab w:val="left" w:pos="284"/>
        </w:tabs>
        <w:ind w:left="284" w:right="151" w:hanging="284"/>
        <w:rPr>
          <w:rFonts w:cs="Arial"/>
          <w:szCs w:val="24"/>
        </w:rPr>
      </w:pPr>
      <w:r w:rsidRPr="0044579A">
        <w:rPr>
          <w:lang w:val="de-DE"/>
        </w:rPr>
        <w:t>1</w:t>
      </w:r>
      <w:r w:rsidR="00F12B78" w:rsidRPr="0044579A">
        <w:rPr>
          <w:lang w:val="de-DE"/>
        </w:rPr>
        <w:t xml:space="preserve">. </w:t>
      </w:r>
      <w:r w:rsidR="00F12B78" w:rsidRPr="0044579A">
        <w:rPr>
          <w:rFonts w:cs="Arial"/>
          <w:szCs w:val="24"/>
          <w:lang w:val="de-DE"/>
        </w:rPr>
        <w:t xml:space="preserve">Wolff, A. C. </w:t>
      </w:r>
      <w:r w:rsidR="00F12B78" w:rsidRPr="0044579A">
        <w:rPr>
          <w:rFonts w:cs="Arial"/>
          <w:i/>
          <w:szCs w:val="24"/>
          <w:lang w:val="de-DE"/>
        </w:rPr>
        <w:t>et al.</w:t>
      </w:r>
      <w:r w:rsidR="00F12B78" w:rsidRPr="0044579A">
        <w:rPr>
          <w:rFonts w:cs="Arial"/>
          <w:iCs/>
          <w:szCs w:val="24"/>
          <w:lang w:val="de-DE"/>
        </w:rPr>
        <w:t xml:space="preserve"> </w:t>
      </w:r>
      <w:r w:rsidR="00F12B78" w:rsidRPr="0044579A">
        <w:rPr>
          <w:rFonts w:cs="Arial"/>
          <w:iCs/>
          <w:szCs w:val="24"/>
        </w:rPr>
        <w:t>H</w:t>
      </w:r>
      <w:r w:rsidR="00F12B78" w:rsidRPr="0044579A">
        <w:rPr>
          <w:rFonts w:cs="Arial"/>
          <w:szCs w:val="24"/>
        </w:rPr>
        <w:t xml:space="preserve">uman epidermal growth factor receptor 2 testing in breast cancer: American Society of Clinical Oncology/College of American Pathologists clinical practice guideline focused update. </w:t>
      </w:r>
      <w:r w:rsidR="00F12B78" w:rsidRPr="0044579A">
        <w:rPr>
          <w:rFonts w:cs="Arial"/>
          <w:i/>
          <w:szCs w:val="24"/>
        </w:rPr>
        <w:t xml:space="preserve">Arch. </w:t>
      </w:r>
      <w:proofErr w:type="spellStart"/>
      <w:r w:rsidR="00F12B78" w:rsidRPr="0044579A">
        <w:rPr>
          <w:rFonts w:cs="Arial"/>
          <w:i/>
          <w:szCs w:val="24"/>
        </w:rPr>
        <w:t>Pathol</w:t>
      </w:r>
      <w:proofErr w:type="spellEnd"/>
      <w:r w:rsidR="00F12B78" w:rsidRPr="0044579A">
        <w:rPr>
          <w:rFonts w:cs="Arial"/>
          <w:i/>
          <w:szCs w:val="24"/>
        </w:rPr>
        <w:t xml:space="preserve">. Lab. Med. </w:t>
      </w:r>
      <w:r w:rsidR="00F12B78" w:rsidRPr="0044579A">
        <w:rPr>
          <w:rFonts w:cs="Arial"/>
          <w:b/>
          <w:szCs w:val="24"/>
        </w:rPr>
        <w:t>142</w:t>
      </w:r>
      <w:r w:rsidR="00F12B78" w:rsidRPr="0044579A">
        <w:rPr>
          <w:rFonts w:cs="Arial"/>
          <w:szCs w:val="24"/>
        </w:rPr>
        <w:t>, 1364</w:t>
      </w:r>
      <w:r w:rsidR="00B168CD" w:rsidRPr="0044579A">
        <w:rPr>
          <w:rFonts w:cs="Arial"/>
          <w:szCs w:val="24"/>
        </w:rPr>
        <w:t>–</w:t>
      </w:r>
      <w:r w:rsidR="00F12B78" w:rsidRPr="0044579A">
        <w:rPr>
          <w:rFonts w:cs="Arial"/>
          <w:szCs w:val="24"/>
        </w:rPr>
        <w:t>1382 (2018).</w:t>
      </w:r>
    </w:p>
    <w:p w14:paraId="63161B3E" w14:textId="55D21141" w:rsidR="00F12B78" w:rsidRPr="0044579A" w:rsidRDefault="00794035" w:rsidP="001169CF">
      <w:pPr>
        <w:pStyle w:val="ListParagraph"/>
        <w:tabs>
          <w:tab w:val="left" w:pos="284"/>
        </w:tabs>
        <w:ind w:left="284" w:right="151" w:hanging="284"/>
        <w:rPr>
          <w:rFonts w:cs="Arial"/>
          <w:szCs w:val="24"/>
        </w:rPr>
      </w:pPr>
      <w:r w:rsidRPr="0044579A">
        <w:rPr>
          <w:rFonts w:cs="Arial"/>
          <w:szCs w:val="24"/>
        </w:rPr>
        <w:t>2</w:t>
      </w:r>
      <w:r w:rsidR="00F12B78" w:rsidRPr="0044579A">
        <w:rPr>
          <w:rFonts w:cs="Arial"/>
          <w:szCs w:val="24"/>
        </w:rPr>
        <w:t xml:space="preserve">. </w:t>
      </w:r>
      <w:proofErr w:type="spellStart"/>
      <w:r w:rsidR="00F12B78" w:rsidRPr="0044579A">
        <w:rPr>
          <w:rFonts w:cs="Arial"/>
          <w:szCs w:val="24"/>
        </w:rPr>
        <w:t>Miglietta</w:t>
      </w:r>
      <w:proofErr w:type="spellEnd"/>
      <w:r w:rsidR="00F12B78" w:rsidRPr="0044579A">
        <w:rPr>
          <w:rFonts w:cs="Arial"/>
          <w:szCs w:val="24"/>
        </w:rPr>
        <w:t xml:space="preserve">, F. </w:t>
      </w:r>
      <w:r w:rsidR="00F12B78" w:rsidRPr="0044579A">
        <w:rPr>
          <w:rFonts w:cs="Arial"/>
          <w:i/>
          <w:szCs w:val="24"/>
        </w:rPr>
        <w:t>et al.</w:t>
      </w:r>
      <w:r w:rsidR="00F12B78" w:rsidRPr="0044579A">
        <w:rPr>
          <w:rFonts w:cs="Arial"/>
          <w:iCs/>
          <w:szCs w:val="24"/>
        </w:rPr>
        <w:t xml:space="preserve"> </w:t>
      </w:r>
      <w:r w:rsidR="00F12B78" w:rsidRPr="0044579A">
        <w:rPr>
          <w:rFonts w:cs="Arial"/>
          <w:szCs w:val="24"/>
        </w:rPr>
        <w:t xml:space="preserve">Evolution of HER2-low expression from primary to recurrent breast cancer. </w:t>
      </w:r>
      <w:r w:rsidR="00F12B78" w:rsidRPr="0044579A">
        <w:rPr>
          <w:rFonts w:cs="Arial"/>
          <w:i/>
          <w:szCs w:val="24"/>
        </w:rPr>
        <w:t xml:space="preserve">NPJ Breast Cancer </w:t>
      </w:r>
      <w:r w:rsidR="00F12B78" w:rsidRPr="0044579A">
        <w:rPr>
          <w:rFonts w:cs="Arial"/>
          <w:b/>
          <w:szCs w:val="24"/>
        </w:rPr>
        <w:t>7</w:t>
      </w:r>
      <w:r w:rsidR="00F12B78" w:rsidRPr="0044579A">
        <w:rPr>
          <w:rFonts w:cs="Arial"/>
          <w:szCs w:val="24"/>
        </w:rPr>
        <w:t xml:space="preserve">, </w:t>
      </w:r>
      <w:r w:rsidR="00D96F66" w:rsidRPr="0044579A">
        <w:rPr>
          <w:rFonts w:cs="Arial"/>
          <w:szCs w:val="24"/>
        </w:rPr>
        <w:t>137</w:t>
      </w:r>
      <w:r w:rsidR="00F12B78" w:rsidRPr="0044579A">
        <w:rPr>
          <w:rFonts w:cs="Arial"/>
          <w:szCs w:val="24"/>
        </w:rPr>
        <w:t xml:space="preserve"> (2021).</w:t>
      </w:r>
    </w:p>
    <w:p w14:paraId="328585C5" w14:textId="02E40CB5" w:rsidR="00794035" w:rsidRPr="0044579A" w:rsidRDefault="00794035" w:rsidP="001169CF">
      <w:pPr>
        <w:pStyle w:val="ListParagraph"/>
        <w:tabs>
          <w:tab w:val="left" w:pos="284"/>
        </w:tabs>
        <w:ind w:left="284" w:right="148" w:hanging="284"/>
        <w:rPr>
          <w:rFonts w:cs="Arial"/>
          <w:szCs w:val="24"/>
        </w:rPr>
      </w:pPr>
      <w:r w:rsidRPr="0044579A">
        <w:rPr>
          <w:rFonts w:cs="Arial"/>
          <w:szCs w:val="24"/>
        </w:rPr>
        <w:t xml:space="preserve">3. Rebelatto, M. C. </w:t>
      </w:r>
      <w:r w:rsidRPr="0044579A">
        <w:rPr>
          <w:rFonts w:cs="Arial"/>
          <w:i/>
          <w:szCs w:val="24"/>
        </w:rPr>
        <w:t>et al</w:t>
      </w:r>
      <w:r w:rsidRPr="0044579A">
        <w:rPr>
          <w:rFonts w:cs="Arial"/>
          <w:iCs/>
          <w:szCs w:val="24"/>
        </w:rPr>
        <w:t xml:space="preserve">. </w:t>
      </w:r>
      <w:r w:rsidRPr="0044579A">
        <w:rPr>
          <w:rFonts w:cs="Arial"/>
          <w:szCs w:val="24"/>
        </w:rPr>
        <w:t xml:space="preserve">Development of a programmed cell death ligand-1 immunohistochemical assay validated for analysis of non-small cell lung cancer and head and neck squamous cell carcinoma. </w:t>
      </w:r>
      <w:proofErr w:type="spellStart"/>
      <w:r w:rsidRPr="0044579A">
        <w:rPr>
          <w:rFonts w:cs="Arial"/>
          <w:i/>
          <w:szCs w:val="24"/>
        </w:rPr>
        <w:t>Diagn</w:t>
      </w:r>
      <w:proofErr w:type="spellEnd"/>
      <w:r w:rsidRPr="0044579A">
        <w:rPr>
          <w:rFonts w:cs="Arial"/>
          <w:i/>
          <w:szCs w:val="24"/>
        </w:rPr>
        <w:t xml:space="preserve">. </w:t>
      </w:r>
      <w:proofErr w:type="spellStart"/>
      <w:r w:rsidRPr="0044579A">
        <w:rPr>
          <w:rFonts w:cs="Arial"/>
          <w:i/>
          <w:szCs w:val="24"/>
        </w:rPr>
        <w:t>Pathol</w:t>
      </w:r>
      <w:proofErr w:type="spellEnd"/>
      <w:r w:rsidRPr="0044579A">
        <w:rPr>
          <w:rFonts w:cs="Arial"/>
          <w:i/>
          <w:szCs w:val="24"/>
        </w:rPr>
        <w:t xml:space="preserve">. </w:t>
      </w:r>
      <w:r w:rsidRPr="0044579A">
        <w:rPr>
          <w:rFonts w:cs="Arial"/>
          <w:b/>
          <w:szCs w:val="24"/>
        </w:rPr>
        <w:t>11</w:t>
      </w:r>
      <w:r w:rsidRPr="0044579A">
        <w:rPr>
          <w:rFonts w:cs="Arial"/>
          <w:szCs w:val="24"/>
        </w:rPr>
        <w:t>, 95 (2016).</w:t>
      </w:r>
    </w:p>
    <w:p w14:paraId="6A5E44B7" w14:textId="71F435C5" w:rsidR="00F12B78" w:rsidRPr="0044579A" w:rsidRDefault="00794035" w:rsidP="001169CF">
      <w:pPr>
        <w:pStyle w:val="ListParagraph"/>
        <w:tabs>
          <w:tab w:val="left" w:pos="284"/>
        </w:tabs>
        <w:ind w:left="284" w:right="136" w:hanging="284"/>
        <w:rPr>
          <w:rFonts w:cs="Arial"/>
          <w:szCs w:val="24"/>
        </w:rPr>
      </w:pPr>
      <w:r w:rsidRPr="0044579A">
        <w:rPr>
          <w:rFonts w:cs="Arial"/>
          <w:szCs w:val="24"/>
        </w:rPr>
        <w:t>4</w:t>
      </w:r>
      <w:r w:rsidR="00F12B78" w:rsidRPr="0044579A">
        <w:rPr>
          <w:rFonts w:cs="Arial"/>
          <w:szCs w:val="24"/>
        </w:rPr>
        <w:t xml:space="preserve">. Kapil, A. </w:t>
      </w:r>
      <w:r w:rsidR="00F12B78" w:rsidRPr="0044579A">
        <w:rPr>
          <w:rFonts w:cs="Arial"/>
          <w:i/>
          <w:szCs w:val="24"/>
        </w:rPr>
        <w:t>et al</w:t>
      </w:r>
      <w:r w:rsidR="00F12B78" w:rsidRPr="0044579A">
        <w:rPr>
          <w:rFonts w:cs="Arial"/>
          <w:iCs/>
          <w:szCs w:val="24"/>
        </w:rPr>
        <w:t>. D</w:t>
      </w:r>
      <w:r w:rsidR="00F12B78" w:rsidRPr="0044579A">
        <w:rPr>
          <w:rFonts w:cs="Arial"/>
          <w:szCs w:val="24"/>
        </w:rPr>
        <w:t xml:space="preserve">omain adaptation-based deep learning for automated tumor cell (TC) scoring and survival analysis on PD-L1 stained tissue images. </w:t>
      </w:r>
      <w:r w:rsidR="00F12B78" w:rsidRPr="0044579A">
        <w:rPr>
          <w:rFonts w:cs="Arial"/>
          <w:i/>
          <w:szCs w:val="24"/>
        </w:rPr>
        <w:t xml:space="preserve">IEEE Trans. Med. Imaging </w:t>
      </w:r>
      <w:r w:rsidR="00F12B78" w:rsidRPr="0044579A">
        <w:rPr>
          <w:rFonts w:cs="Arial"/>
          <w:b/>
          <w:szCs w:val="24"/>
        </w:rPr>
        <w:t>40</w:t>
      </w:r>
      <w:r w:rsidR="00F12B78" w:rsidRPr="0044579A">
        <w:rPr>
          <w:rFonts w:cs="Arial"/>
          <w:szCs w:val="24"/>
        </w:rPr>
        <w:t>, 2513</w:t>
      </w:r>
      <w:r w:rsidR="00B168CD" w:rsidRPr="0044579A">
        <w:rPr>
          <w:rFonts w:cs="Arial"/>
          <w:szCs w:val="24"/>
        </w:rPr>
        <w:t>–</w:t>
      </w:r>
      <w:r w:rsidR="00F12B78" w:rsidRPr="0044579A">
        <w:rPr>
          <w:rFonts w:cs="Arial"/>
          <w:szCs w:val="24"/>
        </w:rPr>
        <w:t>2523 (2021).</w:t>
      </w:r>
    </w:p>
    <w:p w14:paraId="457B301B" w14:textId="77449452" w:rsidR="00794035" w:rsidRPr="0044579A" w:rsidRDefault="00794035" w:rsidP="001169CF">
      <w:pPr>
        <w:pStyle w:val="ListParagraph"/>
        <w:tabs>
          <w:tab w:val="left" w:pos="284"/>
        </w:tabs>
        <w:ind w:left="284" w:right="151" w:hanging="284"/>
        <w:rPr>
          <w:rFonts w:cs="Arial"/>
          <w:szCs w:val="24"/>
        </w:rPr>
      </w:pPr>
      <w:r w:rsidRPr="0044579A">
        <w:rPr>
          <w:rFonts w:cs="Arial"/>
          <w:szCs w:val="24"/>
        </w:rPr>
        <w:t xml:space="preserve">5. Van der </w:t>
      </w:r>
      <w:proofErr w:type="spellStart"/>
      <w:r w:rsidRPr="0044579A">
        <w:rPr>
          <w:rFonts w:cs="Arial"/>
          <w:szCs w:val="24"/>
        </w:rPr>
        <w:t>Laak</w:t>
      </w:r>
      <w:proofErr w:type="spellEnd"/>
      <w:r w:rsidRPr="0044579A">
        <w:rPr>
          <w:rFonts w:cs="Arial"/>
          <w:szCs w:val="24"/>
        </w:rPr>
        <w:t xml:space="preserve">, J. A., </w:t>
      </w:r>
      <w:proofErr w:type="spellStart"/>
      <w:r w:rsidRPr="0044579A">
        <w:rPr>
          <w:rFonts w:cs="Arial"/>
          <w:szCs w:val="24"/>
        </w:rPr>
        <w:t>Pahlplatz</w:t>
      </w:r>
      <w:proofErr w:type="spellEnd"/>
      <w:r w:rsidRPr="0044579A">
        <w:rPr>
          <w:rFonts w:cs="Arial"/>
          <w:szCs w:val="24"/>
        </w:rPr>
        <w:t xml:space="preserve">, M. M., </w:t>
      </w:r>
      <w:proofErr w:type="spellStart"/>
      <w:r w:rsidRPr="0044579A">
        <w:rPr>
          <w:rFonts w:cs="Arial"/>
          <w:szCs w:val="24"/>
        </w:rPr>
        <w:t>Hanselaar</w:t>
      </w:r>
      <w:proofErr w:type="spellEnd"/>
      <w:r w:rsidRPr="0044579A">
        <w:rPr>
          <w:rFonts w:cs="Arial"/>
          <w:szCs w:val="24"/>
        </w:rPr>
        <w:t xml:space="preserve">, A. G. &amp; de Wilde, P. C. </w:t>
      </w:r>
      <w:r w:rsidR="00FC0DA7" w:rsidRPr="0044579A">
        <w:rPr>
          <w:rFonts w:cs="Arial"/>
          <w:szCs w:val="24"/>
        </w:rPr>
        <w:br/>
      </w:r>
      <w:r w:rsidRPr="0044579A">
        <w:rPr>
          <w:rFonts w:cs="Arial"/>
          <w:szCs w:val="24"/>
        </w:rPr>
        <w:t xml:space="preserve">Hue-saturation-density (HSD) model for stain recognition in digital images from transmitted light microscopy. </w:t>
      </w:r>
      <w:r w:rsidRPr="0044579A">
        <w:rPr>
          <w:rFonts w:cs="Arial"/>
          <w:i/>
          <w:szCs w:val="24"/>
        </w:rPr>
        <w:t xml:space="preserve">Cytometry </w:t>
      </w:r>
      <w:r w:rsidRPr="0044579A">
        <w:rPr>
          <w:rFonts w:cs="Arial"/>
          <w:b/>
          <w:szCs w:val="24"/>
        </w:rPr>
        <w:t>39</w:t>
      </w:r>
      <w:r w:rsidRPr="0044579A">
        <w:rPr>
          <w:rFonts w:cs="Arial"/>
          <w:szCs w:val="24"/>
        </w:rPr>
        <w:t>, 275</w:t>
      </w:r>
      <w:r w:rsidR="00B168CD" w:rsidRPr="0044579A">
        <w:rPr>
          <w:rFonts w:cs="Arial"/>
          <w:szCs w:val="24"/>
        </w:rPr>
        <w:t>–</w:t>
      </w:r>
      <w:r w:rsidRPr="0044579A">
        <w:rPr>
          <w:rFonts w:cs="Arial"/>
          <w:szCs w:val="24"/>
        </w:rPr>
        <w:t>284 (2000).</w:t>
      </w:r>
    </w:p>
    <w:p w14:paraId="18D29490" w14:textId="05DCB21F" w:rsidR="00B26EDE" w:rsidRPr="00472EC8" w:rsidRDefault="0034227F" w:rsidP="001169CF">
      <w:pPr>
        <w:pStyle w:val="ListParagraph"/>
        <w:tabs>
          <w:tab w:val="left" w:pos="284"/>
        </w:tabs>
        <w:ind w:left="284" w:right="151" w:hanging="284"/>
        <w:rPr>
          <w:rFonts w:cs="Arial"/>
          <w:szCs w:val="24"/>
        </w:rPr>
      </w:pPr>
      <w:r w:rsidRPr="0044579A">
        <w:rPr>
          <w:rFonts w:cs="Arial"/>
          <w:szCs w:val="24"/>
        </w:rPr>
        <w:t xml:space="preserve">6. </w:t>
      </w:r>
      <w:r w:rsidRPr="0044579A">
        <w:rPr>
          <w:rFonts w:cs="Arial"/>
          <w:color w:val="212121"/>
          <w:sz w:val="26"/>
          <w:szCs w:val="26"/>
          <w:shd w:val="clear" w:color="auto" w:fill="FFFFFF"/>
        </w:rPr>
        <w:t xml:space="preserve">Yeghiazaryan V, </w:t>
      </w:r>
      <w:proofErr w:type="spellStart"/>
      <w:r w:rsidRPr="0044579A">
        <w:rPr>
          <w:rFonts w:cs="Arial"/>
          <w:color w:val="212121"/>
          <w:sz w:val="26"/>
          <w:szCs w:val="26"/>
          <w:shd w:val="clear" w:color="auto" w:fill="FFFFFF"/>
        </w:rPr>
        <w:t>Voiculescu</w:t>
      </w:r>
      <w:proofErr w:type="spellEnd"/>
      <w:r w:rsidRPr="0044579A">
        <w:rPr>
          <w:rFonts w:cs="Arial"/>
          <w:color w:val="212121"/>
          <w:sz w:val="26"/>
          <w:szCs w:val="26"/>
          <w:shd w:val="clear" w:color="auto" w:fill="FFFFFF"/>
        </w:rPr>
        <w:t xml:space="preserve"> I. Family of boundary overlap metrics for the evaluation of medical image segmentation. J Med Imaging (Bellingham). 2018 Jan;5(1):015006. </w:t>
      </w:r>
      <w:proofErr w:type="spellStart"/>
      <w:r w:rsidRPr="0044579A">
        <w:rPr>
          <w:rFonts w:cs="Arial"/>
          <w:color w:val="212121"/>
          <w:sz w:val="26"/>
          <w:szCs w:val="26"/>
          <w:shd w:val="clear" w:color="auto" w:fill="FFFFFF"/>
        </w:rPr>
        <w:t>doi</w:t>
      </w:r>
      <w:proofErr w:type="spellEnd"/>
      <w:r w:rsidRPr="0044579A">
        <w:rPr>
          <w:rFonts w:cs="Arial"/>
          <w:color w:val="212121"/>
          <w:sz w:val="26"/>
          <w:szCs w:val="26"/>
          <w:shd w:val="clear" w:color="auto" w:fill="FFFFFF"/>
        </w:rPr>
        <w:t xml:space="preserve">: 10.1117/1.JMI.5.1.015006. </w:t>
      </w:r>
      <w:proofErr w:type="spellStart"/>
      <w:r w:rsidRPr="0044579A">
        <w:rPr>
          <w:rFonts w:cs="Arial"/>
          <w:color w:val="212121"/>
          <w:sz w:val="26"/>
          <w:szCs w:val="26"/>
          <w:shd w:val="clear" w:color="auto" w:fill="FFFFFF"/>
        </w:rPr>
        <w:t>Epub</w:t>
      </w:r>
      <w:proofErr w:type="spellEnd"/>
      <w:r w:rsidRPr="0044579A">
        <w:rPr>
          <w:rFonts w:cs="Arial"/>
          <w:color w:val="212121"/>
          <w:sz w:val="26"/>
          <w:szCs w:val="26"/>
          <w:shd w:val="clear" w:color="auto" w:fill="FFFFFF"/>
        </w:rPr>
        <w:t xml:space="preserve"> 2018 Feb 19. PMID: 29487883; PMCID: PMC5817231.</w:t>
      </w:r>
    </w:p>
    <w:p w14:paraId="44F2CBAD" w14:textId="3D7EFEAA" w:rsidR="00F12B78" w:rsidRPr="00472EC8" w:rsidRDefault="00F12B78" w:rsidP="00270650">
      <w:pPr>
        <w:pStyle w:val="ListParagraph"/>
        <w:ind w:left="0" w:right="151" w:firstLine="0"/>
        <w:rPr>
          <w:rFonts w:cs="Arial"/>
          <w:szCs w:val="24"/>
        </w:rPr>
      </w:pPr>
    </w:p>
    <w:p w14:paraId="126877F9" w14:textId="5F720FBF" w:rsidR="00F12B78" w:rsidRPr="00472EC8" w:rsidRDefault="00F12B78" w:rsidP="007707D1"/>
    <w:sectPr w:rsidR="00F12B78" w:rsidRPr="00472EC8" w:rsidSect="00A40192">
      <w:pgSz w:w="12240" w:h="15840"/>
      <w:pgMar w:top="1440" w:right="1440" w:bottom="1440" w:left="1440" w:header="0" w:footer="6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80241" w14:textId="77777777" w:rsidR="00DC38C1" w:rsidRDefault="00DC38C1">
      <w:r>
        <w:separator/>
      </w:r>
    </w:p>
  </w:endnote>
  <w:endnote w:type="continuationSeparator" w:id="0">
    <w:p w14:paraId="62A7F0A5" w14:textId="77777777" w:rsidR="00DC38C1" w:rsidRDefault="00DC38C1">
      <w:r>
        <w:continuationSeparator/>
      </w:r>
    </w:p>
  </w:endnote>
  <w:endnote w:type="continuationNotice" w:id="1">
    <w:p w14:paraId="10E79C37" w14:textId="77777777" w:rsidR="00DC38C1" w:rsidRDefault="00DC38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386807"/>
      <w:docPartObj>
        <w:docPartGallery w:val="Page Numbers (Bottom of Page)"/>
        <w:docPartUnique/>
      </w:docPartObj>
    </w:sdtPr>
    <w:sdtEndPr>
      <w:rPr>
        <w:noProof/>
      </w:rPr>
    </w:sdtEndPr>
    <w:sdtContent>
      <w:p w14:paraId="63E35608" w14:textId="6387F4C4" w:rsidR="00042FF2" w:rsidRDefault="00042F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2EE649" w14:textId="21C37EC7" w:rsidR="00AE1560" w:rsidRDefault="00AE156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9FFA" w14:textId="77777777" w:rsidR="00DC38C1" w:rsidRDefault="00DC38C1">
      <w:r>
        <w:separator/>
      </w:r>
    </w:p>
  </w:footnote>
  <w:footnote w:type="continuationSeparator" w:id="0">
    <w:p w14:paraId="6E3C4E56" w14:textId="77777777" w:rsidR="00DC38C1" w:rsidRDefault="00DC38C1">
      <w:r>
        <w:continuationSeparator/>
      </w:r>
    </w:p>
  </w:footnote>
  <w:footnote w:type="continuationNotice" w:id="1">
    <w:p w14:paraId="0D04A02C" w14:textId="77777777" w:rsidR="00DC38C1" w:rsidRDefault="00DC38C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0173"/>
    <w:multiLevelType w:val="hybridMultilevel"/>
    <w:tmpl w:val="790AD284"/>
    <w:lvl w:ilvl="0" w:tplc="AF18A8F2">
      <w:start w:val="1"/>
      <w:numFmt w:val="lowerLetter"/>
      <w:lvlText w:val="(%1)"/>
      <w:lvlJc w:val="left"/>
      <w:pPr>
        <w:ind w:left="278" w:hanging="269"/>
        <w:jc w:val="right"/>
      </w:pPr>
      <w:rPr>
        <w:rFonts w:ascii="Arial" w:eastAsia="Arial" w:hAnsi="Arial" w:cs="Arial" w:hint="default"/>
        <w:b/>
        <w:bCs/>
        <w:i w:val="0"/>
        <w:iCs w:val="0"/>
        <w:w w:val="99"/>
        <w:sz w:val="18"/>
        <w:szCs w:val="18"/>
        <w:lang w:val="en-US" w:eastAsia="en-US" w:bidi="ar-SA"/>
      </w:rPr>
    </w:lvl>
    <w:lvl w:ilvl="1" w:tplc="F3FA5A8E">
      <w:start w:val="1"/>
      <w:numFmt w:val="lowerLetter"/>
      <w:lvlText w:val="(%2)"/>
      <w:lvlJc w:val="left"/>
      <w:pPr>
        <w:ind w:left="2851" w:hanging="269"/>
        <w:jc w:val="right"/>
      </w:pPr>
      <w:rPr>
        <w:rFonts w:ascii="Arial" w:eastAsia="Arial" w:hAnsi="Arial" w:cs="Arial" w:hint="default"/>
        <w:b/>
        <w:bCs/>
        <w:i w:val="0"/>
        <w:iCs w:val="0"/>
        <w:w w:val="99"/>
        <w:sz w:val="18"/>
        <w:szCs w:val="18"/>
        <w:lang w:val="en-US" w:eastAsia="en-US" w:bidi="ar-SA"/>
      </w:rPr>
    </w:lvl>
    <w:lvl w:ilvl="2" w:tplc="5C989F34">
      <w:numFmt w:val="bullet"/>
      <w:lvlText w:val="•"/>
      <w:lvlJc w:val="left"/>
      <w:pPr>
        <w:ind w:left="2981" w:hanging="269"/>
      </w:pPr>
      <w:rPr>
        <w:rFonts w:hint="default"/>
        <w:lang w:val="en-US" w:eastAsia="en-US" w:bidi="ar-SA"/>
      </w:rPr>
    </w:lvl>
    <w:lvl w:ilvl="3" w:tplc="2DD4874E">
      <w:numFmt w:val="bullet"/>
      <w:lvlText w:val="•"/>
      <w:lvlJc w:val="left"/>
      <w:pPr>
        <w:ind w:left="3102" w:hanging="269"/>
      </w:pPr>
      <w:rPr>
        <w:rFonts w:hint="default"/>
        <w:lang w:val="en-US" w:eastAsia="en-US" w:bidi="ar-SA"/>
      </w:rPr>
    </w:lvl>
    <w:lvl w:ilvl="4" w:tplc="49DE61BA">
      <w:numFmt w:val="bullet"/>
      <w:lvlText w:val="•"/>
      <w:lvlJc w:val="left"/>
      <w:pPr>
        <w:ind w:left="3223" w:hanging="269"/>
      </w:pPr>
      <w:rPr>
        <w:rFonts w:hint="default"/>
        <w:lang w:val="en-US" w:eastAsia="en-US" w:bidi="ar-SA"/>
      </w:rPr>
    </w:lvl>
    <w:lvl w:ilvl="5" w:tplc="BB986C74">
      <w:numFmt w:val="bullet"/>
      <w:lvlText w:val="•"/>
      <w:lvlJc w:val="left"/>
      <w:pPr>
        <w:ind w:left="3344" w:hanging="269"/>
      </w:pPr>
      <w:rPr>
        <w:rFonts w:hint="default"/>
        <w:lang w:val="en-US" w:eastAsia="en-US" w:bidi="ar-SA"/>
      </w:rPr>
    </w:lvl>
    <w:lvl w:ilvl="6" w:tplc="1678787C">
      <w:numFmt w:val="bullet"/>
      <w:lvlText w:val="•"/>
      <w:lvlJc w:val="left"/>
      <w:pPr>
        <w:ind w:left="3465" w:hanging="269"/>
      </w:pPr>
      <w:rPr>
        <w:rFonts w:hint="default"/>
        <w:lang w:val="en-US" w:eastAsia="en-US" w:bidi="ar-SA"/>
      </w:rPr>
    </w:lvl>
    <w:lvl w:ilvl="7" w:tplc="99DABC04">
      <w:numFmt w:val="bullet"/>
      <w:lvlText w:val="•"/>
      <w:lvlJc w:val="left"/>
      <w:pPr>
        <w:ind w:left="3586" w:hanging="269"/>
      </w:pPr>
      <w:rPr>
        <w:rFonts w:hint="default"/>
        <w:lang w:val="en-US" w:eastAsia="en-US" w:bidi="ar-SA"/>
      </w:rPr>
    </w:lvl>
    <w:lvl w:ilvl="8" w:tplc="850EE008">
      <w:numFmt w:val="bullet"/>
      <w:lvlText w:val="•"/>
      <w:lvlJc w:val="left"/>
      <w:pPr>
        <w:ind w:left="3707" w:hanging="269"/>
      </w:pPr>
      <w:rPr>
        <w:rFonts w:hint="default"/>
        <w:lang w:val="en-US" w:eastAsia="en-US" w:bidi="ar-SA"/>
      </w:rPr>
    </w:lvl>
  </w:abstractNum>
  <w:abstractNum w:abstractNumId="1" w15:restartNumberingAfterBreak="0">
    <w:nsid w:val="04420A92"/>
    <w:multiLevelType w:val="multilevel"/>
    <w:tmpl w:val="8BE2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971DF"/>
    <w:multiLevelType w:val="multilevel"/>
    <w:tmpl w:val="78B4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C3C99"/>
    <w:multiLevelType w:val="hybridMultilevel"/>
    <w:tmpl w:val="F35C9648"/>
    <w:lvl w:ilvl="0" w:tplc="8200BE90">
      <w:start w:val="1"/>
      <w:numFmt w:val="lowerLetter"/>
      <w:lvlText w:val="(%1)"/>
      <w:lvlJc w:val="left"/>
      <w:pPr>
        <w:ind w:left="367" w:hanging="360"/>
      </w:pPr>
      <w:rPr>
        <w:rFonts w:hint="default"/>
        <w:b/>
        <w:i w:val="0"/>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 w15:restartNumberingAfterBreak="0">
    <w:nsid w:val="0E2B32F6"/>
    <w:multiLevelType w:val="multilevel"/>
    <w:tmpl w:val="89AABAFA"/>
    <w:lvl w:ilvl="0">
      <w:start w:val="1"/>
      <w:numFmt w:val="decimal"/>
      <w:lvlText w:val="%1"/>
      <w:lvlJc w:val="left"/>
      <w:pPr>
        <w:ind w:left="386" w:hanging="253"/>
      </w:pPr>
      <w:rPr>
        <w:rFonts w:ascii="Arial" w:eastAsia="Arial" w:hAnsi="Arial" w:cs="Arial" w:hint="default"/>
        <w:b/>
        <w:bCs/>
        <w:i w:val="0"/>
        <w:iCs w:val="0"/>
        <w:w w:val="99"/>
        <w:sz w:val="24"/>
        <w:szCs w:val="24"/>
        <w:lang w:val="en-US" w:eastAsia="en-US" w:bidi="ar-SA"/>
      </w:rPr>
    </w:lvl>
    <w:lvl w:ilvl="1">
      <w:start w:val="1"/>
      <w:numFmt w:val="decimal"/>
      <w:lvlText w:val="%1.%2"/>
      <w:lvlJc w:val="left"/>
      <w:pPr>
        <w:ind w:left="510" w:hanging="377"/>
      </w:pPr>
      <w:rPr>
        <w:rFonts w:ascii="Arial" w:eastAsia="Arial" w:hAnsi="Arial" w:cs="Arial" w:hint="default"/>
        <w:b/>
        <w:bCs/>
        <w:i w:val="0"/>
        <w:iCs w:val="0"/>
        <w:w w:val="99"/>
        <w:sz w:val="20"/>
        <w:szCs w:val="20"/>
        <w:lang w:val="en-US" w:eastAsia="en-US" w:bidi="ar-SA"/>
      </w:rPr>
    </w:lvl>
    <w:lvl w:ilvl="2">
      <w:start w:val="1"/>
      <w:numFmt w:val="decimal"/>
      <w:lvlText w:val="%1.%2.%3"/>
      <w:lvlJc w:val="left"/>
      <w:pPr>
        <w:ind w:left="622" w:hanging="489"/>
      </w:pPr>
      <w:rPr>
        <w:rFonts w:ascii="Arial" w:eastAsia="Arial" w:hAnsi="Arial" w:cs="Arial" w:hint="default"/>
        <w:b/>
        <w:bCs/>
        <w:i/>
        <w:iCs/>
        <w:w w:val="99"/>
        <w:sz w:val="18"/>
        <w:szCs w:val="18"/>
        <w:lang w:val="en-US" w:eastAsia="en-US" w:bidi="ar-SA"/>
      </w:rPr>
    </w:lvl>
    <w:lvl w:ilvl="3">
      <w:numFmt w:val="bullet"/>
      <w:lvlText w:val="•"/>
      <w:lvlJc w:val="left"/>
      <w:pPr>
        <w:ind w:left="632" w:hanging="170"/>
      </w:pPr>
      <w:rPr>
        <w:rFonts w:ascii="Times New Roman" w:eastAsia="Times New Roman" w:hAnsi="Times New Roman" w:cs="Times New Roman" w:hint="default"/>
        <w:b w:val="0"/>
        <w:bCs w:val="0"/>
        <w:i w:val="0"/>
        <w:iCs w:val="0"/>
        <w:w w:val="99"/>
        <w:sz w:val="20"/>
        <w:szCs w:val="20"/>
        <w:lang w:val="en-US" w:eastAsia="en-US" w:bidi="ar-SA"/>
      </w:rPr>
    </w:lvl>
    <w:lvl w:ilvl="4">
      <w:numFmt w:val="bullet"/>
      <w:lvlText w:val="•"/>
      <w:lvlJc w:val="left"/>
      <w:pPr>
        <w:ind w:left="2014" w:hanging="170"/>
      </w:pPr>
      <w:rPr>
        <w:rFonts w:hint="default"/>
        <w:lang w:val="en-US" w:eastAsia="en-US" w:bidi="ar-SA"/>
      </w:rPr>
    </w:lvl>
    <w:lvl w:ilvl="5">
      <w:numFmt w:val="bullet"/>
      <w:lvlText w:val="•"/>
      <w:lvlJc w:val="left"/>
      <w:pPr>
        <w:ind w:left="3388" w:hanging="170"/>
      </w:pPr>
      <w:rPr>
        <w:rFonts w:hint="default"/>
        <w:lang w:val="en-US" w:eastAsia="en-US" w:bidi="ar-SA"/>
      </w:rPr>
    </w:lvl>
    <w:lvl w:ilvl="6">
      <w:numFmt w:val="bullet"/>
      <w:lvlText w:val="•"/>
      <w:lvlJc w:val="left"/>
      <w:pPr>
        <w:ind w:left="4762" w:hanging="170"/>
      </w:pPr>
      <w:rPr>
        <w:rFonts w:hint="default"/>
        <w:lang w:val="en-US" w:eastAsia="en-US" w:bidi="ar-SA"/>
      </w:rPr>
    </w:lvl>
    <w:lvl w:ilvl="7">
      <w:numFmt w:val="bullet"/>
      <w:lvlText w:val="•"/>
      <w:lvlJc w:val="left"/>
      <w:pPr>
        <w:ind w:left="6137" w:hanging="170"/>
      </w:pPr>
      <w:rPr>
        <w:rFonts w:hint="default"/>
        <w:lang w:val="en-US" w:eastAsia="en-US" w:bidi="ar-SA"/>
      </w:rPr>
    </w:lvl>
    <w:lvl w:ilvl="8">
      <w:numFmt w:val="bullet"/>
      <w:lvlText w:val="•"/>
      <w:lvlJc w:val="left"/>
      <w:pPr>
        <w:ind w:left="7511" w:hanging="170"/>
      </w:pPr>
      <w:rPr>
        <w:rFonts w:hint="default"/>
        <w:lang w:val="en-US" w:eastAsia="en-US" w:bidi="ar-SA"/>
      </w:rPr>
    </w:lvl>
  </w:abstractNum>
  <w:abstractNum w:abstractNumId="5" w15:restartNumberingAfterBreak="0">
    <w:nsid w:val="0F6B238A"/>
    <w:multiLevelType w:val="hybridMultilevel"/>
    <w:tmpl w:val="1A44175A"/>
    <w:lvl w:ilvl="0" w:tplc="0409000F">
      <w:start w:val="1"/>
      <w:numFmt w:val="decimal"/>
      <w:lvlText w:val="%1."/>
      <w:lvlJc w:val="left"/>
      <w:pPr>
        <w:ind w:left="853" w:hanging="360"/>
      </w:p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6" w15:restartNumberingAfterBreak="0">
    <w:nsid w:val="0FC66457"/>
    <w:multiLevelType w:val="multilevel"/>
    <w:tmpl w:val="39FE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44D45"/>
    <w:multiLevelType w:val="hybridMultilevel"/>
    <w:tmpl w:val="9E98DD4A"/>
    <w:lvl w:ilvl="0" w:tplc="C03098A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EA97D28"/>
    <w:multiLevelType w:val="multilevel"/>
    <w:tmpl w:val="9924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D73DF"/>
    <w:multiLevelType w:val="multilevel"/>
    <w:tmpl w:val="F702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BE4E81"/>
    <w:multiLevelType w:val="multilevel"/>
    <w:tmpl w:val="DF0A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E3874"/>
    <w:multiLevelType w:val="hybridMultilevel"/>
    <w:tmpl w:val="8FE24228"/>
    <w:lvl w:ilvl="0" w:tplc="0FAA348E">
      <w:start w:val="1"/>
      <w:numFmt w:val="decimal"/>
      <w:lvlText w:val="%1."/>
      <w:lvlJc w:val="left"/>
      <w:pPr>
        <w:ind w:left="482" w:hanging="250"/>
        <w:jc w:val="right"/>
      </w:pPr>
      <w:rPr>
        <w:rFonts w:ascii="Arial" w:hAnsi="Arial" w:cs="Times New Roman" w:hint="default"/>
        <w:b w:val="0"/>
        <w:bCs/>
        <w:i w:val="0"/>
        <w:iCs w:val="0"/>
        <w:w w:val="99"/>
        <w:sz w:val="24"/>
        <w:szCs w:val="20"/>
        <w:lang w:val="en-US" w:eastAsia="en-US" w:bidi="ar-SA"/>
      </w:rPr>
    </w:lvl>
    <w:lvl w:ilvl="1" w:tplc="F6EE9788">
      <w:numFmt w:val="bullet"/>
      <w:lvlText w:val="•"/>
      <w:lvlJc w:val="left"/>
      <w:pPr>
        <w:ind w:left="1458" w:hanging="250"/>
      </w:pPr>
      <w:rPr>
        <w:rFonts w:hint="default"/>
        <w:lang w:val="en-US" w:eastAsia="en-US" w:bidi="ar-SA"/>
      </w:rPr>
    </w:lvl>
    <w:lvl w:ilvl="2" w:tplc="EA4864C4">
      <w:numFmt w:val="bullet"/>
      <w:lvlText w:val="•"/>
      <w:lvlJc w:val="left"/>
      <w:pPr>
        <w:ind w:left="2436" w:hanging="250"/>
      </w:pPr>
      <w:rPr>
        <w:rFonts w:hint="default"/>
        <w:lang w:val="en-US" w:eastAsia="en-US" w:bidi="ar-SA"/>
      </w:rPr>
    </w:lvl>
    <w:lvl w:ilvl="3" w:tplc="1C24EF0E">
      <w:numFmt w:val="bullet"/>
      <w:lvlText w:val="•"/>
      <w:lvlJc w:val="left"/>
      <w:pPr>
        <w:ind w:left="3414" w:hanging="250"/>
      </w:pPr>
      <w:rPr>
        <w:rFonts w:hint="default"/>
        <w:lang w:val="en-US" w:eastAsia="en-US" w:bidi="ar-SA"/>
      </w:rPr>
    </w:lvl>
    <w:lvl w:ilvl="4" w:tplc="A1DCEEF6">
      <w:numFmt w:val="bullet"/>
      <w:lvlText w:val="•"/>
      <w:lvlJc w:val="left"/>
      <w:pPr>
        <w:ind w:left="4392" w:hanging="250"/>
      </w:pPr>
      <w:rPr>
        <w:rFonts w:hint="default"/>
        <w:lang w:val="en-US" w:eastAsia="en-US" w:bidi="ar-SA"/>
      </w:rPr>
    </w:lvl>
    <w:lvl w:ilvl="5" w:tplc="05B2F222">
      <w:numFmt w:val="bullet"/>
      <w:lvlText w:val="•"/>
      <w:lvlJc w:val="left"/>
      <w:pPr>
        <w:ind w:left="5370" w:hanging="250"/>
      </w:pPr>
      <w:rPr>
        <w:rFonts w:hint="default"/>
        <w:lang w:val="en-US" w:eastAsia="en-US" w:bidi="ar-SA"/>
      </w:rPr>
    </w:lvl>
    <w:lvl w:ilvl="6" w:tplc="87B830B4">
      <w:numFmt w:val="bullet"/>
      <w:lvlText w:val="•"/>
      <w:lvlJc w:val="left"/>
      <w:pPr>
        <w:ind w:left="6348" w:hanging="250"/>
      </w:pPr>
      <w:rPr>
        <w:rFonts w:hint="default"/>
        <w:lang w:val="en-US" w:eastAsia="en-US" w:bidi="ar-SA"/>
      </w:rPr>
    </w:lvl>
    <w:lvl w:ilvl="7" w:tplc="B5F403A6">
      <w:numFmt w:val="bullet"/>
      <w:lvlText w:val="•"/>
      <w:lvlJc w:val="left"/>
      <w:pPr>
        <w:ind w:left="7326" w:hanging="250"/>
      </w:pPr>
      <w:rPr>
        <w:rFonts w:hint="default"/>
        <w:lang w:val="en-US" w:eastAsia="en-US" w:bidi="ar-SA"/>
      </w:rPr>
    </w:lvl>
    <w:lvl w:ilvl="8" w:tplc="5100CB7A">
      <w:numFmt w:val="bullet"/>
      <w:lvlText w:val="•"/>
      <w:lvlJc w:val="left"/>
      <w:pPr>
        <w:ind w:left="8304" w:hanging="250"/>
      </w:pPr>
      <w:rPr>
        <w:rFonts w:hint="default"/>
        <w:lang w:val="en-US" w:eastAsia="en-US" w:bidi="ar-SA"/>
      </w:rPr>
    </w:lvl>
  </w:abstractNum>
  <w:abstractNum w:abstractNumId="12" w15:restartNumberingAfterBreak="0">
    <w:nsid w:val="52653FEB"/>
    <w:multiLevelType w:val="hybridMultilevel"/>
    <w:tmpl w:val="C8BA2DD8"/>
    <w:lvl w:ilvl="0" w:tplc="34D2B28C">
      <w:start w:val="2"/>
      <w:numFmt w:val="lowerLetter"/>
      <w:lvlText w:val="%1)"/>
      <w:lvlJc w:val="left"/>
      <w:pPr>
        <w:ind w:left="126" w:hanging="164"/>
      </w:pPr>
      <w:rPr>
        <w:rFonts w:ascii="Times New Roman" w:eastAsia="Times New Roman" w:hAnsi="Times New Roman" w:cs="Times New Roman" w:hint="default"/>
        <w:b w:val="0"/>
        <w:bCs w:val="0"/>
        <w:i w:val="0"/>
        <w:iCs w:val="0"/>
        <w:w w:val="97"/>
        <w:sz w:val="18"/>
        <w:szCs w:val="18"/>
        <w:lang w:val="en-US" w:eastAsia="en-US" w:bidi="ar-SA"/>
      </w:rPr>
    </w:lvl>
    <w:lvl w:ilvl="1" w:tplc="5C64C522">
      <w:numFmt w:val="bullet"/>
      <w:lvlText w:val="•"/>
      <w:lvlJc w:val="left"/>
      <w:pPr>
        <w:ind w:left="1134" w:hanging="164"/>
      </w:pPr>
      <w:rPr>
        <w:rFonts w:hint="default"/>
        <w:lang w:val="en-US" w:eastAsia="en-US" w:bidi="ar-SA"/>
      </w:rPr>
    </w:lvl>
    <w:lvl w:ilvl="2" w:tplc="1D0A5D28">
      <w:numFmt w:val="bullet"/>
      <w:lvlText w:val="•"/>
      <w:lvlJc w:val="left"/>
      <w:pPr>
        <w:ind w:left="2148" w:hanging="164"/>
      </w:pPr>
      <w:rPr>
        <w:rFonts w:hint="default"/>
        <w:lang w:val="en-US" w:eastAsia="en-US" w:bidi="ar-SA"/>
      </w:rPr>
    </w:lvl>
    <w:lvl w:ilvl="3" w:tplc="6002A5E0">
      <w:numFmt w:val="bullet"/>
      <w:lvlText w:val="•"/>
      <w:lvlJc w:val="left"/>
      <w:pPr>
        <w:ind w:left="3162" w:hanging="164"/>
      </w:pPr>
      <w:rPr>
        <w:rFonts w:hint="default"/>
        <w:lang w:val="en-US" w:eastAsia="en-US" w:bidi="ar-SA"/>
      </w:rPr>
    </w:lvl>
    <w:lvl w:ilvl="4" w:tplc="2B48DBBC">
      <w:numFmt w:val="bullet"/>
      <w:lvlText w:val="•"/>
      <w:lvlJc w:val="left"/>
      <w:pPr>
        <w:ind w:left="4176" w:hanging="164"/>
      </w:pPr>
      <w:rPr>
        <w:rFonts w:hint="default"/>
        <w:lang w:val="en-US" w:eastAsia="en-US" w:bidi="ar-SA"/>
      </w:rPr>
    </w:lvl>
    <w:lvl w:ilvl="5" w:tplc="6E26212A">
      <w:numFmt w:val="bullet"/>
      <w:lvlText w:val="•"/>
      <w:lvlJc w:val="left"/>
      <w:pPr>
        <w:ind w:left="5190" w:hanging="164"/>
      </w:pPr>
      <w:rPr>
        <w:rFonts w:hint="default"/>
        <w:lang w:val="en-US" w:eastAsia="en-US" w:bidi="ar-SA"/>
      </w:rPr>
    </w:lvl>
    <w:lvl w:ilvl="6" w:tplc="CD8ABC32">
      <w:numFmt w:val="bullet"/>
      <w:lvlText w:val="•"/>
      <w:lvlJc w:val="left"/>
      <w:pPr>
        <w:ind w:left="6204" w:hanging="164"/>
      </w:pPr>
      <w:rPr>
        <w:rFonts w:hint="default"/>
        <w:lang w:val="en-US" w:eastAsia="en-US" w:bidi="ar-SA"/>
      </w:rPr>
    </w:lvl>
    <w:lvl w:ilvl="7" w:tplc="7E0273E0">
      <w:numFmt w:val="bullet"/>
      <w:lvlText w:val="•"/>
      <w:lvlJc w:val="left"/>
      <w:pPr>
        <w:ind w:left="7218" w:hanging="164"/>
      </w:pPr>
      <w:rPr>
        <w:rFonts w:hint="default"/>
        <w:lang w:val="en-US" w:eastAsia="en-US" w:bidi="ar-SA"/>
      </w:rPr>
    </w:lvl>
    <w:lvl w:ilvl="8" w:tplc="BE6835A4">
      <w:numFmt w:val="bullet"/>
      <w:lvlText w:val="•"/>
      <w:lvlJc w:val="left"/>
      <w:pPr>
        <w:ind w:left="8232" w:hanging="164"/>
      </w:pPr>
      <w:rPr>
        <w:rFonts w:hint="default"/>
        <w:lang w:val="en-US" w:eastAsia="en-US" w:bidi="ar-SA"/>
      </w:rPr>
    </w:lvl>
  </w:abstractNum>
  <w:abstractNum w:abstractNumId="13" w15:restartNumberingAfterBreak="0">
    <w:nsid w:val="55EE4362"/>
    <w:multiLevelType w:val="multilevel"/>
    <w:tmpl w:val="86D6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3678D"/>
    <w:multiLevelType w:val="hybridMultilevel"/>
    <w:tmpl w:val="64C8B95C"/>
    <w:lvl w:ilvl="0" w:tplc="8A9E5C8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A93144"/>
    <w:multiLevelType w:val="hybridMultilevel"/>
    <w:tmpl w:val="847CED02"/>
    <w:lvl w:ilvl="0" w:tplc="C03098A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678970661">
    <w:abstractNumId w:val="11"/>
  </w:num>
  <w:num w:numId="2" w16cid:durableId="2126801561">
    <w:abstractNumId w:val="0"/>
  </w:num>
  <w:num w:numId="3" w16cid:durableId="668025554">
    <w:abstractNumId w:val="12"/>
  </w:num>
  <w:num w:numId="4" w16cid:durableId="452360805">
    <w:abstractNumId w:val="4"/>
  </w:num>
  <w:num w:numId="5" w16cid:durableId="874078821">
    <w:abstractNumId w:val="5"/>
  </w:num>
  <w:num w:numId="6" w16cid:durableId="1568342086">
    <w:abstractNumId w:val="7"/>
  </w:num>
  <w:num w:numId="7" w16cid:durableId="966157001">
    <w:abstractNumId w:val="15"/>
  </w:num>
  <w:num w:numId="8" w16cid:durableId="2146383419">
    <w:abstractNumId w:val="14"/>
  </w:num>
  <w:num w:numId="9" w16cid:durableId="1019241529">
    <w:abstractNumId w:val="3"/>
  </w:num>
  <w:num w:numId="10" w16cid:durableId="1653098428">
    <w:abstractNumId w:val="6"/>
  </w:num>
  <w:num w:numId="11" w16cid:durableId="1712917584">
    <w:abstractNumId w:val="1"/>
  </w:num>
  <w:num w:numId="12" w16cid:durableId="124130174">
    <w:abstractNumId w:val="8"/>
  </w:num>
  <w:num w:numId="13" w16cid:durableId="290790325">
    <w:abstractNumId w:val="10"/>
  </w:num>
  <w:num w:numId="14" w16cid:durableId="494344055">
    <w:abstractNumId w:val="2"/>
  </w:num>
  <w:num w:numId="15" w16cid:durableId="1007754499">
    <w:abstractNumId w:val="13"/>
  </w:num>
  <w:num w:numId="16" w16cid:durableId="678519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2MDczNzA2NTIwsjBQ0lEKTi0uzszPAykwrQUAAhTVHSwAAAA="/>
  </w:docVars>
  <w:rsids>
    <w:rsidRoot w:val="00A80BB9"/>
    <w:rsid w:val="00002FFC"/>
    <w:rsid w:val="00004928"/>
    <w:rsid w:val="000061E1"/>
    <w:rsid w:val="00006A6E"/>
    <w:rsid w:val="000071CE"/>
    <w:rsid w:val="00007E87"/>
    <w:rsid w:val="00012B89"/>
    <w:rsid w:val="00017919"/>
    <w:rsid w:val="000218AB"/>
    <w:rsid w:val="00024337"/>
    <w:rsid w:val="00025285"/>
    <w:rsid w:val="00027204"/>
    <w:rsid w:val="000330CA"/>
    <w:rsid w:val="00033494"/>
    <w:rsid w:val="00035227"/>
    <w:rsid w:val="00040C29"/>
    <w:rsid w:val="00042EAC"/>
    <w:rsid w:val="00042FF2"/>
    <w:rsid w:val="0004358A"/>
    <w:rsid w:val="00045248"/>
    <w:rsid w:val="0004664C"/>
    <w:rsid w:val="00046E6B"/>
    <w:rsid w:val="00047C23"/>
    <w:rsid w:val="00050262"/>
    <w:rsid w:val="00056160"/>
    <w:rsid w:val="0005780A"/>
    <w:rsid w:val="000634E9"/>
    <w:rsid w:val="00063CB0"/>
    <w:rsid w:val="0006522D"/>
    <w:rsid w:val="00065696"/>
    <w:rsid w:val="000659C9"/>
    <w:rsid w:val="00065B1F"/>
    <w:rsid w:val="00066088"/>
    <w:rsid w:val="00066571"/>
    <w:rsid w:val="00066D1A"/>
    <w:rsid w:val="00066E04"/>
    <w:rsid w:val="00071377"/>
    <w:rsid w:val="00071603"/>
    <w:rsid w:val="00075102"/>
    <w:rsid w:val="000775DB"/>
    <w:rsid w:val="0008245F"/>
    <w:rsid w:val="0008264B"/>
    <w:rsid w:val="00084DD9"/>
    <w:rsid w:val="00084EA5"/>
    <w:rsid w:val="000928A4"/>
    <w:rsid w:val="00092EE1"/>
    <w:rsid w:val="0009504F"/>
    <w:rsid w:val="00095ACF"/>
    <w:rsid w:val="00097FBC"/>
    <w:rsid w:val="000A174B"/>
    <w:rsid w:val="000A3640"/>
    <w:rsid w:val="000A4C7B"/>
    <w:rsid w:val="000A628A"/>
    <w:rsid w:val="000B16F2"/>
    <w:rsid w:val="000B4985"/>
    <w:rsid w:val="000B4F1A"/>
    <w:rsid w:val="000B512F"/>
    <w:rsid w:val="000B7019"/>
    <w:rsid w:val="000C0751"/>
    <w:rsid w:val="000C6A82"/>
    <w:rsid w:val="000C7F3F"/>
    <w:rsid w:val="000D0593"/>
    <w:rsid w:val="000D5DEA"/>
    <w:rsid w:val="000E2ADD"/>
    <w:rsid w:val="000E412F"/>
    <w:rsid w:val="000E4695"/>
    <w:rsid w:val="000E5A46"/>
    <w:rsid w:val="000E7C50"/>
    <w:rsid w:val="000F0EBF"/>
    <w:rsid w:val="000F13F3"/>
    <w:rsid w:val="000F1FAB"/>
    <w:rsid w:val="000F27D3"/>
    <w:rsid w:val="000F2DAE"/>
    <w:rsid w:val="000F3C47"/>
    <w:rsid w:val="000F7A77"/>
    <w:rsid w:val="00100908"/>
    <w:rsid w:val="0010110F"/>
    <w:rsid w:val="00103A98"/>
    <w:rsid w:val="0010419B"/>
    <w:rsid w:val="0010799B"/>
    <w:rsid w:val="001145C4"/>
    <w:rsid w:val="001157E3"/>
    <w:rsid w:val="00115D7E"/>
    <w:rsid w:val="001162B1"/>
    <w:rsid w:val="001167DC"/>
    <w:rsid w:val="001169CF"/>
    <w:rsid w:val="00116AAE"/>
    <w:rsid w:val="001227FA"/>
    <w:rsid w:val="00123004"/>
    <w:rsid w:val="00123D95"/>
    <w:rsid w:val="00125994"/>
    <w:rsid w:val="001263E7"/>
    <w:rsid w:val="00130115"/>
    <w:rsid w:val="00130F00"/>
    <w:rsid w:val="00133EBE"/>
    <w:rsid w:val="0013451A"/>
    <w:rsid w:val="00140A7D"/>
    <w:rsid w:val="00141C91"/>
    <w:rsid w:val="00142D5D"/>
    <w:rsid w:val="0014336C"/>
    <w:rsid w:val="00143982"/>
    <w:rsid w:val="001502FD"/>
    <w:rsid w:val="00150725"/>
    <w:rsid w:val="001528D2"/>
    <w:rsid w:val="00154EDD"/>
    <w:rsid w:val="00157952"/>
    <w:rsid w:val="0016122E"/>
    <w:rsid w:val="00166051"/>
    <w:rsid w:val="00171078"/>
    <w:rsid w:val="00171F66"/>
    <w:rsid w:val="001722A0"/>
    <w:rsid w:val="00175C27"/>
    <w:rsid w:val="00176DDA"/>
    <w:rsid w:val="00181111"/>
    <w:rsid w:val="00181277"/>
    <w:rsid w:val="001819AA"/>
    <w:rsid w:val="00182666"/>
    <w:rsid w:val="00183BC6"/>
    <w:rsid w:val="00186CA9"/>
    <w:rsid w:val="001875CE"/>
    <w:rsid w:val="00187909"/>
    <w:rsid w:val="00191FE6"/>
    <w:rsid w:val="0019508F"/>
    <w:rsid w:val="001962A7"/>
    <w:rsid w:val="001A22D7"/>
    <w:rsid w:val="001A4183"/>
    <w:rsid w:val="001A42B2"/>
    <w:rsid w:val="001A4863"/>
    <w:rsid w:val="001A53DB"/>
    <w:rsid w:val="001B0154"/>
    <w:rsid w:val="001B2982"/>
    <w:rsid w:val="001B2C64"/>
    <w:rsid w:val="001B33AB"/>
    <w:rsid w:val="001C4CD0"/>
    <w:rsid w:val="001C75DD"/>
    <w:rsid w:val="001D107F"/>
    <w:rsid w:val="001D1A64"/>
    <w:rsid w:val="001D4750"/>
    <w:rsid w:val="001D49CB"/>
    <w:rsid w:val="001E27CF"/>
    <w:rsid w:val="001E48AC"/>
    <w:rsid w:val="001E67DF"/>
    <w:rsid w:val="001E749F"/>
    <w:rsid w:val="001E75F9"/>
    <w:rsid w:val="001F7E3E"/>
    <w:rsid w:val="00200318"/>
    <w:rsid w:val="00200B95"/>
    <w:rsid w:val="00201A21"/>
    <w:rsid w:val="00201FEC"/>
    <w:rsid w:val="0020200A"/>
    <w:rsid w:val="00203B35"/>
    <w:rsid w:val="00203C77"/>
    <w:rsid w:val="00204AE4"/>
    <w:rsid w:val="002058EA"/>
    <w:rsid w:val="00211778"/>
    <w:rsid w:val="00216527"/>
    <w:rsid w:val="00216A7D"/>
    <w:rsid w:val="00221B7A"/>
    <w:rsid w:val="00222A78"/>
    <w:rsid w:val="00222BA0"/>
    <w:rsid w:val="002245E1"/>
    <w:rsid w:val="002247B9"/>
    <w:rsid w:val="002257F3"/>
    <w:rsid w:val="00227741"/>
    <w:rsid w:val="00230BEE"/>
    <w:rsid w:val="00230DDD"/>
    <w:rsid w:val="00231C86"/>
    <w:rsid w:val="00232514"/>
    <w:rsid w:val="00235DB4"/>
    <w:rsid w:val="002361F0"/>
    <w:rsid w:val="002378E6"/>
    <w:rsid w:val="00237A65"/>
    <w:rsid w:val="0024071B"/>
    <w:rsid w:val="002455C6"/>
    <w:rsid w:val="00245E0E"/>
    <w:rsid w:val="002469C3"/>
    <w:rsid w:val="00250AD6"/>
    <w:rsid w:val="0025285D"/>
    <w:rsid w:val="00253334"/>
    <w:rsid w:val="002539DA"/>
    <w:rsid w:val="002570DB"/>
    <w:rsid w:val="0025780D"/>
    <w:rsid w:val="00260090"/>
    <w:rsid w:val="002632AA"/>
    <w:rsid w:val="002636D2"/>
    <w:rsid w:val="00264AC9"/>
    <w:rsid w:val="00265A74"/>
    <w:rsid w:val="00266BBF"/>
    <w:rsid w:val="00270650"/>
    <w:rsid w:val="00273E57"/>
    <w:rsid w:val="00274B94"/>
    <w:rsid w:val="002761EE"/>
    <w:rsid w:val="00277904"/>
    <w:rsid w:val="0028329C"/>
    <w:rsid w:val="002845F4"/>
    <w:rsid w:val="00285171"/>
    <w:rsid w:val="0028633A"/>
    <w:rsid w:val="00291F29"/>
    <w:rsid w:val="00292AA2"/>
    <w:rsid w:val="00294BB9"/>
    <w:rsid w:val="002A1F65"/>
    <w:rsid w:val="002A296B"/>
    <w:rsid w:val="002A342D"/>
    <w:rsid w:val="002A46B7"/>
    <w:rsid w:val="002B0469"/>
    <w:rsid w:val="002B1683"/>
    <w:rsid w:val="002B3E5A"/>
    <w:rsid w:val="002B53EA"/>
    <w:rsid w:val="002B6E7D"/>
    <w:rsid w:val="002B7D45"/>
    <w:rsid w:val="002C0DAE"/>
    <w:rsid w:val="002C1899"/>
    <w:rsid w:val="002C2690"/>
    <w:rsid w:val="002C63B7"/>
    <w:rsid w:val="002C678A"/>
    <w:rsid w:val="002C6D1E"/>
    <w:rsid w:val="002D1701"/>
    <w:rsid w:val="002D4594"/>
    <w:rsid w:val="002D5AF0"/>
    <w:rsid w:val="002D5BEC"/>
    <w:rsid w:val="002D6743"/>
    <w:rsid w:val="002D7874"/>
    <w:rsid w:val="002E0819"/>
    <w:rsid w:val="002E149D"/>
    <w:rsid w:val="002E334D"/>
    <w:rsid w:val="002E4291"/>
    <w:rsid w:val="002E5B5F"/>
    <w:rsid w:val="002E70A0"/>
    <w:rsid w:val="002F2363"/>
    <w:rsid w:val="002F7601"/>
    <w:rsid w:val="002F7F20"/>
    <w:rsid w:val="003006BA"/>
    <w:rsid w:val="0030118E"/>
    <w:rsid w:val="00303E55"/>
    <w:rsid w:val="0031131D"/>
    <w:rsid w:val="00311651"/>
    <w:rsid w:val="00312B7A"/>
    <w:rsid w:val="00312C35"/>
    <w:rsid w:val="003143F3"/>
    <w:rsid w:val="003152B3"/>
    <w:rsid w:val="003200D6"/>
    <w:rsid w:val="00322A7C"/>
    <w:rsid w:val="003236C1"/>
    <w:rsid w:val="0032410F"/>
    <w:rsid w:val="003249C3"/>
    <w:rsid w:val="00326407"/>
    <w:rsid w:val="00327380"/>
    <w:rsid w:val="00327F38"/>
    <w:rsid w:val="00331FEF"/>
    <w:rsid w:val="003332BA"/>
    <w:rsid w:val="0033352C"/>
    <w:rsid w:val="003337A3"/>
    <w:rsid w:val="00334E21"/>
    <w:rsid w:val="003413AC"/>
    <w:rsid w:val="0034227F"/>
    <w:rsid w:val="00342C85"/>
    <w:rsid w:val="00342ED6"/>
    <w:rsid w:val="0034414D"/>
    <w:rsid w:val="0034463C"/>
    <w:rsid w:val="00344A13"/>
    <w:rsid w:val="00347CD7"/>
    <w:rsid w:val="003500AC"/>
    <w:rsid w:val="00350AA0"/>
    <w:rsid w:val="00352A4C"/>
    <w:rsid w:val="003552BE"/>
    <w:rsid w:val="003575E9"/>
    <w:rsid w:val="00357F26"/>
    <w:rsid w:val="0036075E"/>
    <w:rsid w:val="003647E0"/>
    <w:rsid w:val="00371032"/>
    <w:rsid w:val="0037473C"/>
    <w:rsid w:val="003749C7"/>
    <w:rsid w:val="00376AAD"/>
    <w:rsid w:val="00383A1C"/>
    <w:rsid w:val="00385842"/>
    <w:rsid w:val="00391208"/>
    <w:rsid w:val="003914F8"/>
    <w:rsid w:val="00395441"/>
    <w:rsid w:val="003A602E"/>
    <w:rsid w:val="003B0DDF"/>
    <w:rsid w:val="003B1109"/>
    <w:rsid w:val="003B4B59"/>
    <w:rsid w:val="003B662A"/>
    <w:rsid w:val="003B6C20"/>
    <w:rsid w:val="003C4415"/>
    <w:rsid w:val="003C4C2E"/>
    <w:rsid w:val="003C571F"/>
    <w:rsid w:val="003C67F1"/>
    <w:rsid w:val="003C7138"/>
    <w:rsid w:val="003D004E"/>
    <w:rsid w:val="003D0CD2"/>
    <w:rsid w:val="003D5B88"/>
    <w:rsid w:val="003D765B"/>
    <w:rsid w:val="003D7A04"/>
    <w:rsid w:val="003E03EA"/>
    <w:rsid w:val="003E3DBB"/>
    <w:rsid w:val="003F3256"/>
    <w:rsid w:val="003F4974"/>
    <w:rsid w:val="003F5326"/>
    <w:rsid w:val="00403A1B"/>
    <w:rsid w:val="00403E5C"/>
    <w:rsid w:val="00404E96"/>
    <w:rsid w:val="00405635"/>
    <w:rsid w:val="00406B04"/>
    <w:rsid w:val="0041033C"/>
    <w:rsid w:val="004111F7"/>
    <w:rsid w:val="0041132E"/>
    <w:rsid w:val="00411B9E"/>
    <w:rsid w:val="0041452E"/>
    <w:rsid w:val="00414DE9"/>
    <w:rsid w:val="004150E2"/>
    <w:rsid w:val="00420EEA"/>
    <w:rsid w:val="0042180B"/>
    <w:rsid w:val="004246B6"/>
    <w:rsid w:val="00426C6B"/>
    <w:rsid w:val="004279FA"/>
    <w:rsid w:val="00430761"/>
    <w:rsid w:val="0043161D"/>
    <w:rsid w:val="00431A27"/>
    <w:rsid w:val="00443864"/>
    <w:rsid w:val="004445A8"/>
    <w:rsid w:val="0044579A"/>
    <w:rsid w:val="00450874"/>
    <w:rsid w:val="00451EDF"/>
    <w:rsid w:val="004525A2"/>
    <w:rsid w:val="00452E7B"/>
    <w:rsid w:val="00454633"/>
    <w:rsid w:val="00455522"/>
    <w:rsid w:val="004578CE"/>
    <w:rsid w:val="00457B7C"/>
    <w:rsid w:val="0046019C"/>
    <w:rsid w:val="0046299A"/>
    <w:rsid w:val="004629B8"/>
    <w:rsid w:val="00466647"/>
    <w:rsid w:val="0046764D"/>
    <w:rsid w:val="00471F1C"/>
    <w:rsid w:val="00472EC8"/>
    <w:rsid w:val="00475127"/>
    <w:rsid w:val="00475CEE"/>
    <w:rsid w:val="004825FE"/>
    <w:rsid w:val="00484EAA"/>
    <w:rsid w:val="0048603C"/>
    <w:rsid w:val="00486405"/>
    <w:rsid w:val="00486B45"/>
    <w:rsid w:val="00486D69"/>
    <w:rsid w:val="00497A87"/>
    <w:rsid w:val="004A20DF"/>
    <w:rsid w:val="004A217B"/>
    <w:rsid w:val="004A326D"/>
    <w:rsid w:val="004A3F62"/>
    <w:rsid w:val="004A4841"/>
    <w:rsid w:val="004A4E20"/>
    <w:rsid w:val="004A5C11"/>
    <w:rsid w:val="004A6D6E"/>
    <w:rsid w:val="004A7151"/>
    <w:rsid w:val="004A76C3"/>
    <w:rsid w:val="004B12B1"/>
    <w:rsid w:val="004B374B"/>
    <w:rsid w:val="004B5797"/>
    <w:rsid w:val="004B6FBA"/>
    <w:rsid w:val="004C3E05"/>
    <w:rsid w:val="004C57A2"/>
    <w:rsid w:val="004D0D9F"/>
    <w:rsid w:val="004D53CC"/>
    <w:rsid w:val="004D540B"/>
    <w:rsid w:val="004D7755"/>
    <w:rsid w:val="004E1B48"/>
    <w:rsid w:val="004E39ED"/>
    <w:rsid w:val="004E4F48"/>
    <w:rsid w:val="004E7C07"/>
    <w:rsid w:val="004E7C10"/>
    <w:rsid w:val="004F1AF5"/>
    <w:rsid w:val="004F1C60"/>
    <w:rsid w:val="004F2BC3"/>
    <w:rsid w:val="004F38B5"/>
    <w:rsid w:val="004F408A"/>
    <w:rsid w:val="004F57EB"/>
    <w:rsid w:val="004F5FF3"/>
    <w:rsid w:val="004F760D"/>
    <w:rsid w:val="00502378"/>
    <w:rsid w:val="0050370F"/>
    <w:rsid w:val="00505146"/>
    <w:rsid w:val="0050585D"/>
    <w:rsid w:val="0051298E"/>
    <w:rsid w:val="0052071B"/>
    <w:rsid w:val="005226DC"/>
    <w:rsid w:val="005256A1"/>
    <w:rsid w:val="00530AFE"/>
    <w:rsid w:val="00531024"/>
    <w:rsid w:val="00532CF9"/>
    <w:rsid w:val="00534A3F"/>
    <w:rsid w:val="005353C8"/>
    <w:rsid w:val="00536ABA"/>
    <w:rsid w:val="00536F73"/>
    <w:rsid w:val="00540012"/>
    <w:rsid w:val="00540213"/>
    <w:rsid w:val="00540CE3"/>
    <w:rsid w:val="00542FB2"/>
    <w:rsid w:val="00544782"/>
    <w:rsid w:val="0054581D"/>
    <w:rsid w:val="00546D18"/>
    <w:rsid w:val="00547779"/>
    <w:rsid w:val="005524A8"/>
    <w:rsid w:val="0055421E"/>
    <w:rsid w:val="005556D8"/>
    <w:rsid w:val="00556589"/>
    <w:rsid w:val="00557AF3"/>
    <w:rsid w:val="00557F05"/>
    <w:rsid w:val="0056044E"/>
    <w:rsid w:val="0056346C"/>
    <w:rsid w:val="00564D10"/>
    <w:rsid w:val="0056768F"/>
    <w:rsid w:val="00570540"/>
    <w:rsid w:val="00571F06"/>
    <w:rsid w:val="00574A48"/>
    <w:rsid w:val="005754C3"/>
    <w:rsid w:val="00576624"/>
    <w:rsid w:val="00580F6B"/>
    <w:rsid w:val="005815E5"/>
    <w:rsid w:val="00582EAC"/>
    <w:rsid w:val="00583088"/>
    <w:rsid w:val="005844CF"/>
    <w:rsid w:val="005857D9"/>
    <w:rsid w:val="00586BDA"/>
    <w:rsid w:val="005879CD"/>
    <w:rsid w:val="0059509A"/>
    <w:rsid w:val="005A0561"/>
    <w:rsid w:val="005A1E62"/>
    <w:rsid w:val="005A29CB"/>
    <w:rsid w:val="005A3E4D"/>
    <w:rsid w:val="005A612F"/>
    <w:rsid w:val="005A6854"/>
    <w:rsid w:val="005B177B"/>
    <w:rsid w:val="005B29F2"/>
    <w:rsid w:val="005B4C25"/>
    <w:rsid w:val="005B652B"/>
    <w:rsid w:val="005B6776"/>
    <w:rsid w:val="005C033C"/>
    <w:rsid w:val="005C257C"/>
    <w:rsid w:val="005C4A36"/>
    <w:rsid w:val="005C4D23"/>
    <w:rsid w:val="005C6107"/>
    <w:rsid w:val="005C6680"/>
    <w:rsid w:val="005D00EF"/>
    <w:rsid w:val="005D27C0"/>
    <w:rsid w:val="005D2D75"/>
    <w:rsid w:val="005D67C6"/>
    <w:rsid w:val="005D6D85"/>
    <w:rsid w:val="005D70EF"/>
    <w:rsid w:val="005E008F"/>
    <w:rsid w:val="005E2549"/>
    <w:rsid w:val="005E6163"/>
    <w:rsid w:val="005F3AF4"/>
    <w:rsid w:val="005F4C11"/>
    <w:rsid w:val="005F4C7C"/>
    <w:rsid w:val="0060052D"/>
    <w:rsid w:val="00600567"/>
    <w:rsid w:val="006006A6"/>
    <w:rsid w:val="00601B87"/>
    <w:rsid w:val="00601C5D"/>
    <w:rsid w:val="00606350"/>
    <w:rsid w:val="00606840"/>
    <w:rsid w:val="0061184D"/>
    <w:rsid w:val="00613171"/>
    <w:rsid w:val="00616752"/>
    <w:rsid w:val="006218A8"/>
    <w:rsid w:val="0062194E"/>
    <w:rsid w:val="00622275"/>
    <w:rsid w:val="00622D74"/>
    <w:rsid w:val="00624AB3"/>
    <w:rsid w:val="006279EF"/>
    <w:rsid w:val="00630FF9"/>
    <w:rsid w:val="00631240"/>
    <w:rsid w:val="00632F81"/>
    <w:rsid w:val="00634A45"/>
    <w:rsid w:val="00636A7B"/>
    <w:rsid w:val="006379A0"/>
    <w:rsid w:val="00637C57"/>
    <w:rsid w:val="006400A3"/>
    <w:rsid w:val="00643582"/>
    <w:rsid w:val="00651E79"/>
    <w:rsid w:val="00653708"/>
    <w:rsid w:val="00654CB1"/>
    <w:rsid w:val="00664592"/>
    <w:rsid w:val="00664950"/>
    <w:rsid w:val="00665930"/>
    <w:rsid w:val="0067033B"/>
    <w:rsid w:val="00673E1C"/>
    <w:rsid w:val="00674F78"/>
    <w:rsid w:val="00676129"/>
    <w:rsid w:val="0068087C"/>
    <w:rsid w:val="006839CE"/>
    <w:rsid w:val="00683E00"/>
    <w:rsid w:val="00684351"/>
    <w:rsid w:val="00684D9C"/>
    <w:rsid w:val="0068605C"/>
    <w:rsid w:val="006877CA"/>
    <w:rsid w:val="00691724"/>
    <w:rsid w:val="00692B00"/>
    <w:rsid w:val="00693B91"/>
    <w:rsid w:val="006941E9"/>
    <w:rsid w:val="00694494"/>
    <w:rsid w:val="00695BC4"/>
    <w:rsid w:val="006A0EAD"/>
    <w:rsid w:val="006A4945"/>
    <w:rsid w:val="006A4C8B"/>
    <w:rsid w:val="006A5DF0"/>
    <w:rsid w:val="006B054B"/>
    <w:rsid w:val="006B30AF"/>
    <w:rsid w:val="006C0D8F"/>
    <w:rsid w:val="006C58D3"/>
    <w:rsid w:val="006C5F0E"/>
    <w:rsid w:val="006D43E6"/>
    <w:rsid w:val="006D490D"/>
    <w:rsid w:val="006D575A"/>
    <w:rsid w:val="006D61B8"/>
    <w:rsid w:val="006E48E3"/>
    <w:rsid w:val="006E71CB"/>
    <w:rsid w:val="006E7325"/>
    <w:rsid w:val="006F12B4"/>
    <w:rsid w:val="006F303E"/>
    <w:rsid w:val="006F4BCE"/>
    <w:rsid w:val="00702D6C"/>
    <w:rsid w:val="00706A66"/>
    <w:rsid w:val="00710236"/>
    <w:rsid w:val="00711EE0"/>
    <w:rsid w:val="0071224E"/>
    <w:rsid w:val="00714AC2"/>
    <w:rsid w:val="007225B6"/>
    <w:rsid w:val="00722B86"/>
    <w:rsid w:val="00731005"/>
    <w:rsid w:val="00732A36"/>
    <w:rsid w:val="007343A2"/>
    <w:rsid w:val="007344DC"/>
    <w:rsid w:val="00735AA3"/>
    <w:rsid w:val="00736555"/>
    <w:rsid w:val="00741E89"/>
    <w:rsid w:val="007422AD"/>
    <w:rsid w:val="00743690"/>
    <w:rsid w:val="007509ED"/>
    <w:rsid w:val="007516BE"/>
    <w:rsid w:val="00757125"/>
    <w:rsid w:val="00762DC0"/>
    <w:rsid w:val="00764A02"/>
    <w:rsid w:val="00765384"/>
    <w:rsid w:val="00767AD5"/>
    <w:rsid w:val="007707D1"/>
    <w:rsid w:val="00773418"/>
    <w:rsid w:val="0077348F"/>
    <w:rsid w:val="00776265"/>
    <w:rsid w:val="00780228"/>
    <w:rsid w:val="00780704"/>
    <w:rsid w:val="007807E3"/>
    <w:rsid w:val="00783F8D"/>
    <w:rsid w:val="007848B2"/>
    <w:rsid w:val="00784E3A"/>
    <w:rsid w:val="007855C4"/>
    <w:rsid w:val="007866FD"/>
    <w:rsid w:val="00786CDE"/>
    <w:rsid w:val="007874A2"/>
    <w:rsid w:val="007910DF"/>
    <w:rsid w:val="007917EB"/>
    <w:rsid w:val="00793946"/>
    <w:rsid w:val="00793A63"/>
    <w:rsid w:val="00793C03"/>
    <w:rsid w:val="00794035"/>
    <w:rsid w:val="0079511F"/>
    <w:rsid w:val="00795A23"/>
    <w:rsid w:val="007A100E"/>
    <w:rsid w:val="007A3CC6"/>
    <w:rsid w:val="007A5355"/>
    <w:rsid w:val="007A58EC"/>
    <w:rsid w:val="007A65BC"/>
    <w:rsid w:val="007A6F23"/>
    <w:rsid w:val="007A71AE"/>
    <w:rsid w:val="007A78BC"/>
    <w:rsid w:val="007B05EB"/>
    <w:rsid w:val="007B13AF"/>
    <w:rsid w:val="007B3336"/>
    <w:rsid w:val="007B44A5"/>
    <w:rsid w:val="007B7F49"/>
    <w:rsid w:val="007C020A"/>
    <w:rsid w:val="007C1DB6"/>
    <w:rsid w:val="007C1F07"/>
    <w:rsid w:val="007C26AB"/>
    <w:rsid w:val="007C4EA3"/>
    <w:rsid w:val="007D01D6"/>
    <w:rsid w:val="007D022D"/>
    <w:rsid w:val="007D3F6B"/>
    <w:rsid w:val="007D479E"/>
    <w:rsid w:val="007D5955"/>
    <w:rsid w:val="007D692D"/>
    <w:rsid w:val="007D695B"/>
    <w:rsid w:val="007E26EA"/>
    <w:rsid w:val="007E348F"/>
    <w:rsid w:val="007E56CF"/>
    <w:rsid w:val="007E593C"/>
    <w:rsid w:val="007E643F"/>
    <w:rsid w:val="007E66F5"/>
    <w:rsid w:val="007F13B8"/>
    <w:rsid w:val="007F1581"/>
    <w:rsid w:val="008015BF"/>
    <w:rsid w:val="008020F8"/>
    <w:rsid w:val="00803C06"/>
    <w:rsid w:val="00804C1C"/>
    <w:rsid w:val="00806347"/>
    <w:rsid w:val="00810689"/>
    <w:rsid w:val="008150FC"/>
    <w:rsid w:val="00816BE1"/>
    <w:rsid w:val="00817480"/>
    <w:rsid w:val="00821904"/>
    <w:rsid w:val="00830C8C"/>
    <w:rsid w:val="00830D91"/>
    <w:rsid w:val="0083164D"/>
    <w:rsid w:val="0083480C"/>
    <w:rsid w:val="0083565E"/>
    <w:rsid w:val="00835A50"/>
    <w:rsid w:val="00842A39"/>
    <w:rsid w:val="008430B3"/>
    <w:rsid w:val="008447B1"/>
    <w:rsid w:val="008452D3"/>
    <w:rsid w:val="00845BB4"/>
    <w:rsid w:val="008470A5"/>
    <w:rsid w:val="008474F6"/>
    <w:rsid w:val="008512D3"/>
    <w:rsid w:val="00851DA7"/>
    <w:rsid w:val="008536BD"/>
    <w:rsid w:val="00853FC5"/>
    <w:rsid w:val="00854A5F"/>
    <w:rsid w:val="008553F7"/>
    <w:rsid w:val="0085627A"/>
    <w:rsid w:val="00857020"/>
    <w:rsid w:val="00857806"/>
    <w:rsid w:val="00860F08"/>
    <w:rsid w:val="00862F2A"/>
    <w:rsid w:val="0086362F"/>
    <w:rsid w:val="0086458C"/>
    <w:rsid w:val="00864782"/>
    <w:rsid w:val="008657F3"/>
    <w:rsid w:val="00867BC4"/>
    <w:rsid w:val="008708D1"/>
    <w:rsid w:val="00871159"/>
    <w:rsid w:val="00871C54"/>
    <w:rsid w:val="008726AA"/>
    <w:rsid w:val="00873306"/>
    <w:rsid w:val="00880349"/>
    <w:rsid w:val="00881FCA"/>
    <w:rsid w:val="00882C09"/>
    <w:rsid w:val="00883861"/>
    <w:rsid w:val="00884F3E"/>
    <w:rsid w:val="00885653"/>
    <w:rsid w:val="00886933"/>
    <w:rsid w:val="00890E80"/>
    <w:rsid w:val="0089186E"/>
    <w:rsid w:val="00891FC7"/>
    <w:rsid w:val="0089213B"/>
    <w:rsid w:val="0089241A"/>
    <w:rsid w:val="00893271"/>
    <w:rsid w:val="00893D9C"/>
    <w:rsid w:val="00897190"/>
    <w:rsid w:val="008A3E63"/>
    <w:rsid w:val="008A413B"/>
    <w:rsid w:val="008A5798"/>
    <w:rsid w:val="008A5EC6"/>
    <w:rsid w:val="008B1F88"/>
    <w:rsid w:val="008B6DD1"/>
    <w:rsid w:val="008B7C42"/>
    <w:rsid w:val="008C5754"/>
    <w:rsid w:val="008C60CB"/>
    <w:rsid w:val="008C6958"/>
    <w:rsid w:val="008D094F"/>
    <w:rsid w:val="008D0FA2"/>
    <w:rsid w:val="008D2AAA"/>
    <w:rsid w:val="008D3AC1"/>
    <w:rsid w:val="008D76BE"/>
    <w:rsid w:val="008E055A"/>
    <w:rsid w:val="008E29A3"/>
    <w:rsid w:val="008F1CDC"/>
    <w:rsid w:val="008F2230"/>
    <w:rsid w:val="008F388F"/>
    <w:rsid w:val="008F3DF1"/>
    <w:rsid w:val="008F5DDF"/>
    <w:rsid w:val="00901369"/>
    <w:rsid w:val="00903EE3"/>
    <w:rsid w:val="0090497B"/>
    <w:rsid w:val="0090520F"/>
    <w:rsid w:val="00906284"/>
    <w:rsid w:val="00906B7F"/>
    <w:rsid w:val="009107C5"/>
    <w:rsid w:val="009121D9"/>
    <w:rsid w:val="00912319"/>
    <w:rsid w:val="009150A7"/>
    <w:rsid w:val="00916F41"/>
    <w:rsid w:val="00917E61"/>
    <w:rsid w:val="00922000"/>
    <w:rsid w:val="0092379E"/>
    <w:rsid w:val="00924493"/>
    <w:rsid w:val="009274F5"/>
    <w:rsid w:val="00930FB0"/>
    <w:rsid w:val="009348D3"/>
    <w:rsid w:val="00936082"/>
    <w:rsid w:val="00936675"/>
    <w:rsid w:val="00936CBD"/>
    <w:rsid w:val="00937D22"/>
    <w:rsid w:val="00941C4D"/>
    <w:rsid w:val="00944B2D"/>
    <w:rsid w:val="00945E90"/>
    <w:rsid w:val="00947F75"/>
    <w:rsid w:val="00954AA9"/>
    <w:rsid w:val="0096173B"/>
    <w:rsid w:val="0096628A"/>
    <w:rsid w:val="00966800"/>
    <w:rsid w:val="009672E9"/>
    <w:rsid w:val="00973F78"/>
    <w:rsid w:val="0097434D"/>
    <w:rsid w:val="0097567F"/>
    <w:rsid w:val="009765F6"/>
    <w:rsid w:val="0098140D"/>
    <w:rsid w:val="009817A4"/>
    <w:rsid w:val="00981E48"/>
    <w:rsid w:val="00981F4B"/>
    <w:rsid w:val="00986CB8"/>
    <w:rsid w:val="00996BEC"/>
    <w:rsid w:val="009A16FD"/>
    <w:rsid w:val="009A2CE2"/>
    <w:rsid w:val="009A3528"/>
    <w:rsid w:val="009A4074"/>
    <w:rsid w:val="009A4C36"/>
    <w:rsid w:val="009B1799"/>
    <w:rsid w:val="009B2B57"/>
    <w:rsid w:val="009B62E6"/>
    <w:rsid w:val="009C193E"/>
    <w:rsid w:val="009C2D8E"/>
    <w:rsid w:val="009C2FA7"/>
    <w:rsid w:val="009C30E8"/>
    <w:rsid w:val="009C3C95"/>
    <w:rsid w:val="009D287F"/>
    <w:rsid w:val="009D4F48"/>
    <w:rsid w:val="009D541B"/>
    <w:rsid w:val="009D7FC4"/>
    <w:rsid w:val="009E0722"/>
    <w:rsid w:val="009E0F0B"/>
    <w:rsid w:val="009E5E28"/>
    <w:rsid w:val="009E6069"/>
    <w:rsid w:val="009F2DE4"/>
    <w:rsid w:val="009F3BDF"/>
    <w:rsid w:val="009F5C4D"/>
    <w:rsid w:val="009F65C3"/>
    <w:rsid w:val="009F71FA"/>
    <w:rsid w:val="00A00D34"/>
    <w:rsid w:val="00A03D29"/>
    <w:rsid w:val="00A04A7A"/>
    <w:rsid w:val="00A04D35"/>
    <w:rsid w:val="00A053B6"/>
    <w:rsid w:val="00A05924"/>
    <w:rsid w:val="00A07228"/>
    <w:rsid w:val="00A077A4"/>
    <w:rsid w:val="00A1002D"/>
    <w:rsid w:val="00A109CD"/>
    <w:rsid w:val="00A10DDB"/>
    <w:rsid w:val="00A112C7"/>
    <w:rsid w:val="00A1326B"/>
    <w:rsid w:val="00A16275"/>
    <w:rsid w:val="00A17C0F"/>
    <w:rsid w:val="00A17C26"/>
    <w:rsid w:val="00A17FE7"/>
    <w:rsid w:val="00A20B6B"/>
    <w:rsid w:val="00A21535"/>
    <w:rsid w:val="00A215CA"/>
    <w:rsid w:val="00A2164F"/>
    <w:rsid w:val="00A21865"/>
    <w:rsid w:val="00A2187F"/>
    <w:rsid w:val="00A24595"/>
    <w:rsid w:val="00A25016"/>
    <w:rsid w:val="00A30F24"/>
    <w:rsid w:val="00A33A34"/>
    <w:rsid w:val="00A358AC"/>
    <w:rsid w:val="00A36022"/>
    <w:rsid w:val="00A3620B"/>
    <w:rsid w:val="00A36969"/>
    <w:rsid w:val="00A40192"/>
    <w:rsid w:val="00A42C0D"/>
    <w:rsid w:val="00A5080E"/>
    <w:rsid w:val="00A5200A"/>
    <w:rsid w:val="00A529F0"/>
    <w:rsid w:val="00A54716"/>
    <w:rsid w:val="00A55467"/>
    <w:rsid w:val="00A5566C"/>
    <w:rsid w:val="00A556D0"/>
    <w:rsid w:val="00A55939"/>
    <w:rsid w:val="00A55B10"/>
    <w:rsid w:val="00A63C4A"/>
    <w:rsid w:val="00A653D4"/>
    <w:rsid w:val="00A65AB1"/>
    <w:rsid w:val="00A7128B"/>
    <w:rsid w:val="00A72FE3"/>
    <w:rsid w:val="00A74E9A"/>
    <w:rsid w:val="00A80510"/>
    <w:rsid w:val="00A80BB9"/>
    <w:rsid w:val="00A8507B"/>
    <w:rsid w:val="00A8681C"/>
    <w:rsid w:val="00A86FB4"/>
    <w:rsid w:val="00A87DFC"/>
    <w:rsid w:val="00A926CC"/>
    <w:rsid w:val="00A92B84"/>
    <w:rsid w:val="00A93A72"/>
    <w:rsid w:val="00A94734"/>
    <w:rsid w:val="00A96F60"/>
    <w:rsid w:val="00AA3F8E"/>
    <w:rsid w:val="00AA422A"/>
    <w:rsid w:val="00AA4687"/>
    <w:rsid w:val="00AA4D44"/>
    <w:rsid w:val="00AA51EB"/>
    <w:rsid w:val="00AA7A32"/>
    <w:rsid w:val="00AB0BAB"/>
    <w:rsid w:val="00AB0E07"/>
    <w:rsid w:val="00AB0E2E"/>
    <w:rsid w:val="00AB0FBE"/>
    <w:rsid w:val="00AB4E01"/>
    <w:rsid w:val="00AB72D7"/>
    <w:rsid w:val="00AB7E88"/>
    <w:rsid w:val="00AC38B2"/>
    <w:rsid w:val="00AC3E69"/>
    <w:rsid w:val="00AC5734"/>
    <w:rsid w:val="00AC69B1"/>
    <w:rsid w:val="00AD2C40"/>
    <w:rsid w:val="00AD6D3F"/>
    <w:rsid w:val="00AE1560"/>
    <w:rsid w:val="00AE6487"/>
    <w:rsid w:val="00AF0D63"/>
    <w:rsid w:val="00AF190A"/>
    <w:rsid w:val="00AF298D"/>
    <w:rsid w:val="00B00184"/>
    <w:rsid w:val="00B02EC2"/>
    <w:rsid w:val="00B07A91"/>
    <w:rsid w:val="00B119F0"/>
    <w:rsid w:val="00B1393C"/>
    <w:rsid w:val="00B15720"/>
    <w:rsid w:val="00B15C3B"/>
    <w:rsid w:val="00B15FD3"/>
    <w:rsid w:val="00B168CD"/>
    <w:rsid w:val="00B22897"/>
    <w:rsid w:val="00B22D16"/>
    <w:rsid w:val="00B22F81"/>
    <w:rsid w:val="00B252C3"/>
    <w:rsid w:val="00B26EDE"/>
    <w:rsid w:val="00B27283"/>
    <w:rsid w:val="00B374D0"/>
    <w:rsid w:val="00B37511"/>
    <w:rsid w:val="00B40212"/>
    <w:rsid w:val="00B40AED"/>
    <w:rsid w:val="00B40DDA"/>
    <w:rsid w:val="00B42BA8"/>
    <w:rsid w:val="00B44809"/>
    <w:rsid w:val="00B44A56"/>
    <w:rsid w:val="00B45E15"/>
    <w:rsid w:val="00B50D42"/>
    <w:rsid w:val="00B51474"/>
    <w:rsid w:val="00B5175D"/>
    <w:rsid w:val="00B52850"/>
    <w:rsid w:val="00B52B55"/>
    <w:rsid w:val="00B5480E"/>
    <w:rsid w:val="00B55391"/>
    <w:rsid w:val="00B55D6E"/>
    <w:rsid w:val="00B5778C"/>
    <w:rsid w:val="00B61C55"/>
    <w:rsid w:val="00B621D5"/>
    <w:rsid w:val="00B65FE2"/>
    <w:rsid w:val="00B709FD"/>
    <w:rsid w:val="00B70A2B"/>
    <w:rsid w:val="00B73E4A"/>
    <w:rsid w:val="00B767C9"/>
    <w:rsid w:val="00B80E22"/>
    <w:rsid w:val="00B813D0"/>
    <w:rsid w:val="00B83C36"/>
    <w:rsid w:val="00B87FFA"/>
    <w:rsid w:val="00B94DA4"/>
    <w:rsid w:val="00B978A0"/>
    <w:rsid w:val="00BA0F25"/>
    <w:rsid w:val="00BA1EAD"/>
    <w:rsid w:val="00BA3D25"/>
    <w:rsid w:val="00BA4EB6"/>
    <w:rsid w:val="00BA7D4B"/>
    <w:rsid w:val="00BB0516"/>
    <w:rsid w:val="00BB0F71"/>
    <w:rsid w:val="00BB1F65"/>
    <w:rsid w:val="00BB6EE0"/>
    <w:rsid w:val="00BC16D6"/>
    <w:rsid w:val="00BC35AF"/>
    <w:rsid w:val="00BC424C"/>
    <w:rsid w:val="00BD1D7C"/>
    <w:rsid w:val="00BE2810"/>
    <w:rsid w:val="00BE2D1F"/>
    <w:rsid w:val="00BE553A"/>
    <w:rsid w:val="00BE7329"/>
    <w:rsid w:val="00BF0124"/>
    <w:rsid w:val="00BF39B1"/>
    <w:rsid w:val="00BF40F3"/>
    <w:rsid w:val="00BF4D47"/>
    <w:rsid w:val="00BF5A3A"/>
    <w:rsid w:val="00C013B1"/>
    <w:rsid w:val="00C01821"/>
    <w:rsid w:val="00C01E96"/>
    <w:rsid w:val="00C05F9C"/>
    <w:rsid w:val="00C05FD0"/>
    <w:rsid w:val="00C1327F"/>
    <w:rsid w:val="00C13317"/>
    <w:rsid w:val="00C134C9"/>
    <w:rsid w:val="00C1403A"/>
    <w:rsid w:val="00C143BF"/>
    <w:rsid w:val="00C15F60"/>
    <w:rsid w:val="00C164D7"/>
    <w:rsid w:val="00C205A7"/>
    <w:rsid w:val="00C205D5"/>
    <w:rsid w:val="00C22AE3"/>
    <w:rsid w:val="00C238E9"/>
    <w:rsid w:val="00C23BBB"/>
    <w:rsid w:val="00C2652E"/>
    <w:rsid w:val="00C27D16"/>
    <w:rsid w:val="00C30C57"/>
    <w:rsid w:val="00C318A3"/>
    <w:rsid w:val="00C3252A"/>
    <w:rsid w:val="00C32A94"/>
    <w:rsid w:val="00C34FCE"/>
    <w:rsid w:val="00C37DBF"/>
    <w:rsid w:val="00C46DBB"/>
    <w:rsid w:val="00C47CCC"/>
    <w:rsid w:val="00C51866"/>
    <w:rsid w:val="00C545A8"/>
    <w:rsid w:val="00C55A09"/>
    <w:rsid w:val="00C561E1"/>
    <w:rsid w:val="00C61BAB"/>
    <w:rsid w:val="00C7202A"/>
    <w:rsid w:val="00C72FF1"/>
    <w:rsid w:val="00C74470"/>
    <w:rsid w:val="00C82209"/>
    <w:rsid w:val="00C824F9"/>
    <w:rsid w:val="00C82849"/>
    <w:rsid w:val="00C82D54"/>
    <w:rsid w:val="00C85E21"/>
    <w:rsid w:val="00C87312"/>
    <w:rsid w:val="00C9349C"/>
    <w:rsid w:val="00C9464B"/>
    <w:rsid w:val="00CA2160"/>
    <w:rsid w:val="00CA4E16"/>
    <w:rsid w:val="00CA5FA6"/>
    <w:rsid w:val="00CA6856"/>
    <w:rsid w:val="00CB0ECA"/>
    <w:rsid w:val="00CB387C"/>
    <w:rsid w:val="00CB4977"/>
    <w:rsid w:val="00CB6F66"/>
    <w:rsid w:val="00CC0204"/>
    <w:rsid w:val="00CC1DE2"/>
    <w:rsid w:val="00CC3A93"/>
    <w:rsid w:val="00CC5989"/>
    <w:rsid w:val="00CC6AF3"/>
    <w:rsid w:val="00CD3157"/>
    <w:rsid w:val="00CD4174"/>
    <w:rsid w:val="00CD6069"/>
    <w:rsid w:val="00CE6D28"/>
    <w:rsid w:val="00CF060F"/>
    <w:rsid w:val="00CF1293"/>
    <w:rsid w:val="00CF155F"/>
    <w:rsid w:val="00CF446B"/>
    <w:rsid w:val="00CF46EA"/>
    <w:rsid w:val="00CF4B47"/>
    <w:rsid w:val="00CF5252"/>
    <w:rsid w:val="00CF5A18"/>
    <w:rsid w:val="00D04349"/>
    <w:rsid w:val="00D048EA"/>
    <w:rsid w:val="00D13C83"/>
    <w:rsid w:val="00D14251"/>
    <w:rsid w:val="00D17AA8"/>
    <w:rsid w:val="00D17AEF"/>
    <w:rsid w:val="00D2039A"/>
    <w:rsid w:val="00D2200B"/>
    <w:rsid w:val="00D2286D"/>
    <w:rsid w:val="00D23000"/>
    <w:rsid w:val="00D2368F"/>
    <w:rsid w:val="00D2647A"/>
    <w:rsid w:val="00D30ADD"/>
    <w:rsid w:val="00D31312"/>
    <w:rsid w:val="00D323DA"/>
    <w:rsid w:val="00D3684B"/>
    <w:rsid w:val="00D37FC5"/>
    <w:rsid w:val="00D40454"/>
    <w:rsid w:val="00D40884"/>
    <w:rsid w:val="00D43C27"/>
    <w:rsid w:val="00D43E0C"/>
    <w:rsid w:val="00D44656"/>
    <w:rsid w:val="00D512D2"/>
    <w:rsid w:val="00D5376F"/>
    <w:rsid w:val="00D54002"/>
    <w:rsid w:val="00D54D03"/>
    <w:rsid w:val="00D61ADC"/>
    <w:rsid w:val="00D630BB"/>
    <w:rsid w:val="00D67C4A"/>
    <w:rsid w:val="00D704D8"/>
    <w:rsid w:val="00D7514C"/>
    <w:rsid w:val="00D76630"/>
    <w:rsid w:val="00D84961"/>
    <w:rsid w:val="00D94BD4"/>
    <w:rsid w:val="00D94C60"/>
    <w:rsid w:val="00D962AA"/>
    <w:rsid w:val="00D962EA"/>
    <w:rsid w:val="00D966AF"/>
    <w:rsid w:val="00D96F66"/>
    <w:rsid w:val="00D974B3"/>
    <w:rsid w:val="00DA0C8C"/>
    <w:rsid w:val="00DA2190"/>
    <w:rsid w:val="00DA4708"/>
    <w:rsid w:val="00DA7FB2"/>
    <w:rsid w:val="00DB480A"/>
    <w:rsid w:val="00DB7060"/>
    <w:rsid w:val="00DB737D"/>
    <w:rsid w:val="00DC012C"/>
    <w:rsid w:val="00DC0479"/>
    <w:rsid w:val="00DC0D76"/>
    <w:rsid w:val="00DC1D9E"/>
    <w:rsid w:val="00DC1F4C"/>
    <w:rsid w:val="00DC38C1"/>
    <w:rsid w:val="00DC563C"/>
    <w:rsid w:val="00DC5DA2"/>
    <w:rsid w:val="00DC6EBA"/>
    <w:rsid w:val="00DD0E78"/>
    <w:rsid w:val="00DD2255"/>
    <w:rsid w:val="00DD2825"/>
    <w:rsid w:val="00DD5E98"/>
    <w:rsid w:val="00DD61B2"/>
    <w:rsid w:val="00DE0134"/>
    <w:rsid w:val="00DE0394"/>
    <w:rsid w:val="00DE72D4"/>
    <w:rsid w:val="00DE7D23"/>
    <w:rsid w:val="00DF1BE0"/>
    <w:rsid w:val="00DF21E6"/>
    <w:rsid w:val="00DF364F"/>
    <w:rsid w:val="00DF49C6"/>
    <w:rsid w:val="00E00D2B"/>
    <w:rsid w:val="00E00EFC"/>
    <w:rsid w:val="00E02623"/>
    <w:rsid w:val="00E03CB1"/>
    <w:rsid w:val="00E042BE"/>
    <w:rsid w:val="00E04CB0"/>
    <w:rsid w:val="00E11BE8"/>
    <w:rsid w:val="00E13C3A"/>
    <w:rsid w:val="00E15740"/>
    <w:rsid w:val="00E22A15"/>
    <w:rsid w:val="00E24235"/>
    <w:rsid w:val="00E24563"/>
    <w:rsid w:val="00E26B4E"/>
    <w:rsid w:val="00E31956"/>
    <w:rsid w:val="00E31B1C"/>
    <w:rsid w:val="00E32E26"/>
    <w:rsid w:val="00E342E2"/>
    <w:rsid w:val="00E37979"/>
    <w:rsid w:val="00E41145"/>
    <w:rsid w:val="00E455FC"/>
    <w:rsid w:val="00E50351"/>
    <w:rsid w:val="00E521B0"/>
    <w:rsid w:val="00E54A78"/>
    <w:rsid w:val="00E54BBF"/>
    <w:rsid w:val="00E613BA"/>
    <w:rsid w:val="00E623C9"/>
    <w:rsid w:val="00E66365"/>
    <w:rsid w:val="00E6708E"/>
    <w:rsid w:val="00E67E3C"/>
    <w:rsid w:val="00E71A6B"/>
    <w:rsid w:val="00E741BC"/>
    <w:rsid w:val="00E74794"/>
    <w:rsid w:val="00E75BA9"/>
    <w:rsid w:val="00E760A5"/>
    <w:rsid w:val="00E77512"/>
    <w:rsid w:val="00E85F8E"/>
    <w:rsid w:val="00E8772E"/>
    <w:rsid w:val="00E90B25"/>
    <w:rsid w:val="00E92B6C"/>
    <w:rsid w:val="00E937FD"/>
    <w:rsid w:val="00E97A9E"/>
    <w:rsid w:val="00E97D9D"/>
    <w:rsid w:val="00EA2E21"/>
    <w:rsid w:val="00EA4837"/>
    <w:rsid w:val="00EA4F59"/>
    <w:rsid w:val="00EA65E4"/>
    <w:rsid w:val="00EA765F"/>
    <w:rsid w:val="00EB1D6B"/>
    <w:rsid w:val="00EB40B7"/>
    <w:rsid w:val="00EB6A32"/>
    <w:rsid w:val="00EB74D7"/>
    <w:rsid w:val="00EB74DD"/>
    <w:rsid w:val="00EC1D6E"/>
    <w:rsid w:val="00EC1F32"/>
    <w:rsid w:val="00EC4537"/>
    <w:rsid w:val="00EC58BE"/>
    <w:rsid w:val="00ED1D9E"/>
    <w:rsid w:val="00ED7B95"/>
    <w:rsid w:val="00EE4888"/>
    <w:rsid w:val="00EE6114"/>
    <w:rsid w:val="00EE6F11"/>
    <w:rsid w:val="00EF0218"/>
    <w:rsid w:val="00EF0ADA"/>
    <w:rsid w:val="00EF1E3F"/>
    <w:rsid w:val="00EF3F84"/>
    <w:rsid w:val="00EF4BBC"/>
    <w:rsid w:val="00EF660E"/>
    <w:rsid w:val="00EF6FCC"/>
    <w:rsid w:val="00F04703"/>
    <w:rsid w:val="00F0689D"/>
    <w:rsid w:val="00F07509"/>
    <w:rsid w:val="00F10FE4"/>
    <w:rsid w:val="00F11BE1"/>
    <w:rsid w:val="00F12B78"/>
    <w:rsid w:val="00F174B6"/>
    <w:rsid w:val="00F17B0D"/>
    <w:rsid w:val="00F208C1"/>
    <w:rsid w:val="00F24D50"/>
    <w:rsid w:val="00F25924"/>
    <w:rsid w:val="00F275A9"/>
    <w:rsid w:val="00F27A10"/>
    <w:rsid w:val="00F32B62"/>
    <w:rsid w:val="00F3324D"/>
    <w:rsid w:val="00F40D71"/>
    <w:rsid w:val="00F43FEC"/>
    <w:rsid w:val="00F46524"/>
    <w:rsid w:val="00F46C06"/>
    <w:rsid w:val="00F46DC4"/>
    <w:rsid w:val="00F516FF"/>
    <w:rsid w:val="00F54D3C"/>
    <w:rsid w:val="00F6007B"/>
    <w:rsid w:val="00F60C0D"/>
    <w:rsid w:val="00F62145"/>
    <w:rsid w:val="00F621AC"/>
    <w:rsid w:val="00F670DA"/>
    <w:rsid w:val="00F7540B"/>
    <w:rsid w:val="00F802BB"/>
    <w:rsid w:val="00F81CD4"/>
    <w:rsid w:val="00F82036"/>
    <w:rsid w:val="00F91B74"/>
    <w:rsid w:val="00FA1A3E"/>
    <w:rsid w:val="00FA252C"/>
    <w:rsid w:val="00FA4240"/>
    <w:rsid w:val="00FA54FE"/>
    <w:rsid w:val="00FA5948"/>
    <w:rsid w:val="00FA75D4"/>
    <w:rsid w:val="00FB2D6D"/>
    <w:rsid w:val="00FB335B"/>
    <w:rsid w:val="00FB6C2D"/>
    <w:rsid w:val="00FB7437"/>
    <w:rsid w:val="00FC03D7"/>
    <w:rsid w:val="00FC0DA7"/>
    <w:rsid w:val="00FC18B8"/>
    <w:rsid w:val="00FC2025"/>
    <w:rsid w:val="00FC65A0"/>
    <w:rsid w:val="00FD15C4"/>
    <w:rsid w:val="00FD1D5B"/>
    <w:rsid w:val="00FD2000"/>
    <w:rsid w:val="00FD3D77"/>
    <w:rsid w:val="00FD4B8D"/>
    <w:rsid w:val="00FD7F63"/>
    <w:rsid w:val="00FD7FC4"/>
    <w:rsid w:val="00FE30B1"/>
    <w:rsid w:val="00FE4ED7"/>
    <w:rsid w:val="00FE50D2"/>
    <w:rsid w:val="00FF01A2"/>
    <w:rsid w:val="00FF0CF4"/>
    <w:rsid w:val="00FF161E"/>
    <w:rsid w:val="00FF205C"/>
    <w:rsid w:val="00FF2B8F"/>
    <w:rsid w:val="00FF59BF"/>
    <w:rsid w:val="00FF61F9"/>
    <w:rsid w:val="00FF713F"/>
    <w:rsid w:val="00FF7C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2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9A"/>
    <w:pPr>
      <w:spacing w:line="480" w:lineRule="auto"/>
    </w:pPr>
    <w:rPr>
      <w:rFonts w:ascii="Arial" w:eastAsia="Times New Roman" w:hAnsi="Arial" w:cs="Times New Roman"/>
      <w:sz w:val="24"/>
    </w:rPr>
  </w:style>
  <w:style w:type="paragraph" w:styleId="Heading1">
    <w:name w:val="heading 1"/>
    <w:basedOn w:val="Normal"/>
    <w:uiPriority w:val="9"/>
    <w:qFormat/>
    <w:pPr>
      <w:ind w:left="133"/>
      <w:outlineLvl w:val="0"/>
    </w:pPr>
    <w:rPr>
      <w:rFonts w:eastAsia="Arial" w:cs="Arial"/>
      <w:b/>
      <w:bCs/>
      <w:szCs w:val="24"/>
    </w:rPr>
  </w:style>
  <w:style w:type="paragraph" w:styleId="Heading2">
    <w:name w:val="heading 2"/>
    <w:basedOn w:val="Normal"/>
    <w:uiPriority w:val="9"/>
    <w:unhideWhenUsed/>
    <w:qFormat/>
    <w:pPr>
      <w:ind w:left="510" w:hanging="378"/>
      <w:outlineLvl w:val="1"/>
    </w:pPr>
    <w:rPr>
      <w:rFonts w:eastAsia="Arial" w:cs="Arial"/>
      <w:b/>
      <w:bCs/>
      <w:sz w:val="20"/>
      <w:szCs w:val="20"/>
    </w:rPr>
  </w:style>
  <w:style w:type="paragraph" w:styleId="Heading3">
    <w:name w:val="heading 3"/>
    <w:basedOn w:val="Normal"/>
    <w:next w:val="Normal"/>
    <w:link w:val="Heading3Char"/>
    <w:uiPriority w:val="9"/>
    <w:unhideWhenUsed/>
    <w:qFormat/>
    <w:rsid w:val="00DE0134"/>
    <w:pPr>
      <w:tabs>
        <w:tab w:val="left" w:pos="623"/>
      </w:tabs>
      <w:outlineLvl w:val="2"/>
    </w:pPr>
    <w:rPr>
      <w:rFonts w:cs="Arial"/>
      <w:bCs/>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5"/>
      <w:ind w:left="133"/>
    </w:pPr>
    <w:rPr>
      <w:rFonts w:eastAsia="Arial" w:cs="Arial"/>
      <w:b/>
      <w:bCs/>
      <w:sz w:val="40"/>
      <w:szCs w:val="40"/>
    </w:rPr>
  </w:style>
  <w:style w:type="paragraph" w:styleId="ListParagraph">
    <w:name w:val="List Paragraph"/>
    <w:basedOn w:val="Normal"/>
    <w:uiPriority w:val="1"/>
    <w:qFormat/>
    <w:pPr>
      <w:ind w:left="482" w:hanging="349"/>
    </w:pPr>
  </w:style>
  <w:style w:type="paragraph" w:customStyle="1" w:styleId="TableParagraph">
    <w:name w:val="Table Paragraph"/>
    <w:basedOn w:val="Normal"/>
    <w:uiPriority w:val="1"/>
    <w:qFormat/>
    <w:pPr>
      <w:spacing w:line="210" w:lineRule="exact"/>
      <w:ind w:left="118"/>
    </w:pPr>
  </w:style>
  <w:style w:type="paragraph" w:styleId="Revision">
    <w:name w:val="Revision"/>
    <w:hidden/>
    <w:uiPriority w:val="99"/>
    <w:semiHidden/>
    <w:rsid w:val="00C134C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134C9"/>
    <w:pPr>
      <w:tabs>
        <w:tab w:val="center" w:pos="4680"/>
        <w:tab w:val="right" w:pos="9360"/>
      </w:tabs>
    </w:pPr>
  </w:style>
  <w:style w:type="character" w:customStyle="1" w:styleId="HeaderChar">
    <w:name w:val="Header Char"/>
    <w:basedOn w:val="DefaultParagraphFont"/>
    <w:link w:val="Header"/>
    <w:uiPriority w:val="99"/>
    <w:rsid w:val="00C134C9"/>
    <w:rPr>
      <w:rFonts w:ascii="Times New Roman" w:eastAsia="Times New Roman" w:hAnsi="Times New Roman" w:cs="Times New Roman"/>
    </w:rPr>
  </w:style>
  <w:style w:type="paragraph" w:styleId="Footer">
    <w:name w:val="footer"/>
    <w:basedOn w:val="Normal"/>
    <w:link w:val="FooterChar"/>
    <w:uiPriority w:val="99"/>
    <w:unhideWhenUsed/>
    <w:rsid w:val="00C134C9"/>
    <w:pPr>
      <w:tabs>
        <w:tab w:val="center" w:pos="4680"/>
        <w:tab w:val="right" w:pos="9360"/>
      </w:tabs>
    </w:pPr>
  </w:style>
  <w:style w:type="character" w:customStyle="1" w:styleId="FooterChar">
    <w:name w:val="Footer Char"/>
    <w:basedOn w:val="DefaultParagraphFont"/>
    <w:link w:val="Footer"/>
    <w:uiPriority w:val="99"/>
    <w:rsid w:val="00C134C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F2BC3"/>
    <w:rPr>
      <w:sz w:val="16"/>
      <w:szCs w:val="16"/>
    </w:rPr>
  </w:style>
  <w:style w:type="paragraph" w:styleId="CommentText">
    <w:name w:val="annotation text"/>
    <w:basedOn w:val="Normal"/>
    <w:link w:val="CommentTextChar"/>
    <w:uiPriority w:val="99"/>
    <w:unhideWhenUsed/>
    <w:rsid w:val="004F2BC3"/>
    <w:rPr>
      <w:sz w:val="20"/>
      <w:szCs w:val="20"/>
    </w:rPr>
  </w:style>
  <w:style w:type="character" w:customStyle="1" w:styleId="CommentTextChar">
    <w:name w:val="Comment Text Char"/>
    <w:basedOn w:val="DefaultParagraphFont"/>
    <w:link w:val="CommentText"/>
    <w:uiPriority w:val="99"/>
    <w:rsid w:val="004F2B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2BC3"/>
    <w:rPr>
      <w:b/>
      <w:bCs/>
    </w:rPr>
  </w:style>
  <w:style w:type="character" w:customStyle="1" w:styleId="CommentSubjectChar">
    <w:name w:val="Comment Subject Char"/>
    <w:basedOn w:val="CommentTextChar"/>
    <w:link w:val="CommentSubject"/>
    <w:uiPriority w:val="99"/>
    <w:semiHidden/>
    <w:rsid w:val="004F2BC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DE0134"/>
    <w:rPr>
      <w:rFonts w:ascii="Arial" w:eastAsia="Times New Roman" w:hAnsi="Arial" w:cs="Arial"/>
      <w:bCs/>
      <w:i/>
      <w:sz w:val="24"/>
      <w:szCs w:val="24"/>
    </w:rPr>
  </w:style>
  <w:style w:type="character" w:styleId="Hyperlink">
    <w:name w:val="Hyperlink"/>
    <w:basedOn w:val="DefaultParagraphFont"/>
    <w:uiPriority w:val="99"/>
    <w:unhideWhenUsed/>
    <w:rsid w:val="00906B7F"/>
    <w:rPr>
      <w:color w:val="0000FF" w:themeColor="hyperlink"/>
      <w:u w:val="single"/>
    </w:rPr>
  </w:style>
  <w:style w:type="character" w:styleId="UnresolvedMention">
    <w:name w:val="Unresolved Mention"/>
    <w:basedOn w:val="DefaultParagraphFont"/>
    <w:uiPriority w:val="99"/>
    <w:semiHidden/>
    <w:unhideWhenUsed/>
    <w:rsid w:val="00906B7F"/>
    <w:rPr>
      <w:color w:val="605E5C"/>
      <w:shd w:val="clear" w:color="auto" w:fill="E1DFDD"/>
    </w:rPr>
  </w:style>
  <w:style w:type="character" w:customStyle="1" w:styleId="cf01">
    <w:name w:val="cf01"/>
    <w:basedOn w:val="DefaultParagraphFont"/>
    <w:rsid w:val="00452E7B"/>
    <w:rPr>
      <w:rFonts w:ascii="Segoe UI" w:hAnsi="Segoe UI" w:cs="Segoe UI" w:hint="default"/>
      <w:sz w:val="18"/>
      <w:szCs w:val="18"/>
      <w:shd w:val="clear" w:color="auto" w:fill="00FF00"/>
    </w:rPr>
  </w:style>
  <w:style w:type="character" w:customStyle="1" w:styleId="BodyTextChar">
    <w:name w:val="Body Text Char"/>
    <w:basedOn w:val="DefaultParagraphFont"/>
    <w:link w:val="BodyText"/>
    <w:uiPriority w:val="1"/>
    <w:rsid w:val="00C87312"/>
    <w:rPr>
      <w:rFonts w:ascii="Arial" w:eastAsia="Times New Roman" w:hAnsi="Arial" w:cs="Times New Roman"/>
      <w:sz w:val="20"/>
      <w:szCs w:val="20"/>
    </w:rPr>
  </w:style>
  <w:style w:type="paragraph" w:styleId="NormalWeb">
    <w:name w:val="Normal (Web)"/>
    <w:basedOn w:val="Normal"/>
    <w:uiPriority w:val="99"/>
    <w:semiHidden/>
    <w:unhideWhenUsed/>
    <w:rsid w:val="0085627A"/>
    <w:pPr>
      <w:widowControl/>
      <w:autoSpaceDE/>
      <w:autoSpaceDN/>
      <w:spacing w:before="100" w:beforeAutospacing="1" w:after="100" w:afterAutospacing="1" w:line="240" w:lineRule="auto"/>
    </w:pPr>
    <w:rPr>
      <w:rFonts w:ascii="Times New Roman" w:hAnsi="Times New Roman"/>
      <w:szCs w:val="24"/>
      <w:lang w:val="en-GB" w:eastAsia="en-GB"/>
    </w:rPr>
  </w:style>
  <w:style w:type="character" w:styleId="Emphasis">
    <w:name w:val="Emphasis"/>
    <w:basedOn w:val="DefaultParagraphFont"/>
    <w:uiPriority w:val="20"/>
    <w:qFormat/>
    <w:rsid w:val="00035227"/>
    <w:rPr>
      <w:i/>
      <w:iCs/>
    </w:rPr>
  </w:style>
  <w:style w:type="table" w:styleId="TableGrid">
    <w:name w:val="Table Grid"/>
    <w:basedOn w:val="TableNormal"/>
    <w:uiPriority w:val="39"/>
    <w:rsid w:val="00002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42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5400">
      <w:bodyDiv w:val="1"/>
      <w:marLeft w:val="0"/>
      <w:marRight w:val="0"/>
      <w:marTop w:val="0"/>
      <w:marBottom w:val="0"/>
      <w:divBdr>
        <w:top w:val="none" w:sz="0" w:space="0" w:color="auto"/>
        <w:left w:val="none" w:sz="0" w:space="0" w:color="auto"/>
        <w:bottom w:val="none" w:sz="0" w:space="0" w:color="auto"/>
        <w:right w:val="none" w:sz="0" w:space="0" w:color="auto"/>
      </w:divBdr>
    </w:div>
    <w:div w:id="654837013">
      <w:bodyDiv w:val="1"/>
      <w:marLeft w:val="0"/>
      <w:marRight w:val="0"/>
      <w:marTop w:val="0"/>
      <w:marBottom w:val="0"/>
      <w:divBdr>
        <w:top w:val="none" w:sz="0" w:space="0" w:color="auto"/>
        <w:left w:val="none" w:sz="0" w:space="0" w:color="auto"/>
        <w:bottom w:val="none" w:sz="0" w:space="0" w:color="auto"/>
        <w:right w:val="none" w:sz="0" w:space="0" w:color="auto"/>
      </w:divBdr>
    </w:div>
    <w:div w:id="894314918">
      <w:bodyDiv w:val="1"/>
      <w:marLeft w:val="0"/>
      <w:marRight w:val="0"/>
      <w:marTop w:val="0"/>
      <w:marBottom w:val="0"/>
      <w:divBdr>
        <w:top w:val="none" w:sz="0" w:space="0" w:color="auto"/>
        <w:left w:val="none" w:sz="0" w:space="0" w:color="auto"/>
        <w:bottom w:val="none" w:sz="0" w:space="0" w:color="auto"/>
        <w:right w:val="none" w:sz="0" w:space="0" w:color="auto"/>
      </w:divBdr>
    </w:div>
    <w:div w:id="916128782">
      <w:bodyDiv w:val="1"/>
      <w:marLeft w:val="0"/>
      <w:marRight w:val="0"/>
      <w:marTop w:val="0"/>
      <w:marBottom w:val="0"/>
      <w:divBdr>
        <w:top w:val="none" w:sz="0" w:space="0" w:color="auto"/>
        <w:left w:val="none" w:sz="0" w:space="0" w:color="auto"/>
        <w:bottom w:val="none" w:sz="0" w:space="0" w:color="auto"/>
        <w:right w:val="none" w:sz="0" w:space="0" w:color="auto"/>
      </w:divBdr>
    </w:div>
    <w:div w:id="1056050221">
      <w:bodyDiv w:val="1"/>
      <w:marLeft w:val="0"/>
      <w:marRight w:val="0"/>
      <w:marTop w:val="0"/>
      <w:marBottom w:val="0"/>
      <w:divBdr>
        <w:top w:val="none" w:sz="0" w:space="0" w:color="auto"/>
        <w:left w:val="none" w:sz="0" w:space="0" w:color="auto"/>
        <w:bottom w:val="none" w:sz="0" w:space="0" w:color="auto"/>
        <w:right w:val="none" w:sz="0" w:space="0" w:color="auto"/>
      </w:divBdr>
    </w:div>
    <w:div w:id="1613200190">
      <w:bodyDiv w:val="1"/>
      <w:marLeft w:val="0"/>
      <w:marRight w:val="0"/>
      <w:marTop w:val="0"/>
      <w:marBottom w:val="0"/>
      <w:divBdr>
        <w:top w:val="none" w:sz="0" w:space="0" w:color="auto"/>
        <w:left w:val="none" w:sz="0" w:space="0" w:color="auto"/>
        <w:bottom w:val="none" w:sz="0" w:space="0" w:color="auto"/>
        <w:right w:val="none" w:sz="0" w:space="0" w:color="auto"/>
      </w:divBdr>
    </w:div>
    <w:div w:id="1711563484">
      <w:bodyDiv w:val="1"/>
      <w:marLeft w:val="0"/>
      <w:marRight w:val="0"/>
      <w:marTop w:val="0"/>
      <w:marBottom w:val="0"/>
      <w:divBdr>
        <w:top w:val="none" w:sz="0" w:space="0" w:color="auto"/>
        <w:left w:val="none" w:sz="0" w:space="0" w:color="auto"/>
        <w:bottom w:val="none" w:sz="0" w:space="0" w:color="auto"/>
        <w:right w:val="none" w:sz="0" w:space="0" w:color="auto"/>
      </w:divBdr>
    </w:div>
    <w:div w:id="206185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 A Z L E G A L ! 6 9 5 3 3 3 0 . 1 < / d o c u m e n t i d >  
     < s e n d e r i d > K Q B J 6 5 3 < / s e n d e r i d >  
     < s e n d e r e m a i l > J O E L . A L D R I C H @ A S T R A Z E N E C A . C O M < / s e n d e r e m a i l >  
     < l a s t m o d i f i e d > 2 0 2 2 - 0 9 - 3 0 T 1 2 : 3 3 : 0 0 . 0 0 0 0 0 0 0 - 0 4 : 0 0 < / l a s t m o d i f i e d >  
     < d a t a b a s e > A Z L E G A L < / 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7ABDC-72D7-4707-9821-CC23F77EB6BE}">
  <ds:schemaRefs>
    <ds:schemaRef ds:uri="http://www.imanage.com/work/xmlschema"/>
  </ds:schemaRefs>
</ds:datastoreItem>
</file>

<file path=customXml/itemProps2.xml><?xml version="1.0" encoding="utf-8"?>
<ds:datastoreItem xmlns:ds="http://schemas.openxmlformats.org/officeDocument/2006/customXml" ds:itemID="{1EC062C6-1D68-4AEF-B828-50A35E9F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2936</Words>
  <Characters>16740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2024-03-07T14:12:00Z</dcterms:created>
  <dcterms:modified xsi:type="dcterms:W3CDTF">2024-04-30T21:22:00Z</dcterms:modified>
</cp:coreProperties>
</file>