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48"/>
          <w:szCs w:val="56"/>
          <w:lang w:val="en-US" w:eastAsia="zh-CN"/>
        </w:rPr>
      </w:pPr>
      <w:r>
        <w:rPr>
          <w:rFonts w:hint="eastAsia"/>
          <w:sz w:val="48"/>
          <w:szCs w:val="56"/>
        </w:rPr>
        <w:t>Appendix</w:t>
      </w:r>
      <w:r>
        <w:rPr>
          <w:rFonts w:hint="eastAsia"/>
          <w:sz w:val="48"/>
          <w:szCs w:val="56"/>
          <w:lang w:val="en-US" w:eastAsia="zh-CN"/>
        </w:rPr>
        <w:t xml:space="preserve"> 1</w:t>
      </w:r>
    </w:p>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p>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Appendix table1</w:t>
      </w:r>
      <w:r>
        <w:rPr>
          <w:rFonts w:hint="eastAsia" w:ascii="Times New Roman" w:hAnsi="Times New Roman" w:eastAsia="宋体" w:cs="Times New Roman"/>
          <w:i w:val="0"/>
          <w:iCs w:val="0"/>
          <w:color w:val="000000"/>
          <w:kern w:val="0"/>
          <w:sz w:val="22"/>
          <w:szCs w:val="22"/>
          <w:u w:val="none"/>
          <w:lang w:val="en-US" w:eastAsia="zh-CN" w:bidi="ar"/>
        </w:rPr>
        <w:t xml:space="preserve"> Key indicators for primary/secondary/tertiary hospitals in 2020</w:t>
      </w:r>
    </w:p>
    <w:tbl>
      <w:tblPr>
        <w:tblW w:w="8949"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4017"/>
        <w:gridCol w:w="1644"/>
        <w:gridCol w:w="1644"/>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4017" w:type="dxa"/>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Indicators</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Tertiary hospitals</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Secondary hospitals</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Primary hospitals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58" w:hRule="atLeast"/>
        </w:trPr>
        <w:tc>
          <w:tcPr>
            <w:tcW w:w="4017" w:type="dxa"/>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Number of inpatient visits </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1050562</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180091</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15948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58" w:hRule="atLeast"/>
        </w:trPr>
        <w:tc>
          <w:tcPr>
            <w:tcW w:w="4017" w:type="dxa"/>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Number of outpatient/emergency visits</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31382952</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11500380</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38588176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58" w:hRule="atLeast"/>
        </w:trPr>
        <w:tc>
          <w:tcPr>
            <w:tcW w:w="4017" w:type="dxa"/>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Number of beds </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36912</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14477</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58" w:hRule="atLeast"/>
        </w:trPr>
        <w:tc>
          <w:tcPr>
            <w:tcW w:w="4017" w:type="dxa"/>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Number of medical staff</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31579</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15140</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49236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58" w:hRule="atLeast"/>
        </w:trPr>
        <w:tc>
          <w:tcPr>
            <w:tcW w:w="4017" w:type="dxa"/>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Total bed days</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9603450</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2370000</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234789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58" w:hRule="atLeast"/>
        </w:trPr>
        <w:tc>
          <w:tcPr>
            <w:tcW w:w="4017" w:type="dxa"/>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Average inpatient cost </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22000.8</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18027.6</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3586.9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58" w:hRule="atLeast"/>
        </w:trPr>
        <w:tc>
          <w:tcPr>
            <w:tcW w:w="4017" w:type="dxa"/>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Average outpatient cost </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488.8</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362.3</w:t>
            </w:r>
          </w:p>
        </w:tc>
        <w:tc>
          <w:tcPr>
            <w:tcW w:w="1644" w:type="dxa"/>
            <w:shd w:val="clear"/>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182.4</w:t>
            </w:r>
          </w:p>
        </w:tc>
      </w:tr>
    </w:tbl>
    <w:p>
      <w:pPr>
        <w:rPr>
          <w:rFonts w:hint="eastAsia"/>
          <w:sz w:val="48"/>
          <w:szCs w:val="56"/>
        </w:rPr>
      </w:pPr>
      <w:r>
        <w:rPr>
          <w:rFonts w:hint="eastAsia"/>
          <w:sz w:val="48"/>
          <w:szCs w:val="56"/>
        </w:rPr>
        <w:br w:type="page"/>
      </w:r>
    </w:p>
    <w:p>
      <w:pPr>
        <w:rPr>
          <w:rFonts w:hint="eastAsia"/>
          <w:sz w:val="48"/>
          <w:szCs w:val="56"/>
          <w:lang w:val="en-US" w:eastAsia="zh-CN"/>
        </w:rPr>
      </w:pPr>
      <w:r>
        <w:rPr>
          <w:rFonts w:hint="eastAsia"/>
          <w:sz w:val="48"/>
          <w:szCs w:val="56"/>
        </w:rPr>
        <w:t>Appendix</w:t>
      </w:r>
      <w:r>
        <w:rPr>
          <w:rFonts w:hint="eastAsia"/>
          <w:sz w:val="48"/>
          <w:szCs w:val="56"/>
          <w:lang w:val="en-US" w:eastAsia="zh-CN"/>
        </w:rPr>
        <w:t xml:space="preserve"> 2</w:t>
      </w:r>
    </w:p>
    <w:p>
      <w:pPr>
        <w:spacing w:line="276" w:lineRule="auto"/>
        <w:ind w:firstLine="420" w:firstLineChars="200"/>
        <w:rPr>
          <w:rFonts w:ascii="Palatino Linotype" w:hAnsi="Palatino Linotype"/>
        </w:rPr>
      </w:pPr>
      <w:r>
        <w:rPr>
          <w:rFonts w:ascii="Palatino Linotype" w:hAnsi="Palatino Linotype"/>
        </w:rPr>
        <w:t xml:space="preserve">The questionnaire is based on self-completion questions and contains five main sections: " Personal information ", </w:t>
      </w:r>
      <w:r>
        <w:rPr>
          <w:rFonts w:hint="eastAsia" w:ascii="Palatino Linotype" w:hAnsi="Palatino Linotype"/>
        </w:rPr>
        <w:t>perceived understanding of policy</w:t>
      </w:r>
      <w:r>
        <w:rPr>
          <w:rFonts w:ascii="Palatino Linotype" w:hAnsi="Palatino Linotype"/>
        </w:rPr>
        <w:t>’</w:t>
      </w:r>
      <w:r>
        <w:rPr>
          <w:rFonts w:hint="eastAsia" w:ascii="Palatino Linotype" w:hAnsi="Palatino Linotype"/>
        </w:rPr>
        <w:t xml:space="preserve">s </w:t>
      </w:r>
      <w:r>
        <w:rPr>
          <w:rFonts w:ascii="Palatino Linotype" w:hAnsi="Palatino Linotype"/>
        </w:rPr>
        <w:t xml:space="preserve">" </w:t>
      </w:r>
      <w:r>
        <w:rPr>
          <w:rFonts w:hint="eastAsia" w:ascii="Palatino Linotype" w:hAnsi="Palatino Linotype"/>
        </w:rPr>
        <w:t>s</w:t>
      </w:r>
      <w:r>
        <w:rPr>
          <w:rFonts w:ascii="Palatino Linotype" w:hAnsi="Palatino Linotype"/>
        </w:rPr>
        <w:t xml:space="preserve">eparation of urgent and slow treatment ", " </w:t>
      </w:r>
      <w:r>
        <w:rPr>
          <w:rFonts w:hint="eastAsia" w:ascii="Palatino Linotype" w:hAnsi="Palatino Linotype"/>
        </w:rPr>
        <w:t>t</w:t>
      </w:r>
      <w:r>
        <w:rPr>
          <w:rFonts w:ascii="Palatino Linotype" w:hAnsi="Palatino Linotype"/>
        </w:rPr>
        <w:t xml:space="preserve">wo-way triage ", " </w:t>
      </w:r>
      <w:r>
        <w:rPr>
          <w:rFonts w:hint="eastAsia" w:ascii="Palatino Linotype" w:hAnsi="Palatino Linotype"/>
        </w:rPr>
        <w:t>u</w:t>
      </w:r>
      <w:r>
        <w:rPr>
          <w:rFonts w:ascii="Palatino Linotype" w:hAnsi="Palatino Linotype"/>
        </w:rPr>
        <w:t>pper and lower linkage " and</w:t>
      </w:r>
      <w:r>
        <w:rPr>
          <w:rFonts w:hint="eastAsia" w:ascii="Palatino Linotype" w:hAnsi="Palatino Linotype"/>
        </w:rPr>
        <w:t xml:space="preserve"> one</w:t>
      </w:r>
      <w:r>
        <w:rPr>
          <w:rFonts w:ascii="Palatino Linotype" w:hAnsi="Palatino Linotype"/>
        </w:rPr>
        <w:t>’</w:t>
      </w:r>
      <w:r>
        <w:rPr>
          <w:rFonts w:hint="eastAsia" w:ascii="Palatino Linotype" w:hAnsi="Palatino Linotype"/>
        </w:rPr>
        <w:t>s own</w:t>
      </w:r>
      <w:r>
        <w:rPr>
          <w:rFonts w:ascii="Palatino Linotype" w:hAnsi="Palatino Linotype"/>
        </w:rPr>
        <w:t xml:space="preserve"> " </w:t>
      </w:r>
      <w:r>
        <w:rPr>
          <w:rFonts w:hint="eastAsia" w:ascii="Palatino Linotype" w:hAnsi="Palatino Linotype"/>
        </w:rPr>
        <w:t>p</w:t>
      </w:r>
      <w:r>
        <w:rPr>
          <w:rFonts w:ascii="Palatino Linotype" w:hAnsi="Palatino Linotype"/>
        </w:rPr>
        <w:t>reference for healthcare ".</w:t>
      </w:r>
    </w:p>
    <w:p>
      <w:pPr>
        <w:spacing w:line="276" w:lineRule="auto"/>
        <w:ind w:firstLine="422" w:firstLineChars="200"/>
        <w:rPr>
          <w:rFonts w:ascii="Palatino Linotype" w:hAnsi="Palatino Linotype"/>
          <w:highlight w:val="none"/>
        </w:rPr>
      </w:pPr>
      <w:r>
        <w:rPr>
          <w:rFonts w:ascii="Palatino Linotype" w:hAnsi="Palatino Linotype"/>
          <w:b/>
          <w:bCs/>
          <w:highlight w:val="none"/>
        </w:rPr>
        <w:t xml:space="preserve">Personal information. </w:t>
      </w:r>
      <w:r>
        <w:rPr>
          <w:rFonts w:ascii="Palatino Linotype" w:hAnsi="Palatino Linotype"/>
          <w:highlight w:val="none"/>
        </w:rPr>
        <w:t>This section includes two main sections on the patient's social demographic characteristics and health literacy. The social demographic characteristics include address, age, gender, education level and type of household registration. The address is assigned according to whether it is a central area, a demonstration area or a non-demonstration area.</w:t>
      </w:r>
    </w:p>
    <w:p>
      <w:pPr>
        <w:spacing w:line="276" w:lineRule="auto"/>
        <w:ind w:firstLine="422" w:firstLineChars="200"/>
        <w:rPr>
          <w:rFonts w:ascii="Palatino Linotype" w:hAnsi="Palatino Linotype"/>
          <w:highlight w:val="none"/>
        </w:rPr>
      </w:pPr>
      <w:bookmarkStart w:id="0" w:name="_Hlk126524101"/>
      <w:r>
        <w:rPr>
          <w:rFonts w:ascii="Palatino Linotype" w:hAnsi="Palatino Linotype"/>
          <w:b/>
          <w:bCs/>
          <w:highlight w:val="none"/>
        </w:rPr>
        <w:t>Separate treatment of emergencies and slows.</w:t>
      </w:r>
      <w:bookmarkEnd w:id="0"/>
      <w:r>
        <w:rPr>
          <w:rFonts w:ascii="Palatino Linotype" w:hAnsi="Palatino Linotype"/>
          <w:highlight w:val="none"/>
        </w:rPr>
        <w:t xml:space="preserve"> This section measures patients' perceptions of the design of the separate treatment of emergencies and slows system, both on the supply side and on the demand side. The supply side is measured in terms of healthcare accessibility and drug supply. Healthcare accessibility is determined by the distance and time of consultation. Drug supply is measured in terms of drug security and drug accessibility. The demand side is measured by the medical insurance reimbursement </w:t>
      </w:r>
      <w:r>
        <w:rPr>
          <w:rFonts w:hint="eastAsia" w:ascii="Palatino Linotype" w:hAnsi="Palatino Linotype"/>
          <w:highlight w:val="none"/>
        </w:rPr>
        <w:t>diversion</w:t>
      </w:r>
      <w:r>
        <w:rPr>
          <w:rFonts w:ascii="Palatino Linotype" w:hAnsi="Palatino Linotype"/>
          <w:highlight w:val="none"/>
        </w:rPr>
        <w:t xml:space="preserve"> and the reasonableness of healthcare costs. </w:t>
      </w:r>
    </w:p>
    <w:p>
      <w:pPr>
        <w:spacing w:line="276" w:lineRule="auto"/>
        <w:ind w:firstLine="422" w:firstLineChars="200"/>
        <w:rPr>
          <w:rFonts w:ascii="Palatino Linotype" w:hAnsi="Palatino Linotype"/>
          <w:highlight w:val="none"/>
        </w:rPr>
      </w:pPr>
      <w:r>
        <w:rPr>
          <w:rFonts w:ascii="Palatino Linotype" w:hAnsi="Palatino Linotype"/>
          <w:b/>
          <w:bCs/>
          <w:highlight w:val="none"/>
        </w:rPr>
        <w:t xml:space="preserve">Two-way triage. </w:t>
      </w:r>
      <w:r>
        <w:rPr>
          <w:rFonts w:ascii="Palatino Linotype" w:hAnsi="Palatino Linotype"/>
          <w:highlight w:val="none"/>
        </w:rPr>
        <w:t xml:space="preserve">This section contains two main components: first-contact care at the primary and two-way referral. First-contact care at the primary covers two main areas: the level of healthcare facilities and physicians' services. The healthcare facilities are evaluated in terms of patients' satisfaction with the service capacity and environmental conditions. Physicians' services are assessed in terms of attitude, conscientiousness, patient recognition and trust. Two-way referral is measured in terms of the convenience of referrals and the treatment standards for chronic diseases. The referral convenience is measured in terms of patients' degree of understanding of internet referrals and the convenience of the referral process. The treatment standards are based on the degree of satisfaction with the rationality of the treatment system and the green channel for referrals. </w:t>
      </w:r>
    </w:p>
    <w:p>
      <w:pPr>
        <w:spacing w:line="276" w:lineRule="auto"/>
        <w:ind w:firstLine="422" w:firstLineChars="200"/>
        <w:rPr>
          <w:rFonts w:ascii="Palatino Linotype" w:hAnsi="Palatino Linotype"/>
          <w:highlight w:val="none"/>
        </w:rPr>
      </w:pPr>
      <w:r>
        <w:rPr>
          <w:rFonts w:ascii="Palatino Linotype" w:hAnsi="Palatino Linotype"/>
          <w:b/>
          <w:bCs/>
          <w:highlight w:val="none"/>
        </w:rPr>
        <w:t>Upper and lower linkage.</w:t>
      </w:r>
      <w:r>
        <w:rPr>
          <w:rFonts w:ascii="Palatino Linotype" w:hAnsi="Palatino Linotype"/>
          <w:highlight w:val="none"/>
        </w:rPr>
        <w:t xml:space="preserve"> The main form of linkage between different levels of healthcare institutions in Tianjin is the formation of medical alliance., quality resources from high-level hospitals can be sunk to provide assistance to primary healthcare facilities in the medical alliance. This section measures patients' </w:t>
      </w:r>
      <w:r>
        <w:rPr>
          <w:rFonts w:hint="eastAsia" w:ascii="Palatino Linotype" w:hAnsi="Palatino Linotype"/>
          <w:highlight w:val="none"/>
        </w:rPr>
        <w:t>perceptions</w:t>
      </w:r>
      <w:r>
        <w:rPr>
          <w:rFonts w:ascii="Palatino Linotype" w:hAnsi="Palatino Linotype"/>
          <w:highlight w:val="none"/>
        </w:rPr>
        <w:t xml:space="preserve"> of medical alliance and the degree of knowledge of resource sinking. </w:t>
      </w:r>
    </w:p>
    <w:p>
      <w:pPr>
        <w:spacing w:line="276" w:lineRule="auto"/>
        <w:ind w:firstLine="422" w:firstLineChars="200"/>
        <w:rPr>
          <w:rFonts w:ascii="Palatino Linotype" w:hAnsi="Palatino Linotype"/>
          <w:highlight w:val="none"/>
        </w:rPr>
      </w:pPr>
      <w:r>
        <w:rPr>
          <w:rFonts w:ascii="Palatino Linotype" w:hAnsi="Palatino Linotype"/>
          <w:b/>
          <w:bCs/>
          <w:highlight w:val="none"/>
        </w:rPr>
        <w:t>Preference for healthcare.</w:t>
      </w:r>
      <w:r>
        <w:rPr>
          <w:rFonts w:ascii="Palatino Linotype" w:hAnsi="Palatino Linotype"/>
          <w:highlight w:val="none"/>
        </w:rPr>
        <w:t xml:space="preserve"> This section contains questions about patients' willingness to seek 19-contact care at the primary and referral. </w:t>
      </w:r>
    </w:p>
    <w:p>
      <w:pPr>
        <w:jc w:val="center"/>
        <w:rPr>
          <w:rFonts w:ascii="Palatino Linotype" w:hAnsi="Palatino Linotype"/>
          <w:b/>
          <w:bCs/>
          <w:szCs w:val="21"/>
        </w:rPr>
      </w:pPr>
    </w:p>
    <w:p>
      <w:pPr>
        <w:jc w:val="center"/>
        <w:rPr>
          <w:rFonts w:ascii="Palatino Linotype" w:hAnsi="Palatino Linotype"/>
          <w:b/>
          <w:bCs/>
          <w:szCs w:val="21"/>
        </w:rPr>
      </w:pPr>
    </w:p>
    <w:p>
      <w:pPr>
        <w:jc w:val="center"/>
        <w:rPr>
          <w:rFonts w:ascii="Palatino Linotype" w:hAnsi="Palatino Linotype"/>
          <w:b/>
          <w:bCs/>
          <w:szCs w:val="21"/>
        </w:rPr>
      </w:pPr>
    </w:p>
    <w:p>
      <w:pPr>
        <w:jc w:val="center"/>
        <w:rPr>
          <w:rFonts w:ascii="Palatino Linotype" w:hAnsi="Palatino Linotype"/>
          <w:szCs w:val="21"/>
        </w:rPr>
      </w:pPr>
      <w:r>
        <w:rPr>
          <w:rFonts w:hint="eastAsia" w:ascii="Times New Roman" w:hAnsi="Times New Roman" w:eastAsia="宋体" w:cs="Times New Roman"/>
          <w:b/>
          <w:bCs/>
          <w:i w:val="0"/>
          <w:iCs w:val="0"/>
          <w:color w:val="000000"/>
          <w:kern w:val="0"/>
          <w:sz w:val="22"/>
          <w:szCs w:val="22"/>
          <w:u w:val="none"/>
          <w:lang w:val="en-US" w:eastAsia="zh-CN" w:bidi="ar"/>
        </w:rPr>
        <w:t>Appendix table2</w:t>
      </w:r>
      <w:bookmarkStart w:id="2" w:name="_GoBack"/>
      <w:bookmarkEnd w:id="2"/>
      <w:r>
        <w:rPr>
          <w:rFonts w:ascii="Palatino Linotype" w:hAnsi="Palatino Linotype"/>
          <w:szCs w:val="21"/>
        </w:rPr>
        <w:t xml:space="preserve"> Scale items</w:t>
      </w:r>
    </w:p>
    <w:tbl>
      <w:tblPr>
        <w:tblStyle w:val="2"/>
        <w:tblW w:w="835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722"/>
        <w:gridCol w:w="2103"/>
        <w:gridCol w:w="452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722" w:type="dxa"/>
            <w:tcBorders>
              <w:top w:val="single" w:color="auto" w:sz="2" w:space="0"/>
              <w:left w:val="single" w:color="auto" w:sz="2" w:space="0"/>
              <w:bottom w:val="single" w:color="auto" w:sz="2" w:space="0"/>
              <w:right w:val="single" w:color="auto" w:sz="2" w:space="0"/>
            </w:tcBorders>
            <w:noWrap w:val="0"/>
            <w:vAlign w:val="center"/>
          </w:tcPr>
          <w:p>
            <w:pPr>
              <w:rPr>
                <w:rFonts w:ascii="Palatino Linotype" w:hAnsi="Palatino Linotype"/>
                <w:b/>
                <w:bCs/>
                <w:kern w:val="0"/>
                <w:sz w:val="18"/>
                <w:szCs w:val="18"/>
              </w:rPr>
            </w:pPr>
            <w:r>
              <w:rPr>
                <w:rFonts w:ascii="Palatino Linotype" w:hAnsi="Palatino Linotype"/>
                <w:b/>
                <w:bCs/>
                <w:kern w:val="0"/>
                <w:sz w:val="18"/>
                <w:szCs w:val="18"/>
              </w:rPr>
              <w:t>Scales</w:t>
            </w:r>
          </w:p>
        </w:tc>
        <w:tc>
          <w:tcPr>
            <w:tcW w:w="2103" w:type="dxa"/>
            <w:tcBorders>
              <w:top w:val="single" w:color="auto" w:sz="2" w:space="0"/>
              <w:left w:val="single" w:color="auto" w:sz="2" w:space="0"/>
              <w:bottom w:val="single" w:color="auto" w:sz="2" w:space="0"/>
              <w:right w:val="single" w:color="auto" w:sz="2" w:space="0"/>
            </w:tcBorders>
            <w:noWrap w:val="0"/>
            <w:vAlign w:val="center"/>
          </w:tcPr>
          <w:p>
            <w:pPr>
              <w:rPr>
                <w:rFonts w:ascii="Palatino Linotype" w:hAnsi="Palatino Linotype"/>
                <w:kern w:val="0"/>
                <w:sz w:val="18"/>
                <w:szCs w:val="18"/>
              </w:rPr>
            </w:pPr>
            <w:r>
              <w:rPr>
                <w:rFonts w:ascii="Palatino Linotype" w:hAnsi="Palatino Linotype"/>
                <w:b/>
                <w:bCs/>
                <w:kern w:val="0"/>
                <w:sz w:val="18"/>
                <w:szCs w:val="18"/>
              </w:rPr>
              <w:t>Dimensions</w:t>
            </w:r>
          </w:p>
        </w:tc>
        <w:tc>
          <w:tcPr>
            <w:tcW w:w="4528" w:type="dxa"/>
            <w:tcBorders>
              <w:top w:val="single" w:color="auto" w:sz="2" w:space="0"/>
              <w:left w:val="single" w:color="auto" w:sz="2" w:space="0"/>
              <w:bottom w:val="single" w:color="auto" w:sz="2" w:space="0"/>
              <w:right w:val="single" w:color="auto" w:sz="2" w:space="0"/>
            </w:tcBorders>
            <w:noWrap w:val="0"/>
            <w:vAlign w:val="center"/>
          </w:tcPr>
          <w:p>
            <w:pPr>
              <w:rPr>
                <w:rFonts w:ascii="Palatino Linotype" w:hAnsi="Palatino Linotype"/>
                <w:kern w:val="0"/>
                <w:sz w:val="18"/>
                <w:szCs w:val="18"/>
              </w:rPr>
            </w:pPr>
            <w:r>
              <w:rPr>
                <w:rFonts w:ascii="Palatino Linotype" w:hAnsi="Palatino Linotype"/>
                <w:b/>
                <w:bCs/>
                <w:kern w:val="0"/>
                <w:sz w:val="18"/>
                <w:szCs w:val="18"/>
              </w:rPr>
              <w:t>Items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722" w:type="dxa"/>
            <w:vMerge w:val="restart"/>
            <w:tcBorders>
              <w:top w:val="nil"/>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b/>
                <w:bCs/>
                <w:i/>
                <w:iCs/>
                <w:kern w:val="0"/>
                <w:sz w:val="18"/>
                <w:szCs w:val="18"/>
              </w:rPr>
              <w:t>Personal information</w:t>
            </w:r>
          </w:p>
        </w:tc>
        <w:tc>
          <w:tcPr>
            <w:tcW w:w="2103" w:type="dxa"/>
            <w:vMerge w:val="restart"/>
            <w:tcBorders>
              <w:top w:val="nil"/>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sz w:val="18"/>
                <w:szCs w:val="18"/>
              </w:rPr>
              <w:t>Social demographic characteristics</w:t>
            </w:r>
          </w:p>
        </w:tc>
        <w:tc>
          <w:tcPr>
            <w:tcW w:w="4528" w:type="dxa"/>
            <w:tcBorders>
              <w:top w:val="single" w:color="auto" w:sz="2" w:space="0"/>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Residential Address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Age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Gender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Education</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Household type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2103" w:type="dxa"/>
            <w:vMerge w:val="restart"/>
            <w:tcBorders>
              <w:top w:val="nil"/>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sz w:val="18"/>
                <w:szCs w:val="18"/>
              </w:rPr>
              <w:t>Health literacy</w:t>
            </w:r>
          </w:p>
        </w:tc>
        <w:tc>
          <w:tcPr>
            <w:tcW w:w="4528" w:type="dxa"/>
            <w:tcBorders>
              <w:top w:val="single" w:color="auto" w:sz="2" w:space="0"/>
              <w:left w:val="single" w:color="auto" w:sz="2" w:space="0"/>
              <w:bottom w:val="single" w:color="auto" w:sz="2" w:space="0"/>
              <w:right w:val="single" w:color="auto" w:sz="2" w:space="0"/>
            </w:tcBorders>
            <w:noWrap w:val="0"/>
            <w:vAlign w:val="top"/>
          </w:tcPr>
          <w:p>
            <w:pPr>
              <w:jc w:val="left"/>
              <w:rPr>
                <w:rFonts w:ascii="Palatino Linotype" w:hAnsi="Palatino Linotype"/>
                <w:kern w:val="0"/>
                <w:sz w:val="18"/>
                <w:szCs w:val="18"/>
              </w:rPr>
            </w:pPr>
            <w:r>
              <w:rPr>
                <w:rFonts w:ascii="Palatino Linotype" w:hAnsi="Palatino Linotype"/>
                <w:sz w:val="18"/>
                <w:szCs w:val="18"/>
              </w:rPr>
              <w:t>I can accurately identify the symptoms of my disease.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top"/>
          </w:tcPr>
          <w:p>
            <w:pPr>
              <w:jc w:val="left"/>
              <w:rPr>
                <w:rFonts w:ascii="Palatino Linotype" w:hAnsi="Palatino Linotype"/>
                <w:kern w:val="0"/>
                <w:sz w:val="18"/>
                <w:szCs w:val="18"/>
              </w:rPr>
            </w:pPr>
            <w:r>
              <w:rPr>
                <w:rFonts w:ascii="Palatino Linotype" w:hAnsi="Palatino Linotype"/>
                <w:sz w:val="18"/>
                <w:szCs w:val="18"/>
              </w:rPr>
              <w:t>I can correctly determine the severity of my disease.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722" w:type="dxa"/>
            <w:vMerge w:val="restart"/>
            <w:tcBorders>
              <w:top w:val="nil"/>
              <w:left w:val="single" w:color="auto" w:sz="2" w:space="0"/>
              <w:bottom w:val="single" w:color="auto" w:sz="2" w:space="0"/>
              <w:right w:val="single" w:color="auto" w:sz="2" w:space="0"/>
            </w:tcBorders>
            <w:noWrap w:val="0"/>
            <w:vAlign w:val="center"/>
          </w:tcPr>
          <w:p>
            <w:pPr>
              <w:jc w:val="left"/>
              <w:rPr>
                <w:rFonts w:ascii="Palatino Linotype" w:hAnsi="Palatino Linotype"/>
                <w:b/>
                <w:bCs/>
                <w:i/>
                <w:iCs/>
                <w:kern w:val="0"/>
                <w:sz w:val="18"/>
                <w:szCs w:val="18"/>
                <w:highlight w:val="yellow"/>
              </w:rPr>
            </w:pPr>
            <w:r>
              <w:rPr>
                <w:rFonts w:ascii="Palatino Linotype" w:hAnsi="Palatino Linotype"/>
                <w:b/>
                <w:bCs/>
                <w:i/>
                <w:iCs/>
                <w:kern w:val="0"/>
                <w:sz w:val="18"/>
                <w:szCs w:val="18"/>
              </w:rPr>
              <w:t>Separate treatment of emergencies and slows</w:t>
            </w:r>
          </w:p>
        </w:tc>
        <w:tc>
          <w:tcPr>
            <w:tcW w:w="2103" w:type="dxa"/>
            <w:vMerge w:val="restart"/>
            <w:tcBorders>
              <w:top w:val="nil"/>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Healthcare accessibility</w:t>
            </w:r>
          </w:p>
        </w:tc>
        <w:tc>
          <w:tcPr>
            <w:tcW w:w="4528" w:type="dxa"/>
            <w:tcBorders>
              <w:top w:val="single" w:color="auto" w:sz="2" w:space="0"/>
              <w:left w:val="single" w:color="auto" w:sz="2" w:space="0"/>
              <w:bottom w:val="single" w:color="auto" w:sz="2" w:space="0"/>
              <w:right w:val="single" w:color="auto" w:sz="2" w:space="0"/>
            </w:tcBorders>
            <w:noWrap w:val="0"/>
            <w:vAlign w:val="top"/>
          </w:tcPr>
          <w:p>
            <w:pPr>
              <w:jc w:val="left"/>
              <w:rPr>
                <w:rFonts w:ascii="Palatino Linotype" w:hAnsi="Palatino Linotype"/>
                <w:kern w:val="0"/>
                <w:sz w:val="18"/>
                <w:szCs w:val="18"/>
              </w:rPr>
            </w:pPr>
            <w:r>
              <w:rPr>
                <w:rFonts w:ascii="Palatino Linotype" w:hAnsi="Palatino Linotype"/>
                <w:sz w:val="18"/>
                <w:szCs w:val="18"/>
              </w:rPr>
              <w:t>I can get to the nearest healthcare facility in a relatively short distance.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highlight w:val="yellow"/>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top"/>
          </w:tcPr>
          <w:p>
            <w:pPr>
              <w:jc w:val="left"/>
              <w:rPr>
                <w:rFonts w:ascii="Palatino Linotype" w:hAnsi="Palatino Linotype"/>
                <w:kern w:val="0"/>
                <w:sz w:val="18"/>
                <w:szCs w:val="18"/>
              </w:rPr>
            </w:pPr>
            <w:r>
              <w:rPr>
                <w:rFonts w:ascii="Palatino Linotype" w:hAnsi="Palatino Linotype"/>
                <w:sz w:val="18"/>
                <w:szCs w:val="18"/>
              </w:rPr>
              <w:t>My consultation process takes less time.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highlight w:val="yellow"/>
              </w:rPr>
            </w:pPr>
          </w:p>
        </w:tc>
        <w:tc>
          <w:tcPr>
            <w:tcW w:w="2103" w:type="dxa"/>
            <w:vMerge w:val="restart"/>
            <w:tcBorders>
              <w:top w:val="nil"/>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Drug supply</w:t>
            </w:r>
          </w:p>
        </w:tc>
        <w:tc>
          <w:tcPr>
            <w:tcW w:w="4528" w:type="dxa"/>
            <w:tcBorders>
              <w:top w:val="single" w:color="auto" w:sz="2" w:space="0"/>
              <w:left w:val="single" w:color="auto" w:sz="2" w:space="0"/>
              <w:bottom w:val="single" w:color="auto" w:sz="2" w:space="0"/>
              <w:right w:val="single" w:color="auto" w:sz="2" w:space="0"/>
            </w:tcBorders>
            <w:noWrap w:val="0"/>
            <w:vAlign w:val="top"/>
          </w:tcPr>
          <w:p>
            <w:pPr>
              <w:jc w:val="left"/>
              <w:rPr>
                <w:rFonts w:ascii="Palatino Linotype" w:hAnsi="Palatino Linotype"/>
                <w:kern w:val="0"/>
                <w:sz w:val="18"/>
                <w:szCs w:val="18"/>
              </w:rPr>
            </w:pPr>
            <w:r>
              <w:rPr>
                <w:rFonts w:ascii="Palatino Linotype" w:hAnsi="Palatino Linotype"/>
                <w:sz w:val="18"/>
                <w:szCs w:val="18"/>
              </w:rPr>
              <w:t>My primary healthcare facility is more convenient for purchasing and collecting medicines.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highlight w:val="yellow"/>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top"/>
          </w:tcPr>
          <w:p>
            <w:pPr>
              <w:jc w:val="left"/>
              <w:rPr>
                <w:rFonts w:ascii="Palatino Linotype" w:hAnsi="Palatino Linotype"/>
                <w:kern w:val="0"/>
                <w:sz w:val="18"/>
                <w:szCs w:val="18"/>
              </w:rPr>
            </w:pPr>
            <w:r>
              <w:rPr>
                <w:rFonts w:ascii="Palatino Linotype" w:hAnsi="Palatino Linotype"/>
                <w:sz w:val="18"/>
                <w:szCs w:val="18"/>
              </w:rPr>
              <w:t>My primary healthcare facility has adequate drug security.</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highlight w:val="yellow"/>
              </w:rPr>
            </w:pPr>
          </w:p>
        </w:tc>
        <w:tc>
          <w:tcPr>
            <w:tcW w:w="2103" w:type="dxa"/>
            <w:tcBorders>
              <w:top w:val="single" w:color="auto" w:sz="2" w:space="0"/>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Medical insurance</w:t>
            </w:r>
          </w:p>
        </w:tc>
        <w:tc>
          <w:tcPr>
            <w:tcW w:w="4528" w:type="dxa"/>
            <w:tcBorders>
              <w:top w:val="single" w:color="auto" w:sz="2" w:space="0"/>
              <w:left w:val="single" w:color="auto" w:sz="2" w:space="0"/>
              <w:bottom w:val="single" w:color="auto" w:sz="2" w:space="0"/>
              <w:right w:val="single" w:color="auto" w:sz="2" w:space="0"/>
            </w:tcBorders>
            <w:noWrap w:val="0"/>
            <w:vAlign w:val="top"/>
          </w:tcPr>
          <w:p>
            <w:pPr>
              <w:jc w:val="left"/>
              <w:rPr>
                <w:rFonts w:ascii="Palatino Linotype" w:hAnsi="Palatino Linotype"/>
                <w:kern w:val="0"/>
                <w:sz w:val="18"/>
                <w:szCs w:val="18"/>
              </w:rPr>
            </w:pPr>
            <w:r>
              <w:rPr>
                <w:rFonts w:ascii="Palatino Linotype" w:hAnsi="Palatino Linotype"/>
                <w:sz w:val="18"/>
                <w:szCs w:val="18"/>
              </w:rPr>
              <w:t>The difference in reimbursement rates is an important factor in my choice of treatment.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highlight w:val="yellow"/>
              </w:rPr>
            </w:pPr>
          </w:p>
        </w:tc>
        <w:tc>
          <w:tcPr>
            <w:tcW w:w="2103" w:type="dxa"/>
            <w:tcBorders>
              <w:top w:val="single" w:color="auto" w:sz="2" w:space="0"/>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Healthcare costs</w:t>
            </w:r>
          </w:p>
        </w:tc>
        <w:tc>
          <w:tcPr>
            <w:tcW w:w="4528" w:type="dxa"/>
            <w:tcBorders>
              <w:top w:val="single" w:color="auto" w:sz="2" w:space="0"/>
              <w:left w:val="single" w:color="auto" w:sz="2" w:space="0"/>
              <w:bottom w:val="single" w:color="auto" w:sz="2" w:space="0"/>
              <w:right w:val="single" w:color="auto" w:sz="2" w:space="0"/>
            </w:tcBorders>
            <w:noWrap w:val="0"/>
            <w:vAlign w:val="top"/>
          </w:tcPr>
          <w:p>
            <w:pPr>
              <w:jc w:val="left"/>
              <w:rPr>
                <w:rFonts w:ascii="Palatino Linotype" w:hAnsi="Palatino Linotype"/>
                <w:kern w:val="0"/>
                <w:sz w:val="18"/>
                <w:szCs w:val="18"/>
              </w:rPr>
            </w:pPr>
            <w:r>
              <w:rPr>
                <w:rFonts w:ascii="Palatino Linotype" w:hAnsi="Palatino Linotype"/>
                <w:sz w:val="18"/>
                <w:szCs w:val="18"/>
              </w:rPr>
              <w:t>The cost of healthcare at my nearest primary facility is reasonable.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722" w:type="dxa"/>
            <w:vMerge w:val="restart"/>
            <w:tcBorders>
              <w:top w:val="nil"/>
              <w:left w:val="single" w:color="auto" w:sz="2" w:space="0"/>
              <w:bottom w:val="single" w:color="auto" w:sz="2" w:space="0"/>
              <w:right w:val="single" w:color="auto" w:sz="2" w:space="0"/>
            </w:tcBorders>
            <w:noWrap w:val="0"/>
            <w:vAlign w:val="center"/>
          </w:tcPr>
          <w:p>
            <w:pPr>
              <w:jc w:val="left"/>
              <w:rPr>
                <w:rFonts w:ascii="Palatino Linotype" w:hAnsi="Palatino Linotype"/>
                <w:b/>
                <w:bCs/>
                <w:i/>
                <w:iCs/>
                <w:kern w:val="0"/>
                <w:sz w:val="18"/>
                <w:szCs w:val="18"/>
              </w:rPr>
            </w:pPr>
            <w:bookmarkStart w:id="1" w:name="_Hlk123490983"/>
            <w:r>
              <w:rPr>
                <w:rFonts w:ascii="Palatino Linotype" w:hAnsi="Palatino Linotype"/>
                <w:b/>
                <w:bCs/>
                <w:i/>
                <w:iCs/>
                <w:kern w:val="0"/>
                <w:sz w:val="18"/>
                <w:szCs w:val="18"/>
              </w:rPr>
              <w:t>T</w:t>
            </w:r>
            <w:bookmarkEnd w:id="1"/>
            <w:r>
              <w:rPr>
                <w:rFonts w:ascii="Palatino Linotype" w:hAnsi="Palatino Linotype"/>
                <w:b/>
                <w:bCs/>
                <w:i/>
                <w:iCs/>
                <w:kern w:val="0"/>
                <w:sz w:val="18"/>
                <w:szCs w:val="18"/>
              </w:rPr>
              <w:t>wo-way triage</w:t>
            </w:r>
          </w:p>
        </w:tc>
        <w:tc>
          <w:tcPr>
            <w:tcW w:w="2103" w:type="dxa"/>
            <w:vMerge w:val="restart"/>
            <w:tcBorders>
              <w:top w:val="nil"/>
              <w:left w:val="single" w:color="auto" w:sz="2" w:space="0"/>
              <w:bottom w:val="single" w:color="auto" w:sz="2" w:space="0"/>
              <w:right w:val="single" w:color="auto" w:sz="2" w:space="0"/>
            </w:tcBorders>
            <w:noWrap w:val="0"/>
            <w:vAlign w:val="center"/>
          </w:tcPr>
          <w:p>
            <w:pPr>
              <w:rPr>
                <w:rFonts w:ascii="Palatino Linotype" w:hAnsi="Palatino Linotype"/>
                <w:kern w:val="0"/>
                <w:sz w:val="18"/>
                <w:szCs w:val="18"/>
              </w:rPr>
            </w:pPr>
            <w:r>
              <w:rPr>
                <w:rFonts w:ascii="Palatino Linotype" w:hAnsi="Palatino Linotype"/>
                <w:kern w:val="0"/>
                <w:sz w:val="18"/>
                <w:szCs w:val="18"/>
              </w:rPr>
              <w:t>Healthcare facilities</w:t>
            </w: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What do you think of the service capacity in primary hospitals?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What do you think of the environment in primary hospitals?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2103" w:type="dxa"/>
            <w:vMerge w:val="restart"/>
            <w:tcBorders>
              <w:top w:val="nil"/>
              <w:left w:val="single" w:color="auto" w:sz="2" w:space="0"/>
              <w:bottom w:val="single" w:color="auto" w:sz="2" w:space="0"/>
              <w:right w:val="single" w:color="auto" w:sz="2" w:space="0"/>
            </w:tcBorders>
            <w:noWrap w:val="0"/>
            <w:vAlign w:val="center"/>
          </w:tcPr>
          <w:p>
            <w:pPr>
              <w:rPr>
                <w:rFonts w:ascii="Palatino Linotype" w:hAnsi="Palatino Linotype"/>
                <w:kern w:val="0"/>
                <w:sz w:val="18"/>
                <w:szCs w:val="18"/>
              </w:rPr>
            </w:pPr>
            <w:r>
              <w:rPr>
                <w:rFonts w:ascii="Palatino Linotype" w:hAnsi="Palatino Linotype"/>
                <w:kern w:val="0"/>
                <w:sz w:val="18"/>
                <w:szCs w:val="18"/>
              </w:rPr>
              <w:t xml:space="preserve">Physician service </w:t>
            </w: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What do you think of the attitude of the primary hospitals?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top"/>
          </w:tcPr>
          <w:p>
            <w:pPr>
              <w:jc w:val="left"/>
              <w:rPr>
                <w:rFonts w:ascii="Palatino Linotype" w:hAnsi="Palatino Linotype"/>
                <w:kern w:val="0"/>
                <w:sz w:val="18"/>
                <w:szCs w:val="18"/>
              </w:rPr>
            </w:pPr>
            <w:r>
              <w:rPr>
                <w:rFonts w:ascii="Palatino Linotype" w:hAnsi="Palatino Linotype"/>
                <w:sz w:val="18"/>
                <w:szCs w:val="18"/>
              </w:rPr>
              <w:t>How conscientious do you think the doctors are during the treatment process?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How do you think the doctors are competent in their practice?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How much do you trust your doctor?</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2103" w:type="dxa"/>
            <w:vMerge w:val="restart"/>
            <w:tcBorders>
              <w:top w:val="nil"/>
              <w:left w:val="single" w:color="auto" w:sz="2" w:space="0"/>
              <w:bottom w:val="single" w:color="auto" w:sz="2" w:space="0"/>
              <w:right w:val="single" w:color="auto" w:sz="2" w:space="0"/>
            </w:tcBorders>
            <w:noWrap w:val="0"/>
            <w:vAlign w:val="center"/>
          </w:tcPr>
          <w:p>
            <w:pPr>
              <w:rPr>
                <w:rFonts w:ascii="Palatino Linotype" w:hAnsi="Palatino Linotype"/>
                <w:kern w:val="0"/>
                <w:sz w:val="18"/>
                <w:szCs w:val="18"/>
              </w:rPr>
            </w:pPr>
            <w:r>
              <w:rPr>
                <w:rFonts w:ascii="Palatino Linotype" w:hAnsi="Palatino Linotype"/>
                <w:kern w:val="0"/>
                <w:sz w:val="18"/>
                <w:szCs w:val="18"/>
              </w:rPr>
              <w:t>Referral convenience</w:t>
            </w: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How well do you think high-level hospitals and primary hospitals collaborate in the referral process?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How well do you think information is shared during the referral process?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2103" w:type="dxa"/>
            <w:vMerge w:val="restart"/>
            <w:tcBorders>
              <w:top w:val="nil"/>
              <w:left w:val="single" w:color="auto" w:sz="2" w:space="0"/>
              <w:bottom w:val="single" w:color="auto" w:sz="2" w:space="0"/>
              <w:right w:val="single" w:color="auto" w:sz="2" w:space="0"/>
            </w:tcBorders>
            <w:noWrap w:val="0"/>
            <w:vAlign w:val="center"/>
          </w:tcPr>
          <w:p>
            <w:pPr>
              <w:rPr>
                <w:rFonts w:ascii="Palatino Linotype" w:hAnsi="Palatino Linotype"/>
                <w:kern w:val="0"/>
                <w:sz w:val="18"/>
                <w:szCs w:val="18"/>
              </w:rPr>
            </w:pPr>
            <w:r>
              <w:rPr>
                <w:rFonts w:ascii="Palatino Linotype" w:hAnsi="Palatino Linotype"/>
                <w:kern w:val="0"/>
                <w:sz w:val="18"/>
                <w:szCs w:val="18"/>
              </w:rPr>
              <w:t>Treatment standards</w:t>
            </w: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How reasonable do you think the two-way referral process is?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kern w:val="0"/>
                <w:sz w:val="18"/>
                <w:szCs w:val="18"/>
              </w:rPr>
            </w:pP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How would you rate the current green channel system in the two-way referral process?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722" w:type="dxa"/>
            <w:vMerge w:val="restart"/>
            <w:tcBorders>
              <w:top w:val="nil"/>
              <w:left w:val="single" w:color="auto" w:sz="2" w:space="0"/>
              <w:bottom w:val="single" w:color="auto" w:sz="2" w:space="0"/>
              <w:right w:val="single" w:color="auto" w:sz="2" w:space="0"/>
            </w:tcBorders>
            <w:noWrap w:val="0"/>
            <w:vAlign w:val="center"/>
          </w:tcPr>
          <w:p>
            <w:pPr>
              <w:jc w:val="left"/>
              <w:rPr>
                <w:rFonts w:ascii="Palatino Linotype" w:hAnsi="Palatino Linotype"/>
                <w:b/>
                <w:bCs/>
                <w:i/>
                <w:iCs/>
                <w:kern w:val="0"/>
                <w:sz w:val="18"/>
                <w:szCs w:val="18"/>
              </w:rPr>
            </w:pPr>
            <w:r>
              <w:rPr>
                <w:rFonts w:ascii="Palatino Linotype" w:hAnsi="Palatino Linotype"/>
                <w:b/>
                <w:bCs/>
                <w:i/>
                <w:iCs/>
                <w:kern w:val="0"/>
                <w:sz w:val="18"/>
                <w:szCs w:val="18"/>
              </w:rPr>
              <w:t>Upper and lower linkage</w:t>
            </w:r>
          </w:p>
        </w:tc>
        <w:tc>
          <w:tcPr>
            <w:tcW w:w="2103" w:type="dxa"/>
            <w:tcBorders>
              <w:top w:val="single" w:color="auto" w:sz="2" w:space="0"/>
              <w:left w:val="single" w:color="auto" w:sz="2" w:space="0"/>
              <w:bottom w:val="single" w:color="auto" w:sz="2" w:space="0"/>
              <w:right w:val="single" w:color="auto" w:sz="2" w:space="0"/>
            </w:tcBorders>
            <w:noWrap w:val="0"/>
            <w:vAlign w:val="center"/>
          </w:tcPr>
          <w:p>
            <w:pPr>
              <w:rPr>
                <w:rFonts w:ascii="Palatino Linotype" w:hAnsi="Palatino Linotype"/>
                <w:kern w:val="0"/>
                <w:sz w:val="18"/>
                <w:szCs w:val="18"/>
              </w:rPr>
            </w:pPr>
            <w:r>
              <w:rPr>
                <w:rFonts w:ascii="Palatino Linotype" w:hAnsi="Palatino Linotype"/>
                <w:kern w:val="0"/>
                <w:sz w:val="18"/>
                <w:szCs w:val="18"/>
              </w:rPr>
              <w:t xml:space="preserve">Medical </w:t>
            </w:r>
            <w:r>
              <w:rPr>
                <w:rFonts w:ascii="Palatino Linotype" w:hAnsi="Palatino Linotype"/>
                <w:sz w:val="18"/>
                <w:szCs w:val="18"/>
              </w:rPr>
              <w:t>alliance</w:t>
            </w: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How well do you know about the medical alliance?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2103" w:type="dxa"/>
            <w:tcBorders>
              <w:top w:val="single" w:color="auto" w:sz="2" w:space="0"/>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Quality resources sharing and sinking</w:t>
            </w: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 xml:space="preserve">How much do you know about specialists </w:t>
            </w:r>
            <w:r>
              <w:rPr>
                <w:rFonts w:ascii="Palatino Linotype" w:hAnsi="Palatino Linotype"/>
                <w:kern w:val="0"/>
                <w:sz w:val="18"/>
                <w:szCs w:val="18"/>
              </w:rPr>
              <w:t>resources sharing and sinking</w:t>
            </w:r>
            <w:r>
              <w:rPr>
                <w:rFonts w:ascii="Palatino Linotype" w:hAnsi="Palatino Linotype"/>
                <w:sz w:val="18"/>
                <w:szCs w:val="18"/>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722" w:type="dxa"/>
            <w:vMerge w:val="restart"/>
            <w:tcBorders>
              <w:top w:val="nil"/>
              <w:left w:val="single" w:color="auto" w:sz="2" w:space="0"/>
              <w:bottom w:val="single" w:color="auto" w:sz="2" w:space="0"/>
              <w:right w:val="single" w:color="auto" w:sz="2" w:space="0"/>
            </w:tcBorders>
            <w:noWrap w:val="0"/>
            <w:vAlign w:val="center"/>
          </w:tcPr>
          <w:p>
            <w:pPr>
              <w:jc w:val="left"/>
              <w:rPr>
                <w:rFonts w:ascii="Palatino Linotype" w:hAnsi="Palatino Linotype"/>
                <w:b/>
                <w:bCs/>
                <w:i/>
                <w:iCs/>
                <w:kern w:val="0"/>
                <w:sz w:val="18"/>
                <w:szCs w:val="18"/>
              </w:rPr>
            </w:pPr>
            <w:r>
              <w:rPr>
                <w:rFonts w:ascii="Palatino Linotype" w:hAnsi="Palatino Linotype"/>
                <w:b/>
                <w:bCs/>
                <w:i/>
                <w:iCs/>
                <w:kern w:val="0"/>
                <w:sz w:val="18"/>
                <w:szCs w:val="18"/>
              </w:rPr>
              <w:t>Preference for healthcare</w:t>
            </w:r>
          </w:p>
        </w:tc>
        <w:tc>
          <w:tcPr>
            <w:tcW w:w="2103" w:type="dxa"/>
            <w:tcBorders>
              <w:top w:val="single" w:color="auto" w:sz="2" w:space="0"/>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Preferred first visit</w:t>
            </w: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For common illnesses, I am willing to go to primary hospitals.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0" w:type="auto"/>
            <w:vMerge w:val="continue"/>
            <w:tcBorders>
              <w:top w:val="nil"/>
              <w:left w:val="single" w:color="auto" w:sz="2" w:space="0"/>
              <w:bottom w:val="single" w:color="auto" w:sz="2" w:space="0"/>
              <w:right w:val="single" w:color="auto" w:sz="2" w:space="0"/>
            </w:tcBorders>
            <w:noWrap w:val="0"/>
            <w:vAlign w:val="center"/>
          </w:tcPr>
          <w:p>
            <w:pPr>
              <w:widowControl/>
              <w:jc w:val="left"/>
              <w:rPr>
                <w:rFonts w:ascii="Palatino Linotype" w:hAnsi="Palatino Linotype"/>
                <w:b/>
                <w:bCs/>
                <w:i/>
                <w:iCs/>
                <w:kern w:val="0"/>
                <w:sz w:val="18"/>
                <w:szCs w:val="18"/>
              </w:rPr>
            </w:pPr>
          </w:p>
        </w:tc>
        <w:tc>
          <w:tcPr>
            <w:tcW w:w="2103" w:type="dxa"/>
            <w:tcBorders>
              <w:top w:val="single" w:color="auto" w:sz="2" w:space="0"/>
              <w:left w:val="single" w:color="auto" w:sz="2" w:space="0"/>
              <w:bottom w:val="single" w:color="auto" w:sz="2" w:space="0"/>
              <w:right w:val="single" w:color="auto" w:sz="2" w:space="0"/>
            </w:tcBorders>
            <w:noWrap w:val="0"/>
            <w:vAlign w:val="center"/>
          </w:tcPr>
          <w:p>
            <w:pPr>
              <w:jc w:val="left"/>
              <w:rPr>
                <w:rFonts w:ascii="Palatino Linotype" w:hAnsi="Palatino Linotype"/>
                <w:kern w:val="0"/>
                <w:sz w:val="18"/>
                <w:szCs w:val="18"/>
              </w:rPr>
            </w:pPr>
            <w:r>
              <w:rPr>
                <w:rFonts w:ascii="Palatino Linotype" w:hAnsi="Palatino Linotype"/>
                <w:kern w:val="0"/>
                <w:sz w:val="18"/>
                <w:szCs w:val="18"/>
              </w:rPr>
              <w:t>Intention to refer</w:t>
            </w:r>
          </w:p>
        </w:tc>
        <w:tc>
          <w:tcPr>
            <w:tcW w:w="4528" w:type="dxa"/>
            <w:tcBorders>
              <w:top w:val="single" w:color="auto" w:sz="2" w:space="0"/>
              <w:left w:val="single" w:color="auto" w:sz="2" w:space="0"/>
              <w:bottom w:val="single" w:color="auto" w:sz="2" w:space="0"/>
              <w:right w:val="single" w:color="auto" w:sz="2" w:space="0"/>
            </w:tcBorders>
            <w:noWrap w:val="0"/>
            <w:vAlign w:val="top"/>
          </w:tcPr>
          <w:p>
            <w:pPr>
              <w:rPr>
                <w:rFonts w:ascii="Palatino Linotype" w:hAnsi="Palatino Linotype"/>
                <w:kern w:val="0"/>
                <w:sz w:val="18"/>
                <w:szCs w:val="18"/>
              </w:rPr>
            </w:pPr>
            <w:r>
              <w:rPr>
                <w:rFonts w:ascii="Palatino Linotype" w:hAnsi="Palatino Linotype"/>
                <w:sz w:val="18"/>
                <w:szCs w:val="18"/>
              </w:rPr>
              <w:t>I am willing to cooperate with large hospitals in making referrals to low-level hospitals.</w:t>
            </w:r>
          </w:p>
        </w:tc>
      </w:tr>
    </w:tbl>
    <w:p>
      <w:pPr>
        <w:snapToGrid w:val="0"/>
        <w:rPr>
          <w:rFonts w:ascii="Palatino Linotype" w:hAnsi="Palatino Linotype"/>
          <w:sz w:val="18"/>
          <w:szCs w:val="18"/>
        </w:rPr>
      </w:pPr>
      <w:r>
        <w:rPr>
          <w:rFonts w:ascii="Palatino Linotype" w:hAnsi="Palatino Linotype"/>
          <w:sz w:val="18"/>
          <w:szCs w:val="18"/>
        </w:rPr>
        <w:t xml:space="preserve">Notes：Excluding the basic information, all the questionnaires in this study use Likert’s 5-point method. </w:t>
      </w:r>
    </w:p>
    <w:p>
      <w:pPr>
        <w:snapToGrid w:val="0"/>
        <w:rPr>
          <w:rFonts w:ascii="Palatino Linotype" w:hAnsi="Palatino Linotype"/>
          <w:sz w:val="18"/>
          <w:szCs w:val="18"/>
        </w:rPr>
      </w:pPr>
      <w:r>
        <w:rPr>
          <w:rFonts w:ascii="Palatino Linotype" w:hAnsi="Palatino Linotype"/>
          <w:sz w:val="18"/>
          <w:szCs w:val="18"/>
        </w:rPr>
        <w:t xml:space="preserve">Patients were asked to score 1-5 on the question items in the Separate treatment of emergencies and slows scale, the Health literacy and Preference for healthcare scale, which 1 = “completely disagree”, 3 = “neutral”, 5 = “completely agree”; in Two-way triage scale, 1 = “completely unsatisfied”, 3 = “neutral”, 5 = “completely satisfied”; in Upper &amp; lower linkage scale, 1 = “completely inconsistent”, 3 = “neutral”, 5 = “completely consistent”. </w:t>
      </w:r>
    </w:p>
    <w:p>
      <w:pPr>
        <w:rPr>
          <w:rFonts w:hint="default"/>
          <w:sz w:val="48"/>
          <w:szCs w:val="5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iZjJhNDBmNmJlZDc1NzdlZmViYzdmNTFiNmJhNmIifQ=="/>
  </w:docVars>
  <w:rsids>
    <w:rsidRoot w:val="00000000"/>
    <w:rsid w:val="007E1D7C"/>
    <w:rsid w:val="070E6657"/>
    <w:rsid w:val="0DFD7E2E"/>
    <w:rsid w:val="12435D4E"/>
    <w:rsid w:val="46366A55"/>
    <w:rsid w:val="4812529F"/>
    <w:rsid w:val="4989333F"/>
    <w:rsid w:val="65CB4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2024-01-03T04:08:00Z</dcterms:created>
  <dc:creator>仇欣雨</dc:creator>
  <cp:lastModifiedBy>zxm</cp:lastModifiedBy>
  <dcterms:modified xsi:type="dcterms:W3CDTF">2024-04-16T15:03:34Z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1BB55D397CF340D7A2EA20F54B9320F4_13</vt:lpwstr>
  </property>
</Properties>
</file>